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6F94" w14:textId="372E0EF3" w:rsidR="00996AD7" w:rsidRDefault="00D96458">
      <w:pPr>
        <w:rPr>
          <w:vanish/>
        </w:rPr>
      </w:pPr>
      <w:r>
        <w:rPr>
          <w:rFonts w:ascii="宋体" w:eastAsia="宋体" w:hAnsi="宋体" w:cs="宋体"/>
        </w:rPr>
        <w:t xml:space="preserve"> </w:t>
      </w:r>
      <w:r>
        <w:rPr>
          <w:rFonts w:ascii="宋体" w:eastAsia="宋体" w:hAnsi="宋体" w:cs="宋体"/>
          <w:vanish/>
        </w:rPr>
        <w:t xml:space="preserve">September 25, 20210000050863December </w:t>
      </w:r>
      <w:r>
        <w:rPr>
          <w:rFonts w:ascii="宋体" w:eastAsia="宋体" w:hAnsi="宋体" w:cs="宋体"/>
          <w:vanish/>
        </w:rPr>
        <w:t>252021Q3FALSE83,42477,6454,0674,0624,0674,0621.391.320.700.665.000000508632020-12-272021-09-25xbrli:shares00000508632021-09-25iso4217:USD00000508632021-06-272021-09-2500000508632020-06-282020-09-2600000508632019-12-292020-09-260000050863us-gaap:RetainedEar</w:t>
      </w:r>
      <w:r>
        <w:rPr>
          <w:rFonts w:ascii="宋体" w:eastAsia="宋体" w:hAnsi="宋体" w:cs="宋体"/>
          <w:vanish/>
        </w:rPr>
        <w:t>ningsMember2021-06-272021-09-250000050863us-gaap:RetainedEarningsMember2020-12-272021-09-25iso4217:USDxbrli:shares00000508632020-12-2600000508632019-12-2800000508632020-09-260000050863us-gaap:CommonStockIncludingAdditionalPaidInCapitalMember2021-06-2600000</w:t>
      </w:r>
      <w:r>
        <w:rPr>
          <w:rFonts w:ascii="宋体" w:eastAsia="宋体" w:hAnsi="宋体" w:cs="宋体"/>
          <w:vanish/>
        </w:rPr>
        <w:t>50863us-gaap:AccumulatedOtherComprehensiveIncomeMember2021-06-260000050863us-gaap:RetainedEarningsMember2021-06-2600000508632021-06-260000050863us-gaap:AccumulatedOtherComprehensiveIncomeMember2021-06-272021-09-250000050863us-gaap:CommonStockIncludingAddit</w:t>
      </w:r>
      <w:r>
        <w:rPr>
          <w:rFonts w:ascii="宋体" w:eastAsia="宋体" w:hAnsi="宋体" w:cs="宋体"/>
          <w:vanish/>
        </w:rPr>
        <w:t>ionalPaidInCapitalMember2021-06-272021-09-250000050863us-gaap:CommonStockIncludingAdditionalPaidInCapitalMember2021-09-250000050863us-gaap:AccumulatedOtherComprehensiveIncomeMember2021-09-250000050863us-gaap:RetainedEarningsMember2021-09-250000050863us-gaa</w:t>
      </w:r>
      <w:r>
        <w:rPr>
          <w:rFonts w:ascii="宋体" w:eastAsia="宋体" w:hAnsi="宋体" w:cs="宋体"/>
          <w:vanish/>
        </w:rPr>
        <w:t>p:CommonStockIncludingAdditionalPaidInCapitalMember2020-06-270000050863us-gaap:AccumulatedOtherComprehensiveIncomeMember2020-06-270000050863us-gaap:RetainedEarningsMember2020-06-2700000508632020-06-270000050863us-gaap:RetainedEarningsMember2020-06-282020-0</w:t>
      </w:r>
      <w:r>
        <w:rPr>
          <w:rFonts w:ascii="宋体" w:eastAsia="宋体" w:hAnsi="宋体" w:cs="宋体"/>
          <w:vanish/>
        </w:rPr>
        <w:t>9-260000050863us-gaap:AccumulatedOtherComprehensiveIncomeMember2020-06-282020-09-260000050863us-gaap:CommonStockIncludingAdditionalPaidInCapitalMember2020-06-282020-09-260000050863us-gaap:CommonStockIncludingAdditionalPaidInCapitalMember2020-09-26000005086</w:t>
      </w:r>
      <w:r>
        <w:rPr>
          <w:rFonts w:ascii="宋体" w:eastAsia="宋体" w:hAnsi="宋体" w:cs="宋体"/>
          <w:vanish/>
        </w:rPr>
        <w:t>3us-gaap:AccumulatedOtherComprehensiveIncomeMember2020-09-260000050863us-gaap:RetainedEarningsMember2020-09-260000050863us-gaap:CommonStockIncludingAdditionalPaidInCapitalMembersrt:CumulativeEffectPeriodOfAdoptionAdjustedBalanceMember2020-12-260000050863us</w:t>
      </w:r>
      <w:r>
        <w:rPr>
          <w:rFonts w:ascii="宋体" w:eastAsia="宋体" w:hAnsi="宋体" w:cs="宋体"/>
          <w:vanish/>
        </w:rPr>
        <w:t>-gaap:AccumulatedOtherComprehensiveIncomeMembersrt:CumulativeEffectPeriodOfAdoptionAdjustedBalanceMember2020-12-260000050863us-gaap:RetainedEarningsMembersrt:CumulativeEffectPeriodOfAdoptionAdjustedBalanceMember2020-12-260000050863srt:CumulativeEffectPerio</w:t>
      </w:r>
      <w:r>
        <w:rPr>
          <w:rFonts w:ascii="宋体" w:eastAsia="宋体" w:hAnsi="宋体" w:cs="宋体"/>
          <w:vanish/>
        </w:rPr>
        <w:t>dOfAdoptionAdjustedBalanceMember2020-12-260000050863us-gaap:AccumulatedOtherComprehensiveIncomeMember2020-12-272021-09-250000050863us-gaap:CommonStockIncludingAdditionalPaidInCapitalMember2020-12-272021-09-250000050863us-gaap:CommonStockIncludingAdditional</w:t>
      </w:r>
      <w:r>
        <w:rPr>
          <w:rFonts w:ascii="宋体" w:eastAsia="宋体" w:hAnsi="宋体" w:cs="宋体"/>
          <w:vanish/>
        </w:rPr>
        <w:t>PaidInCapitalMember2019-12-280000050863us-gaap:AccumulatedOtherComprehensiveIncomeMember2019-12-280000050863us-gaap:RetainedEarningsMember2019-12-280000050863us-gaap:RetainedEarningsMember2019-12-292020-09-260000050863us-gaap:AccumulatedOtherComprehensiveI</w:t>
      </w:r>
      <w:r>
        <w:rPr>
          <w:rFonts w:ascii="宋体" w:eastAsia="宋体" w:hAnsi="宋体" w:cs="宋体"/>
          <w:vanish/>
        </w:rPr>
        <w:t>ncomeMember2019-12-292020-09-260000050863us-gaap:CommonStockIncludingAdditionalPaidInCapitalMember2019-12-292020-09-260000050863intc:ClientComputingGroupMemberintc:PlatformMember2021-06-272021-09-250000050863intc:ClientComputingGroupMemberintc:PlatformMemb</w:t>
      </w:r>
      <w:r>
        <w:rPr>
          <w:rFonts w:ascii="宋体" w:eastAsia="宋体" w:hAnsi="宋体" w:cs="宋体"/>
          <w:vanish/>
        </w:rPr>
        <w:t>er2020-06-282020-09-260000050863intc:ClientComputingGroupMemberintc:PlatformMember2020-12-272021-09-250000050863intc:ClientComputingGroupMemberintc:PlatformMember2019-12-292020-09-260000050863intc:OtherProductOrServiceMemberintc:ClientComputingGroupMember2</w:t>
      </w:r>
      <w:r>
        <w:rPr>
          <w:rFonts w:ascii="宋体" w:eastAsia="宋体" w:hAnsi="宋体" w:cs="宋体"/>
          <w:vanish/>
        </w:rPr>
        <w:t>021-06-272021-09-250000050863intc:OtherProductOrServiceMemberintc:ClientComputingGroupMember2020-06-282020-09-260000050863intc:OtherProductOrServiceMemberintc:ClientComputingGroupMember2020-12-272021-09-250000050863intc:OtherProductOrServiceMemberintc:Clie</w:t>
      </w:r>
      <w:r>
        <w:rPr>
          <w:rFonts w:ascii="宋体" w:eastAsia="宋体" w:hAnsi="宋体" w:cs="宋体"/>
          <w:vanish/>
        </w:rPr>
        <w:t>ntComputingGroupMember2019-12-292020-09-260000050863intc:ClientComputingGroupMember2021-06-272021-09-250000050863intc:ClientComputingGroupMember2020-06-282020-09-260000050863intc:ClientComputingGroupMember2020-12-272021-09-250000050863intc:ClientComputingG</w:t>
      </w:r>
      <w:r>
        <w:rPr>
          <w:rFonts w:ascii="宋体" w:eastAsia="宋体" w:hAnsi="宋体" w:cs="宋体"/>
          <w:vanish/>
        </w:rPr>
        <w:t>roupMember2019-12-292020-09-260000050863intc:DataCenterGroupMemberintc:DCGPlatformMember2021-06-272021-09-250000050863intc:DataCenterGroupMemberintc:DCGPlatformMember2020-06-282020-09-260000050863intc:DataCenterGroupMemberintc:DCGPlatformMember2020-12-2720</w:t>
      </w:r>
      <w:r>
        <w:rPr>
          <w:rFonts w:ascii="宋体" w:eastAsia="宋体" w:hAnsi="宋体" w:cs="宋体"/>
          <w:vanish/>
        </w:rPr>
        <w:t>21-09-250000050863intc:DataCenterGroupMemberintc:DCGPlatformMember2019-12-292020-09-260000050863intc:DataCenterGroupMemberintc:OtherProductOrServiceMember2021-06-272021-09-250000050863intc:DataCenterGroupMemberintc:OtherProductOrServiceMember2020-06-282020</w:t>
      </w:r>
      <w:r>
        <w:rPr>
          <w:rFonts w:ascii="宋体" w:eastAsia="宋体" w:hAnsi="宋体" w:cs="宋体"/>
          <w:vanish/>
        </w:rPr>
        <w:t>-09-260000050863intc:DataCenterGroupMemberintc:OtherProductOrServiceMember2020-12-272021-09-250000050863intc:DataCenterGroupMemberintc:OtherProductOrServiceMember2019-12-292020-09-260000050863intc:DataCenterGroupMember2021-06-272021-09-250000050863intc:Dat</w:t>
      </w:r>
      <w:r>
        <w:rPr>
          <w:rFonts w:ascii="宋体" w:eastAsia="宋体" w:hAnsi="宋体" w:cs="宋体"/>
          <w:vanish/>
        </w:rPr>
        <w:t>aCenterGroupMember2020-06-282020-09-260000050863intc:DataCenterGroupMember2020-12-272021-09-250000050863intc:DataCenterGroupMember2019-12-292020-09-260000050863intc:InternetOfThingsGroupMember2021-06-272021-09-250000050863intc:InternetOfThingsGroupMember20</w:t>
      </w:r>
      <w:r>
        <w:rPr>
          <w:rFonts w:ascii="宋体" w:eastAsia="宋体" w:hAnsi="宋体" w:cs="宋体"/>
          <w:vanish/>
        </w:rPr>
        <w:t>20-06-282020-09-260000050863intc:InternetOfThingsGroupMember2020-12-272021-09-250000050863intc:InternetOfThingsGroupMember2019-12-292020-09-260000050863intc:MobileyeMember2021-06-272021-09-250000050863intc:MobileyeMember2020-06-282020-09-260000050863intc:M</w:t>
      </w:r>
      <w:r>
        <w:rPr>
          <w:rFonts w:ascii="宋体" w:eastAsia="宋体" w:hAnsi="宋体" w:cs="宋体"/>
          <w:vanish/>
        </w:rPr>
        <w:t>obileyeMember2020-12-272021-09-250000050863intc:MobileyeMember2019-12-292020-09-260000050863intc:InternetofThingsMember2021-06-272021-09-250000050863intc:InternetofThingsMember2020-06-282020-09-260000050863intc:InternetofThingsMember2020-12-272021-09-25000</w:t>
      </w:r>
      <w:r>
        <w:rPr>
          <w:rFonts w:ascii="宋体" w:eastAsia="宋体" w:hAnsi="宋体" w:cs="宋体"/>
          <w:vanish/>
        </w:rPr>
        <w:t>0050863intc:InternetofThingsMember2019-12-292020-09-260000050863intc:NonVolatileMemorySolutionsGroupMember2021-06-272021-09-250000050863intc:NonVolatileMemorySolutionsGroupMember2020-06-282020-09-260000050863intc:NonVolatileMemorySolutionsGroupMember2020-1</w:t>
      </w:r>
      <w:r>
        <w:rPr>
          <w:rFonts w:ascii="宋体" w:eastAsia="宋体" w:hAnsi="宋体" w:cs="宋体"/>
          <w:vanish/>
        </w:rPr>
        <w:t>2-272021-09-250000050863intc:NonVolatileMemorySolutionsGroupMember2019-12-292020-09-260000050863intc:ProgrammableSolutionsGroupMember2021-06-272021-09-250000050863intc:ProgrammableSolutionsGroupMember2020-06-282020-09-260000050863intc:ProgrammableSolutions</w:t>
      </w:r>
      <w:r>
        <w:rPr>
          <w:rFonts w:ascii="宋体" w:eastAsia="宋体" w:hAnsi="宋体" w:cs="宋体"/>
          <w:vanish/>
        </w:rPr>
        <w:t>GroupMember2020-12-272021-09-250000050863intc:ProgrammableSolutionsGroupMember2019-12-292020-09-260000050863us-gaap:AllOtherSegmentsMember2021-06-272021-09-250000050863us-gaap:AllOtherSegmentsMember2020-06-282020-09-260000050863us-gaap:AllOtherSegmentsMemb</w:t>
      </w:r>
      <w:r>
        <w:rPr>
          <w:rFonts w:ascii="宋体" w:eastAsia="宋体" w:hAnsi="宋体" w:cs="宋体"/>
          <w:vanish/>
        </w:rPr>
        <w:t>er2020-12-272021-09-250000050863us-gaap:AllOtherSegmentsMember2019-12-292020-09-260000050863intc:DesktopPlatformMember2021-06-272021-09-250000050863intc:DesktopPlatformMember2020-06-282020-09-260000050863intc:DesktopPlatformMember2020-12-272021-09-25000005</w:t>
      </w:r>
      <w:r>
        <w:rPr>
          <w:rFonts w:ascii="宋体" w:eastAsia="宋体" w:hAnsi="宋体" w:cs="宋体"/>
          <w:vanish/>
        </w:rPr>
        <w:t>0863intc:DesktopPlatformMember2019-12-292020-09-260000050863intc:NotebookPlatformMember2021-06-272021-09-250000050863intc:NotebookPlatformMember2020-06-282020-09-260000050863intc:NotebookPlatformMember2020-12-272021-09-250000050863intc:NotebookPlatformMemb</w:t>
      </w:r>
      <w:r>
        <w:rPr>
          <w:rFonts w:ascii="宋体" w:eastAsia="宋体" w:hAnsi="宋体" w:cs="宋体"/>
          <w:vanish/>
        </w:rPr>
        <w:t>er2019-12-292020-09-260000050863intc:OtherPlatformMember2021-06-272021-09-250000050863intc:OtherPlatformMember2020-06-282020-09-260000050863intc:OtherPlatformMember2020-12-272021-09-250000050863intc:OtherPlatformMember2019-12-292020-09-260000050863intc:IOT</w:t>
      </w:r>
      <w:r>
        <w:rPr>
          <w:rFonts w:ascii="宋体" w:eastAsia="宋体" w:hAnsi="宋体" w:cs="宋体"/>
          <w:vanish/>
        </w:rPr>
        <w:t>GPlatformMember2021-06-272021-09-250000050863intc:IOTGPlatformMember2020-06-282020-09-260000050863intc:IOTGPlatformMember2020-12-272021-09-250000050863intc:IOTGPlatformMember2019-12-292020-09-260000050863intc:PlatformMember2021-06-272021-09-250000050863int</w:t>
      </w:r>
      <w:r>
        <w:rPr>
          <w:rFonts w:ascii="宋体" w:eastAsia="宋体" w:hAnsi="宋体" w:cs="宋体"/>
          <w:vanish/>
        </w:rPr>
        <w:t>c:PlatformMember2020-06-282020-09-260000050863intc:PlatformMember2020-12-272021-09-250000050863intc:PlatformMember2019-12-292020-09-260000050863intc:OtherProductOrServiceMember2021-06-272021-09-250000050863intc:OtherProductOrServiceMember2020-06-282020-09-</w:t>
      </w:r>
      <w:r>
        <w:rPr>
          <w:rFonts w:ascii="宋体" w:eastAsia="宋体" w:hAnsi="宋体" w:cs="宋体"/>
          <w:vanish/>
        </w:rPr>
        <w:t>260000050863intc:OtherProductOrServiceMember2020-12-272021-09-250000050863intc:OtherProductOrServiceMember2019-12-292020-09-260000050863intc:PrepaidSupplyAgreementsMember2020-12-260000050863intc:PrepaidSupplyAgreementsMember2020-12-272021-09-250000050863in</w:t>
      </w:r>
      <w:r>
        <w:rPr>
          <w:rFonts w:ascii="宋体" w:eastAsia="宋体" w:hAnsi="宋体" w:cs="宋体"/>
          <w:vanish/>
        </w:rPr>
        <w:t>tc:PrepaidSupplyAgreementsMember2021-09-2500000508632020-12-272021-03-2700000508632021-03-282021-06-260000050863us-gaap:DebtSecuritiesMember2021-06-272021-09-250000050863us-gaap:DebtSecuritiesMember2020-12-272021-09-250000050863us-gaap:DebtSecuritiesMember</w:t>
      </w:r>
      <w:r>
        <w:rPr>
          <w:rFonts w:ascii="宋体" w:eastAsia="宋体" w:hAnsi="宋体" w:cs="宋体"/>
          <w:vanish/>
        </w:rPr>
        <w:t>2020-06-282020-09-260000050863us-gaap:DebtSecuritiesMember2019-12-292020-09-260000050863intc:McAfeeMember2021-06-272021-09-250000050863intc:BejingUnisocTechnologyLtdMember2020-12-272021-03-270000050863intc:BejingUnisocTechnologyLtdMember2021-09-25000005086</w:t>
      </w:r>
      <w:r>
        <w:rPr>
          <w:rFonts w:ascii="宋体" w:eastAsia="宋体" w:hAnsi="宋体" w:cs="宋体"/>
          <w:vanish/>
        </w:rPr>
        <w:t>3intc:BejingUnisocTechnologyLtdMember2020-12-260000050863intc:MoovitMember2020-05-042020-05-040000050863intc:MoovitMember2020-05-0400000508632020-10-192020-10-190000050863srt:ScenarioForecastMember2021-11-012021-11-010000050863srt:ScenarioForecastMember202</w:t>
      </w:r>
      <w:r>
        <w:rPr>
          <w:rFonts w:ascii="宋体" w:eastAsia="宋体" w:hAnsi="宋体" w:cs="宋体"/>
          <w:vanish/>
        </w:rPr>
        <w:t>5-03-012025-03-310000050863srt:ScenarioForecastMember2021-03-282021-10-310000050863intc:SeniorNotesDueMay2021Memberus-gaap:SeniorNotesMember2021-06-272021-09-250000050863us-gaap:SeniorNotesMember2021-09-250000050863us-gaap:RevolvingCreditFacilityMemberintc</w:t>
      </w:r>
      <w:r>
        <w:rPr>
          <w:rFonts w:ascii="宋体" w:eastAsia="宋体" w:hAnsi="宋体" w:cs="宋体"/>
          <w:vanish/>
        </w:rPr>
        <w:t>:VariableRateRevolvingCreditFacilityMember2021-09-250000050863us-gaap:CommercialPaperMember2021-09-25xbrli:pure0000050863intc:DebtInstrumentFortyMember2021-09-250000050863intc:DebtInstrumentFortyMember2020-12-260000050863intc:DebtInstrumentThirtyOneMember2</w:t>
      </w:r>
      <w:r>
        <w:rPr>
          <w:rFonts w:ascii="宋体" w:eastAsia="宋体" w:hAnsi="宋体" w:cs="宋体"/>
          <w:vanish/>
        </w:rPr>
        <w:t>021-09-250000050863intc:DebtInstrumentThirtyOneMember2020-12-260000050863intc:DebtInstrumentSevenMember2021-09-250000050863intc:DebtInstrumentSevenMember2020-12-260000050863intc:DebtInstrumentThirtyNineMember2021-09-250000050863intc:DebtInstrumentThirtyNin</w:t>
      </w:r>
      <w:r>
        <w:rPr>
          <w:rFonts w:ascii="宋体" w:eastAsia="宋体" w:hAnsi="宋体" w:cs="宋体"/>
          <w:vanish/>
        </w:rPr>
        <w:t>eMember2020-12-260000050863intc:DebtInstrumentFifteenMember2021-09-250000050863intc:DebtInstrumentFifteenMember2020-12-260000050863intc:DebtInstrumentTwentyThreeMember2021-09-250000050863intc:DebtInstrumentTwentyThreeMember2020-12-260000050863intc:DebtInst</w:t>
      </w:r>
      <w:r>
        <w:rPr>
          <w:rFonts w:ascii="宋体" w:eastAsia="宋体" w:hAnsi="宋体" w:cs="宋体"/>
          <w:vanish/>
        </w:rPr>
        <w:t>rumentTenMember2021-09-250000050863intc:DebtInstrumentTenMember2020-12-260000050863intc:DebtInstrumentTwentyNineMember2021-09-250000050863intc:DebtInstrumentTwentyNineMember2020-12-260000050863intc:DebtInstrumentFortyOneMember2021-09-250000050863intc:DebtI</w:t>
      </w:r>
      <w:r>
        <w:rPr>
          <w:rFonts w:ascii="宋体" w:eastAsia="宋体" w:hAnsi="宋体" w:cs="宋体"/>
          <w:vanish/>
        </w:rPr>
        <w:t>nstrumentFortyOneMember2020-12-260000050863intc:DebtInstrumentFortyFourMember2021-09-250000050863intc:DebtInstrumentFortyFourMember2020-12-260000050863intc:FixedrateSeniorNotes3.40dueMarch2025Member2021-09-250000050863intc:FixedrateSeniorNotes3.40dueMarch2</w:t>
      </w:r>
      <w:r>
        <w:rPr>
          <w:rFonts w:ascii="宋体" w:eastAsia="宋体" w:hAnsi="宋体" w:cs="宋体"/>
          <w:vanish/>
        </w:rPr>
        <w:t>025Member2020-12-260000050863intc:DebtInstrumentSixteenMember2021-09-250000050863intc:DebtInstrumentSixteenMember2020-12-260000050863intc:DebtInstrumentThirtyTwoMember2021-09-250000050863intc:DebtInstrumentThirtyTwoMember2020-12-260000050863intc:FixedrateS</w:t>
      </w:r>
      <w:r>
        <w:rPr>
          <w:rFonts w:ascii="宋体" w:eastAsia="宋体" w:hAnsi="宋体" w:cs="宋体"/>
          <w:vanish/>
        </w:rPr>
        <w:t>eniorNotes3.75dueMarch2027Member2021-09-250000050863intc:FixedrateSeniorNotes3.75dueMarch2027Member2020-12-260000050863intc:DebtInstrumentFortyTwoMember2021-09-250000050863intc:DebtInstrumentFortyTwoMember2020-12-260000050863intc:FixedRateSeniorNotes160Due</w:t>
      </w:r>
      <w:r>
        <w:rPr>
          <w:rFonts w:ascii="宋体" w:eastAsia="宋体" w:hAnsi="宋体" w:cs="宋体"/>
          <w:vanish/>
        </w:rPr>
        <w:t>August2028Member2021-09-250000050863intc:FixedRateSeniorNotes160DueAugust2028Member2020-12-260000050863intc:A2019SeniorNotesdueDecember2029at2.45Member2021-09-250000050863intc:A2019SeniorNotesdueDecember2029at2.45Member2020-12-260000050863intc:FixedrateSen</w:t>
      </w:r>
      <w:r>
        <w:rPr>
          <w:rFonts w:ascii="宋体" w:eastAsia="宋体" w:hAnsi="宋体" w:cs="宋体"/>
          <w:vanish/>
        </w:rPr>
        <w:t>iorNotes3.90dueMarch2030Member2021-09-250000050863intc:FixedrateSeniorNotes3.90dueMarch2030Member2020-12-260000050863intc:FixedRateSeniorNotes200DueAugust2031Member2021-09-250000050863intc:FixedRateSeniorNotes200DueAugust2031Member2020-12-260000050863intc:</w:t>
      </w:r>
      <w:r>
        <w:rPr>
          <w:rFonts w:ascii="宋体" w:eastAsia="宋体" w:hAnsi="宋体" w:cs="宋体"/>
          <w:vanish/>
        </w:rPr>
        <w:t>DebtInstrumentElevenMember2021-09-250000050863intc:DebtInstrumentElevenMember2020-12-260000050863intc:FixedrateSeniorNotes4.60dueMarch2040Member2021-09-250000050863intc:FixedrateSeniorNotes4.60dueMarch2040Member2020-12-260000050863intc:FixedRateSeniorNotes</w:t>
      </w:r>
      <w:r>
        <w:rPr>
          <w:rFonts w:ascii="宋体" w:eastAsia="宋体" w:hAnsi="宋体" w:cs="宋体"/>
          <w:vanish/>
        </w:rPr>
        <w:t>280DueAugust2041Member2021-09-250000050863intc:FixedRateSeniorNotes280DueAugust2041Member2020-12-260000050863intc:DebtInstrumentEightMember2021-09-250000050863intc:DebtInstrumentEightMember2020-12-260000050863intc:DebtInstrumentTwelveMember2021-09-25000005</w:t>
      </w:r>
      <w:r>
        <w:rPr>
          <w:rFonts w:ascii="宋体" w:eastAsia="宋体" w:hAnsi="宋体" w:cs="宋体"/>
          <w:vanish/>
        </w:rPr>
        <w:t>0863intc:DebtInstrumentTwelveMember2020-12-260000050863intc:DebtInstrumentSeventeenMember2021-09-250000050863intc:DebtInstrumentSeventeenMember2020-12-260000050863intc:DebtInstrumentThirtyThreeMember2021-09-250000050863intc:DebtInstrumentThirtyThreeMember2</w:t>
      </w:r>
      <w:r>
        <w:rPr>
          <w:rFonts w:ascii="宋体" w:eastAsia="宋体" w:hAnsi="宋体" w:cs="宋体"/>
          <w:vanish/>
        </w:rPr>
        <w:t>020-12-260000050863intc:DebtInstrumentFortyThreeMember2021-09-250000050863intc:DebtInstrumentFortyThreeMember2020-12-260000050863intc:A6404.10SeniorNotesdueAugust2047Member2021-09-250000050863intc:A6404.10SeniorNotesdueAugust2047Member2020-12-260000050863i</w:t>
      </w:r>
      <w:r>
        <w:rPr>
          <w:rFonts w:ascii="宋体" w:eastAsia="宋体" w:hAnsi="宋体" w:cs="宋体"/>
          <w:vanish/>
        </w:rPr>
        <w:t>ntc:A2017SeniornotesdueDecember2047at3.73Member2021-09-250000050863intc:A2017SeniornotesdueDecember2047at3.73Member2020-12-260000050863intc:A2019SeniorNotesdueDecember2049at3.25Member2021-09-250000050863intc:A2019SeniorNotesdueDecember2049at3.25Member2020-</w:t>
      </w:r>
      <w:r>
        <w:rPr>
          <w:rFonts w:ascii="宋体" w:eastAsia="宋体" w:hAnsi="宋体" w:cs="宋体"/>
          <w:vanish/>
        </w:rPr>
        <w:t>12-260000050863intc:FixedrateSeniorNotes4.75dueMarch2050Member2021-09-250000050863intc:FixedrateSeniorNotes4.75dueMarch2050Member2020-12-260000050863intc:FixedRateSeniorNotes305DueAugust2051Member2021-09-250000050863intc:FixedRateSeniorNotes305DueAugust205</w:t>
      </w:r>
      <w:r>
        <w:rPr>
          <w:rFonts w:ascii="宋体" w:eastAsia="宋体" w:hAnsi="宋体" w:cs="宋体"/>
          <w:vanish/>
        </w:rPr>
        <w:t>1Member2020-12-260000050863intc:FixedrateSeniorNotes3.10dueFebruary2060Member2021-09-250000050863intc:FixedrateSeniorNotes3.10dueFebruary2060Member2020-12-260000050863intc:FixedrateSeniorNotes4.95dueMarch2060Member2021-09-250000050863intc:FixedrateSeniorNo</w:t>
      </w:r>
      <w:r>
        <w:rPr>
          <w:rFonts w:ascii="宋体" w:eastAsia="宋体" w:hAnsi="宋体" w:cs="宋体"/>
          <w:vanish/>
        </w:rPr>
        <w:t>tes4.95dueMarch2060Member2020-12-260000050863intc:FixedRateSeniorNotes320DueAugust2061Member2021-09-250000050863intc:FixedRateSeniorNotes320DueAugust2061Member2020-12-260000050863intc:OregonandArizonaBondsMember2021-09-250000050863intc:OregonandArizonaBond</w:t>
      </w:r>
      <w:r>
        <w:rPr>
          <w:rFonts w:ascii="宋体" w:eastAsia="宋体" w:hAnsi="宋体" w:cs="宋体"/>
          <w:vanish/>
        </w:rPr>
        <w:t>sMember2020-12-260000050863intc:StateofOregonBusinessDevelopmentCommissionMember2021-09-250000050863intc:StateofOregonBusinessDevelopmentCommissionMember2020-12-260000050863intc:IndustrialAuthorityoftheCityofChandlerArizonaMember2021-09-250000050863intc:In</w:t>
      </w:r>
      <w:r>
        <w:rPr>
          <w:rFonts w:ascii="宋体" w:eastAsia="宋体" w:hAnsi="宋体" w:cs="宋体"/>
          <w:vanish/>
        </w:rPr>
        <w:t>dustrialAuthorityoftheCityofChandlerArizonaMember2020-12-260000050863us-gaap:InterestRateSwapMemberus-gaap:FairValueHedgingMember2020-12-272021-09-250000050863us-gaap:InterestRateSwapMemberus-gaap:FairValueHedgingMember2019-12-292020-12-260000050863intc:De</w:t>
      </w:r>
      <w:r>
        <w:rPr>
          <w:rFonts w:ascii="宋体" w:eastAsia="宋体" w:hAnsi="宋体" w:cs="宋体"/>
          <w:vanish/>
        </w:rPr>
        <w:t>btInstrumentTwentyThreeMemberus-gaap:CrossCurrencyInterestRateContractMember2021-09-250000050863us-gaap:CashEquivalentsMemberus-gaap:FairValueMeasurementsRecurringMemberus-gaap:CorporateDebtSecuritiesMemberus-gaap:FairValueInputsLevel1Member2021-09-2500000</w:t>
      </w:r>
      <w:r>
        <w:rPr>
          <w:rFonts w:ascii="宋体" w:eastAsia="宋体" w:hAnsi="宋体" w:cs="宋体"/>
          <w:vanish/>
        </w:rPr>
        <w:t>50863us-gaap:CashEquivalentsMemberus-gaap:FairValueMeasurementsRecurringMemberus-gaap:CorporateDebtSecuritiesMemberus-gaap:FairValueInputsLevel2Member2021-09-250000050863us-gaap:FairValueInputsLevel3Memberus-gaap:CashEquivalentsMemberus-gaap:FairValueMeasu</w:t>
      </w:r>
      <w:r>
        <w:rPr>
          <w:rFonts w:ascii="宋体" w:eastAsia="宋体" w:hAnsi="宋体" w:cs="宋体"/>
          <w:vanish/>
        </w:rPr>
        <w:t>rementsRecurringMemberus-gaap:CorporateDebtSecuritiesMember2021-09-250000050863us-gaap:CashEquivalentsMemberus-gaap:FairValueMeasurementsRecurringMemberus-gaap:CorporateDebtSecuritiesMember2021-09-250000050863us-gaap:CashEquivalentsMemberus-gaap:FairValueM</w:t>
      </w:r>
      <w:r>
        <w:rPr>
          <w:rFonts w:ascii="宋体" w:eastAsia="宋体" w:hAnsi="宋体" w:cs="宋体"/>
          <w:vanish/>
        </w:rPr>
        <w:t>easurementsRecurringMemberus-gaap:CorporateDebtSecuritiesMemberus-gaap:FairValueInputsLevel1Member2020-12-260000050863us-gaap:CashEquivalentsMemberus-gaap:FairValueMeasurementsRecurringMemberus-gaap:CorporateDebtSecuritiesMemberus-gaap:FairValueInputsLevel</w:t>
      </w:r>
      <w:r>
        <w:rPr>
          <w:rFonts w:ascii="宋体" w:eastAsia="宋体" w:hAnsi="宋体" w:cs="宋体"/>
          <w:vanish/>
        </w:rPr>
        <w:t>2Member2020-12-260000050863us-gaap:FairValueInputsLevel3Memberus-gaap:CashEquivalentsMemberus-gaap:FairValueMeasurementsRecurringMemberus-gaap:CorporateDebtSecuritiesMember2020-12-260000050863us-gaap:CashEquivalentsMemberus-gaap:FairValueMeasurementsRecurr</w:t>
      </w:r>
      <w:r>
        <w:rPr>
          <w:rFonts w:ascii="宋体" w:eastAsia="宋体" w:hAnsi="宋体" w:cs="宋体"/>
          <w:vanish/>
        </w:rPr>
        <w:t>ingMemberus-gaap:CorporateDebtSecuritiesMember2020-12-260000050863us-gaap:FixedIncomeSecuritiesMemberus-gaap:CashEquivalentsMemberus-gaap:FairValueMeasurementsRecurringMemberus-gaap:FairValueInputsLevel1Member2021-09-250000050863us-gaap:FixedIncomeSecuriti</w:t>
      </w:r>
      <w:r>
        <w:rPr>
          <w:rFonts w:ascii="宋体" w:eastAsia="宋体" w:hAnsi="宋体" w:cs="宋体"/>
          <w:vanish/>
        </w:rPr>
        <w:t>esMemberus-gaap:CashEquivalentsMemberus-gaap:FairValueMeasurementsRecurringMemberus-gaap:FairValueInputsLevel2Member2021-09-250000050863us-gaap:FixedIncomeSecuritiesMemberus-gaap:FairValueInputsLevel3Memberus-gaap:CashEquivalentsMemberus-gaap:FairValueMeas</w:t>
      </w:r>
      <w:r>
        <w:rPr>
          <w:rFonts w:ascii="宋体" w:eastAsia="宋体" w:hAnsi="宋体" w:cs="宋体"/>
          <w:vanish/>
        </w:rPr>
        <w:t>urementsRecurringMember2021-09-250000050863us-gaap:FixedIncomeSecuritiesMemberus-gaap:CashEquivalentsMemberus-gaap:FairValueMeasurementsRecurringMember2021-09-250000050863us-gaap:FixedIncomeSecuritiesMemberus-gaap:CashEquivalentsMemberus-gaap:FairValueMeas</w:t>
      </w:r>
      <w:r>
        <w:rPr>
          <w:rFonts w:ascii="宋体" w:eastAsia="宋体" w:hAnsi="宋体" w:cs="宋体"/>
          <w:vanish/>
        </w:rPr>
        <w:t>urementsRecurringMemberus-gaap:FairValueInputsLevel1Member2020-12-260000050863us-gaap:FixedIncomeSecuritiesMemberus-gaap:CashEquivalentsMemberus-gaap:FairValueMeasurementsRecurringMemberus-gaap:FairValueInputsLevel2Member2020-12-260000050863us-gaap:FixedIn</w:t>
      </w:r>
      <w:r>
        <w:rPr>
          <w:rFonts w:ascii="宋体" w:eastAsia="宋体" w:hAnsi="宋体" w:cs="宋体"/>
          <w:vanish/>
        </w:rPr>
        <w:t>comeSecuritiesMemberus-gaap:FairValueInputsLevel3Memberus-gaap:CashEquivalentsMemberus-gaap:FairValueMeasurementsRecurringMember2020-12-260000050863us-gaap:FixedIncomeSecuritiesMemberus-gaap:CashEquivalentsMemberus-gaap:FairValueMeasurementsRecurringMember</w:t>
      </w:r>
      <w:r>
        <w:rPr>
          <w:rFonts w:ascii="宋体" w:eastAsia="宋体" w:hAnsi="宋体" w:cs="宋体"/>
          <w:vanish/>
        </w:rPr>
        <w:t>2020-12-260000050863intc:GovernmentDebtSecuritiesMemberus-gaap:CashEquivalentsMemberus-gaap:FairValueMeasurementsRecurringMemberus-gaap:FairValueInputsLevel1Member2021-09-250000050863intc:GovernmentDebtSecuritiesMemberus-gaap:CashEquivalentsMemberus-gaap:F</w:t>
      </w:r>
      <w:r>
        <w:rPr>
          <w:rFonts w:ascii="宋体" w:eastAsia="宋体" w:hAnsi="宋体" w:cs="宋体"/>
          <w:vanish/>
        </w:rPr>
        <w:t>airValueMeasurementsRecurringMemberus-gaap:FairValueInputsLevel2Member2021-09-250000050863us-gaap:FairValueInputsLevel3Memberintc:GovernmentDebtSecuritiesMemberus-gaap:CashEquivalentsMemberus-gaap:FairValueMeasurementsRecurringMember2021-09-250000050863int</w:t>
      </w:r>
      <w:r>
        <w:rPr>
          <w:rFonts w:ascii="宋体" w:eastAsia="宋体" w:hAnsi="宋体" w:cs="宋体"/>
          <w:vanish/>
        </w:rPr>
        <w:t>c:GovernmentDebtSecuritiesMemberus-gaap:CashEquivalentsMemberus-gaap:FairValueMeasurementsRecurringMember2021-09-250000050863intc:GovernmentDebtSecuritiesMemberus-gaap:CashEquivalentsMemberus-gaap:FairValueMeasurementsRecurringMemberus-gaap:FairValueInputs</w:t>
      </w:r>
      <w:r>
        <w:rPr>
          <w:rFonts w:ascii="宋体" w:eastAsia="宋体" w:hAnsi="宋体" w:cs="宋体"/>
          <w:vanish/>
        </w:rPr>
        <w:t>Level1Member2020-12-260000050863intc:GovernmentDebtSecuritiesMemberus-gaap:CashEquivalentsMemberus-gaap:FairValueMeasurementsRecurringMemberus-gaap:FairValueInputsLevel2Member2020-12-260000050863us-gaap:FairValueInputsLevel3Memberintc:GovernmentDebtSecurit</w:t>
      </w:r>
      <w:r>
        <w:rPr>
          <w:rFonts w:ascii="宋体" w:eastAsia="宋体" w:hAnsi="宋体" w:cs="宋体"/>
          <w:vanish/>
        </w:rPr>
        <w:t>iesMemberus-gaap:CashEquivalentsMemberus-gaap:FairValueMeasurementsRecurringMember2020-12-260000050863intc:GovernmentDebtSecuritiesMemberus-gaap:CashEquivalentsMemberus-gaap:FairValueMeasurementsRecurringMember2020-12-260000050863us-gaap:CashEquivalentsMem</w:t>
      </w:r>
      <w:r>
        <w:rPr>
          <w:rFonts w:ascii="宋体" w:eastAsia="宋体" w:hAnsi="宋体" w:cs="宋体"/>
          <w:vanish/>
        </w:rPr>
        <w:t>berus-gaap:FairValueMeasurementsRecurringMemberus-gaap:FairValueInputsLevel1Member2021-09-250000050863us-gaap:CashEquivalentsMemberus-gaap:FairValueMeasurementsRecurringMemberus-gaap:FairValueInputsLevel2Member2021-09-250000050863us-gaap:FairValueInputsLev</w:t>
      </w:r>
      <w:r>
        <w:rPr>
          <w:rFonts w:ascii="宋体" w:eastAsia="宋体" w:hAnsi="宋体" w:cs="宋体"/>
          <w:vanish/>
        </w:rPr>
        <w:t>el3Memberus-gaap:CashEquivalentsMemberus-gaap:FairValueMeasurementsRecurringMember2021-09-250000050863us-gaap:CashEquivalentsMemberus-gaap:FairValueMeasurementsRecurringMember2021-09-250000050863us-gaap:CashEquivalentsMemberus-gaap:FairValueMeasurementsRec</w:t>
      </w:r>
      <w:r>
        <w:rPr>
          <w:rFonts w:ascii="宋体" w:eastAsia="宋体" w:hAnsi="宋体" w:cs="宋体"/>
          <w:vanish/>
        </w:rPr>
        <w:t>urringMemberus-gaap:FairValueInputsLevel1Member2020-12-260000050863us-gaap:CashEquivalentsMemberus-gaap:FairValueMeasurementsRecurringMemberus-gaap:FairValueInputsLevel2Member2020-12-260000050863us-gaap:FairValueInputsLevel3Memberus-gaap:CashEquivalentsMem</w:t>
      </w:r>
      <w:r>
        <w:rPr>
          <w:rFonts w:ascii="宋体" w:eastAsia="宋体" w:hAnsi="宋体" w:cs="宋体"/>
          <w:vanish/>
        </w:rPr>
        <w:t>berus-gaap:FairValueMeasurementsRecurringMember2020-12-260000050863us-gaap:CashEquivalentsMemberus-gaap:FairValueMeasurementsRecurringMember2020-12-260000050863us-gaap:FairValueMeasurementsRecurringMemberus-gaap:CorporateDebtSecuritiesMemberus-gaap:FairVal</w:t>
      </w:r>
      <w:r>
        <w:rPr>
          <w:rFonts w:ascii="宋体" w:eastAsia="宋体" w:hAnsi="宋体" w:cs="宋体"/>
          <w:vanish/>
        </w:rPr>
        <w:t>ueInputsLevel1Memberus-gaap:ShortTermInvestmentsMember2021-09-250000050863us-gaap:FairValueMeasurementsRecurringMemberus-gaap:CorporateDebtSecuritiesMemberus-gaap:ShortTermInvestmentsMemberus-gaap:FairValueInputsLevel2Member2021-09-250000050863us-gaap:Fair</w:t>
      </w:r>
      <w:r>
        <w:rPr>
          <w:rFonts w:ascii="宋体" w:eastAsia="宋体" w:hAnsi="宋体" w:cs="宋体"/>
          <w:vanish/>
        </w:rPr>
        <w:t>ValueInputsLevel3Memberus-gaap:FairValueMeasurementsRecurringMemberus-gaap:CorporateDebtSecuritiesMemberus-gaap:ShortTermInvestmentsMember2021-09-250000050863us-gaap:FairValueMeasurementsRecurringMemberus-gaap:CorporateDebtSecuritiesMemberus-gaap:ShortTerm</w:t>
      </w:r>
      <w:r>
        <w:rPr>
          <w:rFonts w:ascii="宋体" w:eastAsia="宋体" w:hAnsi="宋体" w:cs="宋体"/>
          <w:vanish/>
        </w:rPr>
        <w:t>InvestmentsMember2021-09-250000050863us-gaap:FairValueMeasurementsRecurringMemberus-gaap:CorporateDebtSecuritiesMemberus-gaap:FairValueInputsLevel1Memberus-gaap:ShortTermInvestmentsMember2020-12-260000050863us-gaap:FairValueMeasurementsRecurringMemberus-ga</w:t>
      </w:r>
      <w:r>
        <w:rPr>
          <w:rFonts w:ascii="宋体" w:eastAsia="宋体" w:hAnsi="宋体" w:cs="宋体"/>
          <w:vanish/>
        </w:rPr>
        <w:t>ap:CorporateDebtSecuritiesMemberus-gaap:ShortTermInvestmentsMemberus-gaap:FairValueInputsLevel2Member2020-12-260000050863us-gaap:FairValueInputsLevel3Memberus-gaap:FairValueMeasurementsRecurringMemberus-gaap:CorporateDebtSecuritiesMemberus-gaap:ShortTermIn</w:t>
      </w:r>
      <w:r>
        <w:rPr>
          <w:rFonts w:ascii="宋体" w:eastAsia="宋体" w:hAnsi="宋体" w:cs="宋体"/>
          <w:vanish/>
        </w:rPr>
        <w:t>vestmentsMember2020-12-260000050863us-gaap:FairValueMeasurementsRecurringMemberus-gaap:CorporateDebtSecuritiesMemberus-gaap:ShortTermInvestmentsMember2020-12-260000050863us-gaap:FixedIncomeSecuritiesMemberus-gaap:FairValueMeasurementsRecurringMemberus-gaap</w:t>
      </w:r>
      <w:r>
        <w:rPr>
          <w:rFonts w:ascii="宋体" w:eastAsia="宋体" w:hAnsi="宋体" w:cs="宋体"/>
          <w:vanish/>
        </w:rPr>
        <w:t>:FairValueInputsLevel1Memberus-gaap:ShortTermInvestmentsMember2021-09-250000050863us-gaap:FixedIncomeSecuritiesMemberus-gaap:FairValueMeasurementsRecurringMemberus-gaap:ShortTermInvestmentsMemberus-gaap:FairValueInputsLevel2Member2021-09-250000050863us-gaa</w:t>
      </w:r>
      <w:r>
        <w:rPr>
          <w:rFonts w:ascii="宋体" w:eastAsia="宋体" w:hAnsi="宋体" w:cs="宋体"/>
          <w:vanish/>
        </w:rPr>
        <w:t>p:FixedIncomeSecuritiesMemberus-gaap:FairValueInputsLevel3Memberus-gaap:FairValueMeasurementsRecurringMemberus-gaap:ShortTermInvestmentsMember2021-09-250000050863us-gaap:FixedIncomeSecuritiesMemberus-gaap:FairValueMeasurementsRecurringMemberus-gaap:ShortTe</w:t>
      </w:r>
      <w:r>
        <w:rPr>
          <w:rFonts w:ascii="宋体" w:eastAsia="宋体" w:hAnsi="宋体" w:cs="宋体"/>
          <w:vanish/>
        </w:rPr>
        <w:t>rmInvestmentsMember2021-09-250000050863us-gaap:FixedIncomeSecuritiesMemberus-gaap:FairValueMeasurementsRecurringMemberus-gaap:FairValueInputsLevel1Memberus-gaap:ShortTermInvestmentsMember2020-12-260000050863us-gaap:FixedIncomeSecuritiesMemberus-gaap:FairVa</w:t>
      </w:r>
      <w:r>
        <w:rPr>
          <w:rFonts w:ascii="宋体" w:eastAsia="宋体" w:hAnsi="宋体" w:cs="宋体"/>
          <w:vanish/>
        </w:rPr>
        <w:t>lueMeasurementsRecurringMemberus-gaap:ShortTermInvestmentsMemberus-gaap:FairValueInputsLevel2Member2020-12-260000050863us-gaap:FixedIncomeSecuritiesMemberus-gaap:FairValueInputsLevel3Memberus-gaap:FairValueMeasurementsRecurringMemberus-gaap:ShortTermInvest</w:t>
      </w:r>
      <w:r>
        <w:rPr>
          <w:rFonts w:ascii="宋体" w:eastAsia="宋体" w:hAnsi="宋体" w:cs="宋体"/>
          <w:vanish/>
        </w:rPr>
        <w:t>mentsMember2020-12-260000050863us-gaap:FixedIncomeSecuritiesMemberus-gaap:FairValueMeasurementsRecurringMemberus-gaap:ShortTermInvestmentsMember2020-12-260000050863intc:GovernmentDebtSecuritiesMemberus-gaap:FairValueMeasurementsRecurringMemberus-gaap:FairV</w:t>
      </w:r>
      <w:r>
        <w:rPr>
          <w:rFonts w:ascii="宋体" w:eastAsia="宋体" w:hAnsi="宋体" w:cs="宋体"/>
          <w:vanish/>
        </w:rPr>
        <w:t>alueInputsLevel1Memberus-gaap:ShortTermInvestmentsMember2021-09-250000050863intc:GovernmentDebtSecuritiesMemberus-gaap:FairValueMeasurementsRecurringMemberus-gaap:ShortTermInvestmentsMemberus-gaap:FairValueInputsLevel2Member2021-09-250000050863us-gaap:Fair</w:t>
      </w:r>
      <w:r>
        <w:rPr>
          <w:rFonts w:ascii="宋体" w:eastAsia="宋体" w:hAnsi="宋体" w:cs="宋体"/>
          <w:vanish/>
        </w:rPr>
        <w:t>ValueInputsLevel3Memberintc:GovernmentDebtSecuritiesMemberus-gaap:FairValueMeasurementsRecurringMemberus-gaap:ShortTermInvestmentsMember2021-09-250000050863intc:GovernmentDebtSecuritiesMemberus-gaap:FairValueMeasurementsRecurringMemberus-gaap:ShortTermInve</w:t>
      </w:r>
      <w:r>
        <w:rPr>
          <w:rFonts w:ascii="宋体" w:eastAsia="宋体" w:hAnsi="宋体" w:cs="宋体"/>
          <w:vanish/>
        </w:rPr>
        <w:t>stmentsMember2021-09-250000050863intc:GovernmentDebtSecuritiesMemberus-gaap:FairValueMeasurementsRecurringMemberus-gaap:FairValueInputsLevel1Memberus-gaap:ShortTermInvestmentsMember2020-12-260000050863intc:GovernmentDebtSecuritiesMemberus-gaap:FairValueMea</w:t>
      </w:r>
      <w:r>
        <w:rPr>
          <w:rFonts w:ascii="宋体" w:eastAsia="宋体" w:hAnsi="宋体" w:cs="宋体"/>
          <w:vanish/>
        </w:rPr>
        <w:t>surementsRecurringMemberus-gaap:ShortTermInvestmentsMemberus-gaap:FairValueInputsLevel2Member2020-12-260000050863us-gaap:FairValueInputsLevel3Memberintc:GovernmentDebtSecuritiesMemberus-gaap:FairValueMeasurementsRecurringMemberus-gaap:ShortTermInvestmentsM</w:t>
      </w:r>
      <w:r>
        <w:rPr>
          <w:rFonts w:ascii="宋体" w:eastAsia="宋体" w:hAnsi="宋体" w:cs="宋体"/>
          <w:vanish/>
        </w:rPr>
        <w:t>ember2020-12-260000050863intc:GovernmentDebtSecuritiesMemberus-gaap:FairValueMeasurementsRecurringMemberus-gaap:ShortTermInvestmentsMember2020-12-260000050863us-gaap:FairValueMeasurementsRecurringMemberus-gaap:CorporateDebtSecuritiesMemberus-gaap:FairValue</w:t>
      </w:r>
      <w:r>
        <w:rPr>
          <w:rFonts w:ascii="宋体" w:eastAsia="宋体" w:hAnsi="宋体" w:cs="宋体"/>
          <w:vanish/>
        </w:rPr>
        <w:t>InputsLevel1Member2021-09-250000050863us-gaap:FairValueMeasurementsRecurringMemberus-gaap:CorporateDebtSecuritiesMemberus-gaap:FairValueInputsLevel2Member2021-09-250000050863us-gaap:FairValueInputsLevel3Memberus-gaap:FairValueMeasurementsRecurringMemberus-</w:t>
      </w:r>
      <w:r>
        <w:rPr>
          <w:rFonts w:ascii="宋体" w:eastAsia="宋体" w:hAnsi="宋体" w:cs="宋体"/>
          <w:vanish/>
        </w:rPr>
        <w:t>gaap:CorporateDebtSecuritiesMember2021-09-250000050863us-gaap:FairValueMeasurementsRecurringMemberus-gaap:CorporateDebtSecuritiesMember2021-09-250000050863us-gaap:FairValueMeasurementsRecurringMemberus-gaap:CorporateDebtSecuritiesMemberus-gaap:FairValueInp</w:t>
      </w:r>
      <w:r>
        <w:rPr>
          <w:rFonts w:ascii="宋体" w:eastAsia="宋体" w:hAnsi="宋体" w:cs="宋体"/>
          <w:vanish/>
        </w:rPr>
        <w:t>utsLevel1Member2020-12-260000050863us-gaap:FairValueMeasurementsRecurringMemberus-gaap:CorporateDebtSecuritiesMemberus-gaap:FairValueInputsLevel2Member2020-12-260000050863us-gaap:FairValueInputsLevel3Memberus-gaap:FairValueMeasurementsRecurringMemberus-gaa</w:t>
      </w:r>
      <w:r>
        <w:rPr>
          <w:rFonts w:ascii="宋体" w:eastAsia="宋体" w:hAnsi="宋体" w:cs="宋体"/>
          <w:vanish/>
        </w:rPr>
        <w:t>p:CorporateDebtSecuritiesMember2020-12-260000050863us-gaap:FairValueMeasurementsRecurringMemberus-gaap:CorporateDebtSecuritiesMember2020-12-260000050863us-gaap:FixedIncomeSecuritiesMemberus-gaap:FairValueMeasurementsRecurringMemberus-gaap:FairValueInputsLe</w:t>
      </w:r>
      <w:r>
        <w:rPr>
          <w:rFonts w:ascii="宋体" w:eastAsia="宋体" w:hAnsi="宋体" w:cs="宋体"/>
          <w:vanish/>
        </w:rPr>
        <w:t>vel1Member2021-09-250000050863us-gaap:FixedIncomeSecuritiesMemberus-gaap:FairValueMeasurementsRecurringMemberus-gaap:FairValueInputsLevel2Member2021-09-250000050863us-gaap:FixedIncomeSecuritiesMemberus-gaap:FairValueInputsLevel3Memberus-gaap:FairValueMeasu</w:t>
      </w:r>
      <w:r>
        <w:rPr>
          <w:rFonts w:ascii="宋体" w:eastAsia="宋体" w:hAnsi="宋体" w:cs="宋体"/>
          <w:vanish/>
        </w:rPr>
        <w:t>rementsRecurringMember2021-09-250000050863us-gaap:FixedIncomeSecuritiesMemberus-gaap:FairValueMeasurementsRecurringMember2021-09-250000050863us-gaap:FixedIncomeSecuritiesMemberus-gaap:FairValueMeasurementsRecurringMemberus-gaap:FairValueInputsLevel1Member2</w:t>
      </w:r>
      <w:r>
        <w:rPr>
          <w:rFonts w:ascii="宋体" w:eastAsia="宋体" w:hAnsi="宋体" w:cs="宋体"/>
          <w:vanish/>
        </w:rPr>
        <w:t>020-12-260000050863us-gaap:FixedIncomeSecuritiesMemberus-gaap:FairValueMeasurementsRecurringMemberus-gaap:FairValueInputsLevel2Member2020-12-260000050863us-gaap:FixedIncomeSecuritiesMemberus-gaap:FairValueInputsLevel3Memberus-gaap:FairValueMeasurementsRecu</w:t>
      </w:r>
      <w:r>
        <w:rPr>
          <w:rFonts w:ascii="宋体" w:eastAsia="宋体" w:hAnsi="宋体" w:cs="宋体"/>
          <w:vanish/>
        </w:rPr>
        <w:t>rringMember2020-12-260000050863us-gaap:FixedIncomeSecuritiesMemberus-gaap:FairValueMeasurementsRecurringMember2020-12-260000050863intc:GovernmentDebtSecuritiesMemberus-gaap:FairValueMeasurementsRecurringMemberus-gaap:FairValueInputsLevel1Member2021-09-2500</w:t>
      </w:r>
      <w:r>
        <w:rPr>
          <w:rFonts w:ascii="宋体" w:eastAsia="宋体" w:hAnsi="宋体" w:cs="宋体"/>
          <w:vanish/>
        </w:rPr>
        <w:t>00050863intc:GovernmentDebtSecuritiesMemberus-gaap:FairValueMeasurementsRecurringMemberus-gaap:FairValueInputsLevel2Member2021-09-250000050863us-gaap:FairValueInputsLevel3Memberintc:GovernmentDebtSecuritiesMemberus-gaap:FairValueMeasurementsRecurringMember</w:t>
      </w:r>
      <w:r>
        <w:rPr>
          <w:rFonts w:ascii="宋体" w:eastAsia="宋体" w:hAnsi="宋体" w:cs="宋体"/>
          <w:vanish/>
        </w:rPr>
        <w:t>2021-09-250000050863intc:GovernmentDebtSecuritiesMemberus-gaap:FairValueMeasurementsRecurringMember2021-09-250000050863intc:GovernmentDebtSecuritiesMemberus-gaap:FairValueMeasurementsRecurringMemberus-gaap:FairValueInputsLevel1Member2020-12-260000050863int</w:t>
      </w:r>
      <w:r>
        <w:rPr>
          <w:rFonts w:ascii="宋体" w:eastAsia="宋体" w:hAnsi="宋体" w:cs="宋体"/>
          <w:vanish/>
        </w:rPr>
        <w:t>c:GovernmentDebtSecuritiesMemberus-gaap:FairValueMeasurementsRecurringMemberus-gaap:FairValueInputsLevel2Member2020-12-260000050863us-gaap:FairValueInputsLevel3Memberintc:GovernmentDebtSecuritiesMemberus-gaap:FairValueMeasurementsRecurringMember2020-12-260</w:t>
      </w:r>
      <w:r>
        <w:rPr>
          <w:rFonts w:ascii="宋体" w:eastAsia="宋体" w:hAnsi="宋体" w:cs="宋体"/>
          <w:vanish/>
        </w:rPr>
        <w:t>000050863intc:GovernmentDebtSecuritiesMemberus-gaap:FairValueMeasurementsRecurringMember2020-12-260000050863us-gaap:FairValueMeasurementsRecurringMemberus-gaap:OtherCurrentAssetsMemberus-gaap:FairValueInputsLevel1Member2021-09-250000050863us-gaap:FairValue</w:t>
      </w:r>
      <w:r>
        <w:rPr>
          <w:rFonts w:ascii="宋体" w:eastAsia="宋体" w:hAnsi="宋体" w:cs="宋体"/>
          <w:vanish/>
        </w:rPr>
        <w:t>MeasurementsRecurringMemberus-gaap:OtherCurrentAssetsMemberus-gaap:FairValueInputsLevel2Member2021-09-250000050863us-gaap:FairValueInputsLevel3Memberus-gaap:FairValueMeasurementsRecurringMemberus-gaap:OtherCurrentAssetsMember2021-09-250000050863us-gaap:Fai</w:t>
      </w:r>
      <w:r>
        <w:rPr>
          <w:rFonts w:ascii="宋体" w:eastAsia="宋体" w:hAnsi="宋体" w:cs="宋体"/>
          <w:vanish/>
        </w:rPr>
        <w:t>rValueMeasurementsRecurringMemberus-gaap:OtherCurrentAssetsMember2021-09-250000050863us-gaap:FairValueMeasurementsRecurringMemberus-gaap:OtherCurrentAssetsMemberus-gaap:FairValueInputsLevel1Member2020-12-260000050863us-gaap:FairValueMeasurementsRecurringMe</w:t>
      </w:r>
      <w:r>
        <w:rPr>
          <w:rFonts w:ascii="宋体" w:eastAsia="宋体" w:hAnsi="宋体" w:cs="宋体"/>
          <w:vanish/>
        </w:rPr>
        <w:t>mberus-gaap:OtherCurrentAssetsMemberus-gaap:FairValueInputsLevel2Member2020-12-260000050863us-gaap:FairValueInputsLevel3Memberus-gaap:FairValueMeasurementsRecurringMemberus-gaap:OtherCurrentAssetsMember2020-12-260000050863us-gaap:FairValueMeasurementsRecur</w:t>
      </w:r>
      <w:r>
        <w:rPr>
          <w:rFonts w:ascii="宋体" w:eastAsia="宋体" w:hAnsi="宋体" w:cs="宋体"/>
          <w:vanish/>
        </w:rPr>
        <w:t>ringMemberus-gaap:OtherCurrentAssetsMember2020-12-260000050863us-gaap:FairValueMeasurementsRecurringMemberus-gaap:FairValueInputsLevel1Memberus-gaap:EquitySecuritiesMember2021-09-250000050863us-gaap:FairValueMeasurementsRecurringMemberus-gaap:FairValueInpu</w:t>
      </w:r>
      <w:r>
        <w:rPr>
          <w:rFonts w:ascii="宋体" w:eastAsia="宋体" w:hAnsi="宋体" w:cs="宋体"/>
          <w:vanish/>
        </w:rPr>
        <w:t>tsLevel2Memberus-gaap:EquitySecuritiesMember2021-09-250000050863us-gaap:FairValueInputsLevel3Memberus-gaap:FairValueMeasurementsRecurringMemberus-gaap:EquitySecuritiesMember2021-09-250000050863us-gaap:FairValueMeasurementsRecurringMemberus-gaap:EquitySecur</w:t>
      </w:r>
      <w:r>
        <w:rPr>
          <w:rFonts w:ascii="宋体" w:eastAsia="宋体" w:hAnsi="宋体" w:cs="宋体"/>
          <w:vanish/>
        </w:rPr>
        <w:t>itiesMember2021-09-250000050863us-gaap:FairValueMeasurementsRecurringMemberus-gaap:FairValueInputsLevel1Memberus-gaap:EquitySecuritiesMember2020-12-260000050863us-gaap:FairValueMeasurementsRecurringMemberus-gaap:FairValueInputsLevel2Memberus-gaap:EquitySec</w:t>
      </w:r>
      <w:r>
        <w:rPr>
          <w:rFonts w:ascii="宋体" w:eastAsia="宋体" w:hAnsi="宋体" w:cs="宋体"/>
          <w:vanish/>
        </w:rPr>
        <w:t>uritiesMember2020-12-260000050863us-gaap:FairValueInputsLevel3Memberus-gaap:FairValueMeasurementsRecurringMemberus-gaap:EquitySecuritiesMember2020-12-260000050863us-gaap:FairValueMeasurementsRecurringMemberus-gaap:EquitySecuritiesMember2020-12-260000050863</w:t>
      </w:r>
      <w:r>
        <w:rPr>
          <w:rFonts w:ascii="宋体" w:eastAsia="宋体" w:hAnsi="宋体" w:cs="宋体"/>
          <w:vanish/>
        </w:rPr>
        <w:t>us-gaap:OtherLongTermInvestmentsMemberus-gaap:FairValueMeasurementsRecurringMemberus-gaap:CorporateDebtSecuritiesMemberus-gaap:FairValueInputsLevel1Member2021-09-250000050863us-gaap:OtherLongTermInvestmentsMemberus-gaap:FairValueMeasurementsRecurringMember</w:t>
      </w:r>
      <w:r>
        <w:rPr>
          <w:rFonts w:ascii="宋体" w:eastAsia="宋体" w:hAnsi="宋体" w:cs="宋体"/>
          <w:vanish/>
        </w:rPr>
        <w:t>us-gaap:CorporateDebtSecuritiesMemberus-gaap:FairValueInputsLevel2Member2021-09-250000050863us-gaap:OtherLongTermInvestmentsMemberus-gaap:FairValueInputsLevel3Memberus-gaap:FairValueMeasurementsRecurringMemberus-gaap:CorporateDebtSecuritiesMember2021-09-25</w:t>
      </w:r>
      <w:r>
        <w:rPr>
          <w:rFonts w:ascii="宋体" w:eastAsia="宋体" w:hAnsi="宋体" w:cs="宋体"/>
          <w:vanish/>
        </w:rPr>
        <w:t>0000050863us-gaap:OtherLongTermInvestmentsMemberus-gaap:FairValueMeasurementsRecurringMemberus-gaap:CorporateDebtSecuritiesMember2021-09-250000050863us-gaap:OtherLongTermInvestmentsMemberus-gaap:FairValueMeasurementsRecurringMemberus-gaap:CorporateDebtSecu</w:t>
      </w:r>
      <w:r>
        <w:rPr>
          <w:rFonts w:ascii="宋体" w:eastAsia="宋体" w:hAnsi="宋体" w:cs="宋体"/>
          <w:vanish/>
        </w:rPr>
        <w:t>ritiesMemberus-gaap:FairValueInputsLevel1Member2020-12-260000050863us-gaap:OtherLongTermInvestmentsMemberus-gaap:FairValueMeasurementsRecurringMemberus-gaap:CorporateDebtSecuritiesMemberus-gaap:FairValueInputsLevel2Member2020-12-260000050863us-gaap:OtherLo</w:t>
      </w:r>
      <w:r>
        <w:rPr>
          <w:rFonts w:ascii="宋体" w:eastAsia="宋体" w:hAnsi="宋体" w:cs="宋体"/>
          <w:vanish/>
        </w:rPr>
        <w:t>ngTermInvestmentsMemberus-gaap:FairValueInputsLevel3Memberus-gaap:FairValueMeasurementsRecurringMemberus-gaap:CorporateDebtSecuritiesMember2020-12-260000050863us-gaap:OtherLongTermInvestmentsMemberus-gaap:FairValueMeasurementsRecurringMemberus-gaap:Corpora</w:t>
      </w:r>
      <w:r>
        <w:rPr>
          <w:rFonts w:ascii="宋体" w:eastAsia="宋体" w:hAnsi="宋体" w:cs="宋体"/>
          <w:vanish/>
        </w:rPr>
        <w:t>teDebtSecuritiesMember2020-12-260000050863us-gaap:FixedIncomeSecuritiesMemberus-gaap:OtherLongTermInvestmentsMemberus-gaap:FairValueMeasurementsRecurringMemberus-gaap:FairValueInputsLevel1Member2021-09-250000050863us-gaap:FixedIncomeSecuritiesMemberus-gaap</w:t>
      </w:r>
      <w:r>
        <w:rPr>
          <w:rFonts w:ascii="宋体" w:eastAsia="宋体" w:hAnsi="宋体" w:cs="宋体"/>
          <w:vanish/>
        </w:rPr>
        <w:t>:OtherLongTermInvestmentsMemberus-gaap:FairValueMeasurementsRecurringMemberus-gaap:FairValueInputsLevel2Member2021-09-250000050863us-gaap:FixedIncomeSecuritiesMemberus-gaap:OtherLongTermInvestmentsMemberus-gaap:FairValueInputsLevel3Memberus-gaap:FairValueM</w:t>
      </w:r>
      <w:r>
        <w:rPr>
          <w:rFonts w:ascii="宋体" w:eastAsia="宋体" w:hAnsi="宋体" w:cs="宋体"/>
          <w:vanish/>
        </w:rPr>
        <w:t>easurementsRecurringMember2021-09-250000050863us-gaap:FixedIncomeSecuritiesMemberus-gaap:OtherLongTermInvestmentsMemberus-gaap:FairValueMeasurementsRecurringMember2021-09-250000050863us-gaap:FixedIncomeSecuritiesMemberus-gaap:OtherLongTermInvestmentsMember</w:t>
      </w:r>
      <w:r>
        <w:rPr>
          <w:rFonts w:ascii="宋体" w:eastAsia="宋体" w:hAnsi="宋体" w:cs="宋体"/>
          <w:vanish/>
        </w:rPr>
        <w:t>us-gaap:FairValueMeasurementsRecurringMemberus-gaap:FairValueInputsLevel1Member2020-12-260000050863us-gaap:FixedIncomeSecuritiesMemberus-gaap:OtherLongTermInvestmentsMemberus-gaap:FairValueMeasurementsRecurringMemberus-gaap:FairValueInputsLevel2Member2020-</w:t>
      </w:r>
      <w:r>
        <w:rPr>
          <w:rFonts w:ascii="宋体" w:eastAsia="宋体" w:hAnsi="宋体" w:cs="宋体"/>
          <w:vanish/>
        </w:rPr>
        <w:t>12-260000050863us-gaap:FixedIncomeSecuritiesMemberus-gaap:OtherLongTermInvestmentsMemberus-gaap:FairValueInputsLevel3Memberus-gaap:FairValueMeasurementsRecurringMember2020-12-260000050863us-gaap:FixedIncomeSecuritiesMemberus-gaap:OtherLongTermInvestmentsMe</w:t>
      </w:r>
      <w:r>
        <w:rPr>
          <w:rFonts w:ascii="宋体" w:eastAsia="宋体" w:hAnsi="宋体" w:cs="宋体"/>
          <w:vanish/>
        </w:rPr>
        <w:t>mberus-gaap:FairValueMeasurementsRecurringMember2020-12-260000050863us-gaap:OtherLongTermInvestmentsMemberintc:GovernmentDebtSecuritiesMemberus-gaap:FairValueMeasurementsRecurringMemberus-gaap:FairValueInputsLevel1Member2021-09-250000050863us-gaap:OtherLon</w:t>
      </w:r>
      <w:r>
        <w:rPr>
          <w:rFonts w:ascii="宋体" w:eastAsia="宋体" w:hAnsi="宋体" w:cs="宋体"/>
          <w:vanish/>
        </w:rPr>
        <w:t>gTermInvestmentsMemberintc:GovernmentDebtSecuritiesMemberus-gaap:FairValueMeasurementsRecurringMemberus-gaap:FairValueInputsLevel2Member2021-09-250000050863us-gaap:OtherLongTermInvestmentsMemberus-gaap:FairValueInputsLevel3Memberintc:GovernmentDebtSecuriti</w:t>
      </w:r>
      <w:r>
        <w:rPr>
          <w:rFonts w:ascii="宋体" w:eastAsia="宋体" w:hAnsi="宋体" w:cs="宋体"/>
          <w:vanish/>
        </w:rPr>
        <w:t>esMemberus-gaap:FairValueMeasurementsRecurringMember2021-09-250000050863us-gaap:OtherLongTermInvestmentsMemberintc:GovernmentDebtSecuritiesMemberus-gaap:FairValueMeasurementsRecurringMember2021-09-250000050863us-gaap:OtherLongTermInvestmentsMemberintc:Gove</w:t>
      </w:r>
      <w:r>
        <w:rPr>
          <w:rFonts w:ascii="宋体" w:eastAsia="宋体" w:hAnsi="宋体" w:cs="宋体"/>
          <w:vanish/>
        </w:rPr>
        <w:t>rnmentDebtSecuritiesMemberus-gaap:FairValueMeasurementsRecurringMemberus-gaap:FairValueInputsLevel1Member2020-12-260000050863us-gaap:OtherLongTermInvestmentsMemberintc:GovernmentDebtSecuritiesMemberus-gaap:FairValueMeasurementsRecurringMemberus-gaap:FairVa</w:t>
      </w:r>
      <w:r>
        <w:rPr>
          <w:rFonts w:ascii="宋体" w:eastAsia="宋体" w:hAnsi="宋体" w:cs="宋体"/>
          <w:vanish/>
        </w:rPr>
        <w:t>lueInputsLevel2Member2020-12-260000050863us-gaap:OtherLongTermInvestmentsMemberus-gaap:FairValueInputsLevel3Memberintc:GovernmentDebtSecuritiesMemberus-gaap:FairValueMeasurementsRecurringMember2020-12-260000050863us-gaap:OtherLongTermInvestmentsMemberintc:</w:t>
      </w:r>
      <w:r>
        <w:rPr>
          <w:rFonts w:ascii="宋体" w:eastAsia="宋体" w:hAnsi="宋体" w:cs="宋体"/>
          <w:vanish/>
        </w:rPr>
        <w:t>GovernmentDebtSecuritiesMemberus-gaap:FairValueMeasurementsRecurringMember2020-12-260000050863us-gaap:OtherNoncurrentAssetsMemberus-gaap:FairValueMeasurementsRecurringMemberus-gaap:FairValueInputsLevel1Member2021-09-250000050863us-gaap:OtherNoncurrentAsset</w:t>
      </w:r>
      <w:r>
        <w:rPr>
          <w:rFonts w:ascii="宋体" w:eastAsia="宋体" w:hAnsi="宋体" w:cs="宋体"/>
          <w:vanish/>
        </w:rPr>
        <w:t>sMemberus-gaap:FairValueMeasurementsRecurringMemberus-gaap:FairValueInputsLevel2Member2021-09-250000050863us-gaap:OtherNoncurrentAssetsMemberus-gaap:FairValueInputsLevel3Memberus-gaap:FairValueMeasurementsRecurringMember2021-09-250000050863us-gaap:OtherNon</w:t>
      </w:r>
      <w:r>
        <w:rPr>
          <w:rFonts w:ascii="宋体" w:eastAsia="宋体" w:hAnsi="宋体" w:cs="宋体"/>
          <w:vanish/>
        </w:rPr>
        <w:t>currentAssetsMemberus-gaap:FairValueMeasurementsRecurringMember2021-09-250000050863us-gaap:OtherNoncurrentAssetsMemberus-gaap:FairValueMeasurementsRecurringMemberus-gaap:FairValueInputsLevel1Member2020-12-260000050863us-gaap:OtherNoncurrentAssetsMemberus-g</w:t>
      </w:r>
      <w:r>
        <w:rPr>
          <w:rFonts w:ascii="宋体" w:eastAsia="宋体" w:hAnsi="宋体" w:cs="宋体"/>
          <w:vanish/>
        </w:rPr>
        <w:t>aap:FairValueMeasurementsRecurringMemberus-gaap:FairValueInputsLevel2Member2020-12-260000050863us-gaap:OtherNoncurrentAssetsMemberus-gaap:FairValueInputsLevel3Memberus-gaap:FairValueMeasurementsRecurringMember2020-12-260000050863us-gaap:OtherNoncurrentAsse</w:t>
      </w:r>
      <w:r>
        <w:rPr>
          <w:rFonts w:ascii="宋体" w:eastAsia="宋体" w:hAnsi="宋体" w:cs="宋体"/>
          <w:vanish/>
        </w:rPr>
        <w:t>tsMemberus-gaap:FairValueMeasurementsRecurringMember2020-12-260000050863us-gaap:FairValueMeasurementsRecurringMemberus-gaap:FairValueInputsLevel1Member2021-09-250000050863us-gaap:FairValueMeasurementsRecurringMemberus-gaap:FairValueInputsLevel2Member2021-0</w:t>
      </w:r>
      <w:r>
        <w:rPr>
          <w:rFonts w:ascii="宋体" w:eastAsia="宋体" w:hAnsi="宋体" w:cs="宋体"/>
          <w:vanish/>
        </w:rPr>
        <w:t>9-250000050863us-gaap:FairValueInputsLevel3Memberus-gaap:FairValueMeasurementsRecurringMember2021-09-250000050863us-gaap:FairValueMeasurementsRecurringMember2021-09-250000050863us-gaap:FairValueMeasurementsRecurringMemberus-gaap:FairValueInputsLevel1Member</w:t>
      </w:r>
      <w:r>
        <w:rPr>
          <w:rFonts w:ascii="宋体" w:eastAsia="宋体" w:hAnsi="宋体" w:cs="宋体"/>
          <w:vanish/>
        </w:rPr>
        <w:t>2020-12-260000050863us-gaap:FairValueMeasurementsRecurringMemberus-gaap:FairValueInputsLevel2Member2020-12-260000050863us-gaap:FairValueInputsLevel3Memberus-gaap:FairValueMeasurementsRecurringMember2020-12-260000050863us-gaap:FairValueMeasurementsRecurring</w:t>
      </w:r>
      <w:r>
        <w:rPr>
          <w:rFonts w:ascii="宋体" w:eastAsia="宋体" w:hAnsi="宋体" w:cs="宋体"/>
          <w:vanish/>
        </w:rPr>
        <w:t>Member2020-12-260000050863us-gaap:FairValueMeasurementsRecurringMemberus-gaap:OtherCurrentLiabilitiesMemberus-gaap:FairValueInputsLevel1Member2021-09-250000050863us-gaap:FairValueMeasurementsRecurringMemberus-gaap:OtherCurrentLiabilitiesMemberus-gaap:FairV</w:t>
      </w:r>
      <w:r>
        <w:rPr>
          <w:rFonts w:ascii="宋体" w:eastAsia="宋体" w:hAnsi="宋体" w:cs="宋体"/>
          <w:vanish/>
        </w:rPr>
        <w:t>alueInputsLevel2Member2021-09-250000050863us-gaap:FairValueInputsLevel3Memberus-gaap:FairValueMeasurementsRecurringMemberus-gaap:OtherCurrentLiabilitiesMember2021-09-250000050863us-gaap:FairValueMeasurementsRecurringMemberus-gaap:OtherCurrentLiabilitiesMem</w:t>
      </w:r>
      <w:r>
        <w:rPr>
          <w:rFonts w:ascii="宋体" w:eastAsia="宋体" w:hAnsi="宋体" w:cs="宋体"/>
          <w:vanish/>
        </w:rPr>
        <w:t>ber2021-09-250000050863us-gaap:FairValueMeasurementsRecurringMemberus-gaap:OtherCurrentLiabilitiesMemberus-gaap:FairValueInputsLevel1Member2020-12-260000050863us-gaap:FairValueMeasurementsRecurringMemberus-gaap:OtherCurrentLiabilitiesMemberus-gaap:FairValu</w:t>
      </w:r>
      <w:r>
        <w:rPr>
          <w:rFonts w:ascii="宋体" w:eastAsia="宋体" w:hAnsi="宋体" w:cs="宋体"/>
          <w:vanish/>
        </w:rPr>
        <w:t>eInputsLevel2Member2020-12-260000050863us-gaap:FairValueInputsLevel3Memberus-gaap:FairValueMeasurementsRecurringMemberus-gaap:OtherCurrentLiabilitiesMember2020-12-260000050863us-gaap:FairValueMeasurementsRecurringMemberus-gaap:OtherCurrentLiabilitiesMember</w:t>
      </w:r>
      <w:r>
        <w:rPr>
          <w:rFonts w:ascii="宋体" w:eastAsia="宋体" w:hAnsi="宋体" w:cs="宋体"/>
          <w:vanish/>
        </w:rPr>
        <w:t>2020-12-260000050863us-gaap:OtherNoncurrentLiabilitiesMemberus-gaap:FairValueMeasurementsRecurringMemberus-gaap:FairValueInputsLevel1Member2021-09-250000050863us-gaap:OtherNoncurrentLiabilitiesMemberus-gaap:FairValueMeasurementsRecurringMemberus-gaap:FairV</w:t>
      </w:r>
      <w:r>
        <w:rPr>
          <w:rFonts w:ascii="宋体" w:eastAsia="宋体" w:hAnsi="宋体" w:cs="宋体"/>
          <w:vanish/>
        </w:rPr>
        <w:t>alueInputsLevel2Member2021-09-250000050863us-gaap:FairValueInputsLevel3Memberus-gaap:OtherNoncurrentLiabilitiesMemberus-gaap:FairValueMeasurementsRecurringMember2021-09-250000050863us-gaap:OtherNoncurrentLiabilitiesMemberus-gaap:FairValueMeasurementsRecurr</w:t>
      </w:r>
      <w:r>
        <w:rPr>
          <w:rFonts w:ascii="宋体" w:eastAsia="宋体" w:hAnsi="宋体" w:cs="宋体"/>
          <w:vanish/>
        </w:rPr>
        <w:t>ingMember2021-09-250000050863us-gaap:OtherNoncurrentLiabilitiesMemberus-gaap:FairValueMeasurementsRecurringMemberus-gaap:FairValueInputsLevel1Member2020-12-260000050863us-gaap:OtherNoncurrentLiabilitiesMemberus-gaap:FairValueMeasurementsRecurringMemberus-g</w:t>
      </w:r>
      <w:r>
        <w:rPr>
          <w:rFonts w:ascii="宋体" w:eastAsia="宋体" w:hAnsi="宋体" w:cs="宋体"/>
          <w:vanish/>
        </w:rPr>
        <w:t>aap:FairValueInputsLevel2Member2020-12-260000050863us-gaap:FairValueInputsLevel3Memberus-gaap:OtherNoncurrentLiabilitiesMemberus-gaap:FairValueMeasurementsRecurringMember2020-12-260000050863us-gaap:OtherNoncurrentLiabilitiesMemberus-gaap:FairValueMeasureme</w:t>
      </w:r>
      <w:r>
        <w:rPr>
          <w:rFonts w:ascii="宋体" w:eastAsia="宋体" w:hAnsi="宋体" w:cs="宋体"/>
          <w:vanish/>
        </w:rPr>
        <w:t>ntsRecurringMember2020-12-260000050863us-gaap:FairValueMeasurementsNonrecurringMember2021-09-250000050863us-gaap:FairValueMeasurementsNonrecurringMember2020-12-260000050863us-gaap:AccumulatedNetInvestmentGainLossIncludingPortionAttributableToNoncontrolling</w:t>
      </w:r>
      <w:r>
        <w:rPr>
          <w:rFonts w:ascii="宋体" w:eastAsia="宋体" w:hAnsi="宋体" w:cs="宋体"/>
          <w:vanish/>
        </w:rPr>
        <w:t>InterestMember2020-12-260000050863us-gaap:AccumulatedNetGainLossFromCashFlowHedgesIncludingPortionAttributableToNoncontrollingInterestMember2020-12-260000050863us-gaap:AccumulatedDefinedBenefitPlansAdjustmentNetGainLossIncludingPortionAttributableToNoncont</w:t>
      </w:r>
      <w:r>
        <w:rPr>
          <w:rFonts w:ascii="宋体" w:eastAsia="宋体" w:hAnsi="宋体" w:cs="宋体"/>
          <w:vanish/>
        </w:rPr>
        <w:t>rollingInterestMember2020-12-260000050863us-gaap:AccumulatedTranslationAdjustmentMember2020-12-260000050863us-gaap:AccumulatedNetInvestmentGainLossIncludingPortionAttributableToNoncontrollingInterestMember2020-12-272021-09-250000050863us-gaap:AccumulatedNe</w:t>
      </w:r>
      <w:r>
        <w:rPr>
          <w:rFonts w:ascii="宋体" w:eastAsia="宋体" w:hAnsi="宋体" w:cs="宋体"/>
          <w:vanish/>
        </w:rPr>
        <w:t>tGainLossFromCashFlowHedgesIncludingPortionAttributableToNoncontrollingInterestMember2020-12-272021-09-250000050863us-gaap:AccumulatedDefinedBenefitPlansAdjustmentNetGainLossIncludingPortionAttributableToNoncontrollingInterestMember2020-12-272021-09-250000</w:t>
      </w:r>
      <w:r>
        <w:rPr>
          <w:rFonts w:ascii="宋体" w:eastAsia="宋体" w:hAnsi="宋体" w:cs="宋体"/>
          <w:vanish/>
        </w:rPr>
        <w:t>050863us-gaap:AccumulatedTranslationAdjustmentMember2020-12-272021-09-250000050863us-gaap:AccumulatedNetInvestmentGainLossIncludingPortionAttributableToNoncontrollingInterestMember2021-09-250000050863us-gaap:AccumulatedNetGainLossFromCashFlowHedgesIncludin</w:t>
      </w:r>
      <w:r>
        <w:rPr>
          <w:rFonts w:ascii="宋体" w:eastAsia="宋体" w:hAnsi="宋体" w:cs="宋体"/>
          <w:vanish/>
        </w:rPr>
        <w:t>gPortionAttributableToNoncontrollingInterestMember2021-09-250000050863us-gaap:AccumulatedDefinedBenefitPlansAdjustmentNetGainLossIncludingPortionAttributableToNoncontrollingInterestMember2021-09-250000050863us-gaap:AccumulatedTranslationAdjustmentMember202</w:t>
      </w:r>
      <w:r>
        <w:rPr>
          <w:rFonts w:ascii="宋体" w:eastAsia="宋体" w:hAnsi="宋体" w:cs="宋体"/>
          <w:vanish/>
        </w:rPr>
        <w:t>1-09-250000050863us-gaap:ForeignExchangeContractMember2021-09-250000050863us-gaap:ForeignExchangeContractMember2020-12-260000050863us-gaap:InterestRateContractMember2021-09-250000050863us-gaap:InterestRateContractMember2020-12-260000050863us-gaap:OtherCont</w:t>
      </w:r>
      <w:r>
        <w:rPr>
          <w:rFonts w:ascii="宋体" w:eastAsia="宋体" w:hAnsi="宋体" w:cs="宋体"/>
          <w:vanish/>
        </w:rPr>
        <w:t>ractMember2021-09-250000050863us-gaap:OtherContractMember2020-12-260000050863us-gaap:DesignatedAsHedgingInstrumentMemberus-gaap:ForeignExchangeContractMemberus-gaap:OtherAssetsMember2021-09-250000050863us-gaap:OtherLiabilitiesMemberus-gaap:DesignatedAsHedg</w:t>
      </w:r>
      <w:r>
        <w:rPr>
          <w:rFonts w:ascii="宋体" w:eastAsia="宋体" w:hAnsi="宋体" w:cs="宋体"/>
          <w:vanish/>
        </w:rPr>
        <w:t>ingInstrumentMemberus-gaap:ForeignExchangeContractMember2021-09-250000050863us-gaap:DesignatedAsHedgingInstrumentMemberus-gaap:ForeignExchangeContractMemberus-gaap:OtherAssetsMember2020-12-260000050863us-gaap:OtherLiabilitiesMemberus-gaap:DesignatedAsHedgi</w:t>
      </w:r>
      <w:r>
        <w:rPr>
          <w:rFonts w:ascii="宋体" w:eastAsia="宋体" w:hAnsi="宋体" w:cs="宋体"/>
          <w:vanish/>
        </w:rPr>
        <w:t>ngInstrumentMemberus-gaap:ForeignExchangeContractMember2020-12-260000050863us-gaap:InterestRateContractMemberus-gaap:DesignatedAsHedgingInstrumentMemberus-gaap:OtherAssetsMember2021-09-250000050863us-gaap:OtherLiabilitiesMemberus-gaap:InterestRateContractM</w:t>
      </w:r>
      <w:r>
        <w:rPr>
          <w:rFonts w:ascii="宋体" w:eastAsia="宋体" w:hAnsi="宋体" w:cs="宋体"/>
          <w:vanish/>
        </w:rPr>
        <w:t>emberus-gaap:DesignatedAsHedgingInstrumentMember2021-09-250000050863us-gaap:InterestRateContractMemberus-gaap:DesignatedAsHedgingInstrumentMemberus-gaap:OtherAssetsMember2020-12-260000050863us-gaap:OtherLiabilitiesMemberus-gaap:InterestRateContractMemberus</w:t>
      </w:r>
      <w:r>
        <w:rPr>
          <w:rFonts w:ascii="宋体" w:eastAsia="宋体" w:hAnsi="宋体" w:cs="宋体"/>
          <w:vanish/>
        </w:rPr>
        <w:t>-gaap:DesignatedAsHedgingInstrumentMember2020-12-260000050863us-gaap:DesignatedAsHedgingInstrumentMemberus-gaap:OtherAssetsMember2021-09-250000050863us-gaap:OtherLiabilitiesMemberus-gaap:DesignatedAsHedgingInstrumentMember2021-09-250000050863us-gaap:Design</w:t>
      </w:r>
      <w:r>
        <w:rPr>
          <w:rFonts w:ascii="宋体" w:eastAsia="宋体" w:hAnsi="宋体" w:cs="宋体"/>
          <w:vanish/>
        </w:rPr>
        <w:t>atedAsHedgingInstrumentMemberus-gaap:OtherAssetsMember2020-12-260000050863us-gaap:OtherLiabilitiesMemberus-gaap:DesignatedAsHedgingInstrumentMember2020-12-260000050863us-gaap:NondesignatedMemberus-gaap:ForeignExchangeContractMemberus-gaap:OtherAssetsMember</w:t>
      </w:r>
      <w:r>
        <w:rPr>
          <w:rFonts w:ascii="宋体" w:eastAsia="宋体" w:hAnsi="宋体" w:cs="宋体"/>
          <w:vanish/>
        </w:rPr>
        <w:t>2021-09-250000050863us-gaap:OtherLiabilitiesMemberus-gaap:NondesignatedMemberus-gaap:ForeignExchangeContractMember2021-09-250000050863us-gaap:NondesignatedMemberus-gaap:ForeignExchangeContractMemberus-gaap:OtherAssetsMember2020-12-260000050863us-gaap:Other</w:t>
      </w:r>
      <w:r>
        <w:rPr>
          <w:rFonts w:ascii="宋体" w:eastAsia="宋体" w:hAnsi="宋体" w:cs="宋体"/>
          <w:vanish/>
        </w:rPr>
        <w:t>LiabilitiesMemberus-gaap:NondesignatedMemberus-gaap:ForeignExchangeContractMember2020-12-260000050863us-gaap:NondesignatedMemberus-gaap:InterestRateContractMemberus-gaap:OtherAssetsMember2021-09-250000050863us-gaap:OtherLiabilitiesMemberus-gaap:Nondesignat</w:t>
      </w:r>
      <w:r>
        <w:rPr>
          <w:rFonts w:ascii="宋体" w:eastAsia="宋体" w:hAnsi="宋体" w:cs="宋体"/>
          <w:vanish/>
        </w:rPr>
        <w:t>edMemberus-gaap:InterestRateContractMember2021-09-250000050863us-gaap:NondesignatedMemberus-gaap:InterestRateContractMemberus-gaap:OtherAssetsMember2020-12-260000050863us-gaap:OtherLiabilitiesMemberus-gaap:NondesignatedMemberus-gaap:InterestRateContractMem</w:t>
      </w:r>
      <w:r>
        <w:rPr>
          <w:rFonts w:ascii="宋体" w:eastAsia="宋体" w:hAnsi="宋体" w:cs="宋体"/>
          <w:vanish/>
        </w:rPr>
        <w:t>ber2020-12-260000050863us-gaap:OtherContractMemberus-gaap:NondesignatedMemberus-gaap:OtherAssetsMember2021-09-250000050863us-gaap:OtherLiabilitiesMemberus-gaap:OtherContractMemberus-gaap:NondesignatedMember2021-09-250000050863us-gaap:OtherContractMemberus-</w:t>
      </w:r>
      <w:r>
        <w:rPr>
          <w:rFonts w:ascii="宋体" w:eastAsia="宋体" w:hAnsi="宋体" w:cs="宋体"/>
          <w:vanish/>
        </w:rPr>
        <w:t>gaap:NondesignatedMemberus-gaap:OtherAssetsMember2020-12-260000050863us-gaap:OtherLiabilitiesMemberus-gaap:OtherContractMemberus-gaap:NondesignatedMember2020-12-260000050863us-gaap:NondesignatedMemberus-gaap:OtherAssetsMember2021-09-250000050863us-gaap:Oth</w:t>
      </w:r>
      <w:r>
        <w:rPr>
          <w:rFonts w:ascii="宋体" w:eastAsia="宋体" w:hAnsi="宋体" w:cs="宋体"/>
          <w:vanish/>
        </w:rPr>
        <w:t>erLiabilitiesMemberus-gaap:NondesignatedMember2021-09-250000050863us-gaap:NondesignatedMemberus-gaap:OtherAssetsMember2020-12-260000050863us-gaap:OtherLiabilitiesMemberus-gaap:NondesignatedMember2020-12-260000050863us-gaap:OtherAssetsMember2021-09-25000005</w:t>
      </w:r>
      <w:r>
        <w:rPr>
          <w:rFonts w:ascii="宋体" w:eastAsia="宋体" w:hAnsi="宋体" w:cs="宋体"/>
          <w:vanish/>
        </w:rPr>
        <w:t>0863us-gaap:OtherLiabilitiesMember2021-09-250000050863us-gaap:OtherAssetsMember2020-12-260000050863us-gaap:OtherLiabilitiesMember2020-12-260000050863us-gaap:ForeignExchangeContractMember2021-06-272021-09-250000050863us-gaap:ForeignExchangeContractMember202</w:t>
      </w:r>
      <w:r>
        <w:rPr>
          <w:rFonts w:ascii="宋体" w:eastAsia="宋体" w:hAnsi="宋体" w:cs="宋体"/>
          <w:vanish/>
        </w:rPr>
        <w:t>0-12-272021-09-250000050863us-gaap:ForeignExchangeContractMember2020-06-282020-09-260000050863us-gaap:ForeignExchangeContractMember2019-12-292020-09-260000050863us-gaap:OtherNonoperatingIncomeExpenseMemberus-gaap:FairValueHedgingMember2020-12-272021-09-250</w:t>
      </w:r>
      <w:r>
        <w:rPr>
          <w:rFonts w:ascii="宋体" w:eastAsia="宋体" w:hAnsi="宋体" w:cs="宋体"/>
          <w:vanish/>
        </w:rPr>
        <w:t>000050863us-gaap:InterestRateContractMember2021-06-272021-09-250000050863us-gaap:InterestRateContractMember2020-06-282020-09-260000050863us-gaap:InterestRateContractMember2020-12-272021-09-250000050863us-gaap:InterestRateContractMember2019-12-292020-09-260</w:t>
      </w:r>
      <w:r>
        <w:rPr>
          <w:rFonts w:ascii="宋体" w:eastAsia="宋体" w:hAnsi="宋体" w:cs="宋体"/>
          <w:vanish/>
        </w:rPr>
        <w:t>000050863us-gaap:LongTermDebtMemberus-gaap:InterestRateSwapMemberus-gaap:FairValueHedgingMember2021-09-250000050863us-gaap:LongTermDebtMemberus-gaap:InterestRateSwapMemberus-gaap:FairValueHedgingMember2020-12-260000050863us-gaap:LongTermDebtMemberus-gaap:I</w:t>
      </w:r>
      <w:r>
        <w:rPr>
          <w:rFonts w:ascii="宋体" w:eastAsia="宋体" w:hAnsi="宋体" w:cs="宋体"/>
          <w:vanish/>
        </w:rPr>
        <w:t>nterestRateSwapMemberus-gaap:FairValueHedgingMember2020-12-272021-09-250000050863us-gaap:LongTermDebtMemberus-gaap:InterestRateSwapMemberus-gaap:FairValueHedgingMember2019-12-292020-12-260000050863us-gaap:NondesignatedMember2020-12-272021-09-250000050863us</w:t>
      </w:r>
      <w:r>
        <w:rPr>
          <w:rFonts w:ascii="宋体" w:eastAsia="宋体" w:hAnsi="宋体" w:cs="宋体"/>
          <w:vanish/>
        </w:rPr>
        <w:t>-gaap:NondesignatedMemberus-gaap:OtherNonoperatingIncomeExpenseMemberus-gaap:ForeignExchangeContractMember2021-06-272021-09-250000050863us-gaap:NondesignatedMemberus-gaap:OtherNonoperatingIncomeExpenseMemberus-gaap:ForeignExchangeContractMember2020-06-2820</w:t>
      </w:r>
      <w:r>
        <w:rPr>
          <w:rFonts w:ascii="宋体" w:eastAsia="宋体" w:hAnsi="宋体" w:cs="宋体"/>
          <w:vanish/>
        </w:rPr>
        <w:t>20-09-260000050863us-gaap:NondesignatedMemberus-gaap:OtherNonoperatingIncomeExpenseMemberus-gaap:ForeignExchangeContractMember2020-12-272021-09-250000050863us-gaap:NondesignatedMemberus-gaap:OtherNonoperatingIncomeExpenseMemberus-gaap:ForeignExchangeContra</w:t>
      </w:r>
      <w:r>
        <w:rPr>
          <w:rFonts w:ascii="宋体" w:eastAsia="宋体" w:hAnsi="宋体" w:cs="宋体"/>
          <w:vanish/>
        </w:rPr>
        <w:t>ctMember2019-12-292020-09-260000050863us-gaap:NondesignatedMemberus-gaap:InterestRateContractMemberus-gaap:OtherNonoperatingIncomeExpenseMember2021-06-272021-09-250000050863us-gaap:NondesignatedMemberus-gaap:InterestRateContractMemberus-gaap:OtherNonoperat</w:t>
      </w:r>
      <w:r>
        <w:rPr>
          <w:rFonts w:ascii="宋体" w:eastAsia="宋体" w:hAnsi="宋体" w:cs="宋体"/>
          <w:vanish/>
        </w:rPr>
        <w:t>ingIncomeExpenseMember2020-06-282020-09-260000050863us-gaap:NondesignatedMemberus-gaap:InterestRateContractMemberus-gaap:OtherNonoperatingIncomeExpenseMember2020-12-272021-09-250000050863us-gaap:NondesignatedMemberus-gaap:InterestRateContractMemberus-gaap:</w:t>
      </w:r>
      <w:r>
        <w:rPr>
          <w:rFonts w:ascii="宋体" w:eastAsia="宋体" w:hAnsi="宋体" w:cs="宋体"/>
          <w:vanish/>
        </w:rPr>
        <w:t>OtherNonoperatingIncomeExpenseMember2019-12-292020-09-260000050863intc:VariousMemberus-gaap:OtherContractMemberus-gaap:NondesignatedMember2021-06-272021-09-250000050863intc:VariousMemberus-gaap:OtherContractMemberus-gaap:NondesignatedMember2020-06-282020-0</w:t>
      </w:r>
      <w:r>
        <w:rPr>
          <w:rFonts w:ascii="宋体" w:eastAsia="宋体" w:hAnsi="宋体" w:cs="宋体"/>
          <w:vanish/>
        </w:rPr>
        <w:t>9-260000050863intc:VariousMemberus-gaap:OtherContractMemberus-gaap:NondesignatedMember2020-12-272021-09-250000050863intc:VariousMemberus-gaap:OtherContractMemberus-gaap:NondesignatedMember2019-12-292020-09-260000050863us-gaap:NondesignatedMember2021-06-272</w:t>
      </w:r>
      <w:r>
        <w:rPr>
          <w:rFonts w:ascii="宋体" w:eastAsia="宋体" w:hAnsi="宋体" w:cs="宋体"/>
          <w:vanish/>
        </w:rPr>
        <w:t>021-09-250000050863us-gaap:NondesignatedMember2020-06-282020-09-260000050863us-gaap:NondesignatedMember2019-12-292020-09-26iso4217:EUR0000050863intc:EcFineMember2009-05-012009-05-31</w:t>
      </w:r>
    </w:p>
    <w:p w14:paraId="39D96F95" w14:textId="77777777" w:rsidR="00996AD7" w:rsidRDefault="00996AD7">
      <w:pPr>
        <w:spacing w:after="180"/>
      </w:pPr>
    </w:p>
    <w:p w14:paraId="39D96F96" w14:textId="77777777" w:rsidR="00996AD7" w:rsidRDefault="00D96458">
      <w:pPr>
        <w:jc w:val="center"/>
      </w:pPr>
      <w:r>
        <w:rPr>
          <w:rFonts w:ascii="Arial" w:eastAsia="宋体" w:hAnsi="Arial" w:cs="Arial"/>
          <w:b/>
          <w:bCs/>
          <w:color w:val="262626"/>
          <w:sz w:val="28"/>
          <w:szCs w:val="28"/>
        </w:rPr>
        <w:t>UNITED STATES SECURITIES AND EXCHANGE COMMISSION</w:t>
      </w:r>
    </w:p>
    <w:p w14:paraId="39D96F97" w14:textId="77777777" w:rsidR="00996AD7" w:rsidRDefault="00D96458">
      <w:pPr>
        <w:spacing w:after="180"/>
        <w:jc w:val="center"/>
      </w:pPr>
      <w:r>
        <w:rPr>
          <w:rFonts w:ascii="Arial" w:eastAsia="宋体" w:hAnsi="Arial" w:cs="Arial"/>
          <w:color w:val="262626"/>
          <w:sz w:val="18"/>
          <w:szCs w:val="18"/>
        </w:rPr>
        <w:t>Washington, D.C. 20549</w:t>
      </w:r>
    </w:p>
    <w:p w14:paraId="39D96F98" w14:textId="77777777" w:rsidR="00996AD7" w:rsidRDefault="00D96458">
      <w:pPr>
        <w:spacing w:before="120" w:after="120"/>
        <w:jc w:val="center"/>
      </w:pPr>
      <w:r>
        <w:rPr>
          <w:rFonts w:ascii="Arial" w:eastAsia="宋体" w:hAnsi="Arial" w:cs="Arial"/>
          <w:b/>
          <w:bCs/>
          <w:color w:val="262626"/>
          <w:sz w:val="36"/>
          <w:szCs w:val="36"/>
        </w:rPr>
        <w:t>F</w:t>
      </w:r>
      <w:r>
        <w:rPr>
          <w:rFonts w:ascii="Arial" w:eastAsia="宋体" w:hAnsi="Arial" w:cs="Arial"/>
          <w:b/>
          <w:bCs/>
          <w:color w:val="262626"/>
          <w:sz w:val="36"/>
          <w:szCs w:val="36"/>
        </w:rPr>
        <w:t xml:space="preserve">ORM 10-Q </w:t>
      </w:r>
    </w:p>
    <w:p w14:paraId="39D96F99" w14:textId="77777777" w:rsidR="00996AD7" w:rsidRDefault="00D96458">
      <w:pPr>
        <w:spacing w:before="180" w:after="180"/>
      </w:pPr>
      <w:r>
        <w:rPr>
          <w:rFonts w:ascii="Arial" w:eastAsia="宋体" w:hAnsi="Arial" w:cs="Arial"/>
          <w:color w:val="262626"/>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6"/>
        <w:gridCol w:w="116"/>
        <w:gridCol w:w="36"/>
        <w:gridCol w:w="118"/>
        <w:gridCol w:w="241"/>
        <w:gridCol w:w="36"/>
        <w:gridCol w:w="38"/>
        <w:gridCol w:w="1916"/>
        <w:gridCol w:w="37"/>
        <w:gridCol w:w="37"/>
        <w:gridCol w:w="5688"/>
        <w:gridCol w:w="37"/>
      </w:tblGrid>
      <w:tr w:rsidR="00996AD7" w14:paraId="39D96FA6" w14:textId="77777777">
        <w:tc>
          <w:tcPr>
            <w:tcW w:w="5" w:type="pct"/>
            <w:shd w:val="clear" w:color="auto" w:fill="auto"/>
            <w:vAlign w:val="bottom"/>
          </w:tcPr>
          <w:p w14:paraId="39D96F9A" w14:textId="77777777" w:rsidR="00996AD7" w:rsidRDefault="00996AD7">
            <w:pPr>
              <w:rPr>
                <w:rFonts w:ascii="宋体"/>
              </w:rPr>
            </w:pPr>
          </w:p>
        </w:tc>
        <w:tc>
          <w:tcPr>
            <w:tcW w:w="99" w:type="pct"/>
            <w:shd w:val="clear" w:color="auto" w:fill="auto"/>
            <w:vAlign w:val="bottom"/>
          </w:tcPr>
          <w:p w14:paraId="39D96F9B" w14:textId="77777777" w:rsidR="00996AD7" w:rsidRDefault="00996AD7">
            <w:pPr>
              <w:rPr>
                <w:rFonts w:ascii="宋体"/>
              </w:rPr>
            </w:pPr>
          </w:p>
        </w:tc>
        <w:tc>
          <w:tcPr>
            <w:tcW w:w="5" w:type="pct"/>
            <w:shd w:val="clear" w:color="auto" w:fill="auto"/>
            <w:vAlign w:val="bottom"/>
          </w:tcPr>
          <w:p w14:paraId="39D96F9C" w14:textId="77777777" w:rsidR="00996AD7" w:rsidRDefault="00996AD7">
            <w:pPr>
              <w:rPr>
                <w:rFonts w:ascii="宋体"/>
              </w:rPr>
            </w:pPr>
          </w:p>
        </w:tc>
        <w:tc>
          <w:tcPr>
            <w:tcW w:w="50" w:type="pct"/>
            <w:shd w:val="clear" w:color="auto" w:fill="auto"/>
            <w:vAlign w:val="bottom"/>
          </w:tcPr>
          <w:p w14:paraId="39D96F9D" w14:textId="77777777" w:rsidR="00996AD7" w:rsidRDefault="00996AD7">
            <w:pPr>
              <w:rPr>
                <w:rFonts w:ascii="宋体"/>
              </w:rPr>
            </w:pPr>
          </w:p>
        </w:tc>
        <w:tc>
          <w:tcPr>
            <w:tcW w:w="102" w:type="pct"/>
            <w:shd w:val="clear" w:color="auto" w:fill="auto"/>
            <w:vAlign w:val="bottom"/>
          </w:tcPr>
          <w:p w14:paraId="39D96F9E" w14:textId="77777777" w:rsidR="00996AD7" w:rsidRDefault="00996AD7">
            <w:pPr>
              <w:rPr>
                <w:rFonts w:ascii="宋体"/>
              </w:rPr>
            </w:pPr>
          </w:p>
        </w:tc>
        <w:tc>
          <w:tcPr>
            <w:tcW w:w="5" w:type="pct"/>
            <w:shd w:val="clear" w:color="auto" w:fill="auto"/>
            <w:vAlign w:val="bottom"/>
          </w:tcPr>
          <w:p w14:paraId="39D96F9F" w14:textId="77777777" w:rsidR="00996AD7" w:rsidRDefault="00996AD7">
            <w:pPr>
              <w:rPr>
                <w:rFonts w:ascii="宋体"/>
              </w:rPr>
            </w:pPr>
          </w:p>
        </w:tc>
        <w:tc>
          <w:tcPr>
            <w:tcW w:w="50" w:type="pct"/>
            <w:shd w:val="clear" w:color="auto" w:fill="auto"/>
            <w:vAlign w:val="bottom"/>
          </w:tcPr>
          <w:p w14:paraId="39D96FA0" w14:textId="77777777" w:rsidR="00996AD7" w:rsidRDefault="00996AD7">
            <w:pPr>
              <w:rPr>
                <w:rFonts w:ascii="宋体"/>
              </w:rPr>
            </w:pPr>
          </w:p>
        </w:tc>
        <w:tc>
          <w:tcPr>
            <w:tcW w:w="1181" w:type="pct"/>
            <w:shd w:val="clear" w:color="auto" w:fill="auto"/>
            <w:vAlign w:val="bottom"/>
          </w:tcPr>
          <w:p w14:paraId="39D96FA1" w14:textId="77777777" w:rsidR="00996AD7" w:rsidRDefault="00996AD7">
            <w:pPr>
              <w:rPr>
                <w:rFonts w:ascii="宋体"/>
              </w:rPr>
            </w:pPr>
          </w:p>
        </w:tc>
        <w:tc>
          <w:tcPr>
            <w:tcW w:w="5" w:type="pct"/>
            <w:shd w:val="clear" w:color="auto" w:fill="auto"/>
            <w:vAlign w:val="bottom"/>
          </w:tcPr>
          <w:p w14:paraId="39D96FA2" w14:textId="77777777" w:rsidR="00996AD7" w:rsidRDefault="00996AD7">
            <w:pPr>
              <w:rPr>
                <w:rFonts w:ascii="宋体"/>
              </w:rPr>
            </w:pPr>
          </w:p>
        </w:tc>
        <w:tc>
          <w:tcPr>
            <w:tcW w:w="50" w:type="pct"/>
            <w:shd w:val="clear" w:color="auto" w:fill="auto"/>
            <w:vAlign w:val="bottom"/>
          </w:tcPr>
          <w:p w14:paraId="39D96FA3" w14:textId="77777777" w:rsidR="00996AD7" w:rsidRDefault="00996AD7">
            <w:pPr>
              <w:rPr>
                <w:rFonts w:ascii="宋体"/>
              </w:rPr>
            </w:pPr>
          </w:p>
        </w:tc>
        <w:tc>
          <w:tcPr>
            <w:tcW w:w="3442" w:type="pct"/>
            <w:shd w:val="clear" w:color="auto" w:fill="auto"/>
            <w:vAlign w:val="bottom"/>
          </w:tcPr>
          <w:p w14:paraId="39D96FA4" w14:textId="77777777" w:rsidR="00996AD7" w:rsidRDefault="00996AD7">
            <w:pPr>
              <w:rPr>
                <w:rFonts w:ascii="宋体"/>
              </w:rPr>
            </w:pPr>
          </w:p>
        </w:tc>
        <w:tc>
          <w:tcPr>
            <w:tcW w:w="5" w:type="pct"/>
            <w:shd w:val="clear" w:color="auto" w:fill="auto"/>
            <w:vAlign w:val="bottom"/>
          </w:tcPr>
          <w:p w14:paraId="39D96FA5" w14:textId="77777777" w:rsidR="00996AD7" w:rsidRDefault="00996AD7">
            <w:pPr>
              <w:rPr>
                <w:rFonts w:ascii="宋体"/>
              </w:rPr>
            </w:pPr>
          </w:p>
        </w:tc>
      </w:tr>
      <w:tr w:rsidR="00996AD7" w14:paraId="39D96FAA" w14:textId="77777777">
        <w:tc>
          <w:tcPr>
            <w:tcW w:w="0" w:type="auto"/>
            <w:gridSpan w:val="3"/>
            <w:shd w:val="clear" w:color="auto" w:fill="auto"/>
            <w:tcMar>
              <w:top w:w="40" w:type="dxa"/>
              <w:left w:w="20" w:type="dxa"/>
              <w:bottom w:w="40" w:type="dxa"/>
              <w:right w:w="20" w:type="dxa"/>
            </w:tcMar>
            <w:vAlign w:val="bottom"/>
          </w:tcPr>
          <w:p w14:paraId="39D96FA7" w14:textId="77777777" w:rsidR="00996AD7" w:rsidRDefault="00D96458">
            <w:pPr>
              <w:textAlignment w:val="bottom"/>
            </w:pPr>
            <w:r>
              <w:rPr>
                <w:rFonts w:ascii="Arial" w:eastAsia="宋体" w:hAnsi="Arial" w:cs="Arial"/>
                <w:color w:val="262626"/>
                <w:sz w:val="16"/>
                <w:szCs w:val="16"/>
              </w:rPr>
              <w:t> </w:t>
            </w:r>
          </w:p>
        </w:tc>
        <w:tc>
          <w:tcPr>
            <w:tcW w:w="0" w:type="auto"/>
            <w:gridSpan w:val="3"/>
            <w:shd w:val="clear" w:color="auto" w:fill="auto"/>
            <w:tcMar>
              <w:top w:w="40" w:type="dxa"/>
              <w:left w:w="20" w:type="dxa"/>
              <w:bottom w:w="40" w:type="dxa"/>
              <w:right w:w="20" w:type="dxa"/>
            </w:tcMar>
          </w:tcPr>
          <w:p w14:paraId="39D96FA8" w14:textId="77777777" w:rsidR="00996AD7" w:rsidRDefault="00D96458">
            <w:pPr>
              <w:textAlignment w:val="top"/>
            </w:pPr>
            <w:r>
              <w:rPr>
                <w:rFonts w:ascii="Arial Unicode MS" w:eastAsia="Arial Unicode MS" w:hAnsi="Arial Unicode MS" w:cs="Arial Unicode MS"/>
                <w:b/>
                <w:bCs/>
                <w:color w:val="262626"/>
              </w:rPr>
              <w:t>☑</w:t>
            </w:r>
          </w:p>
        </w:tc>
        <w:tc>
          <w:tcPr>
            <w:tcW w:w="0" w:type="auto"/>
            <w:gridSpan w:val="6"/>
            <w:shd w:val="clear" w:color="auto" w:fill="auto"/>
            <w:tcMar>
              <w:top w:w="40" w:type="dxa"/>
              <w:left w:w="20" w:type="dxa"/>
              <w:bottom w:w="40" w:type="dxa"/>
              <w:right w:w="20" w:type="dxa"/>
            </w:tcMar>
          </w:tcPr>
          <w:p w14:paraId="39D96FA9" w14:textId="77777777" w:rsidR="00996AD7" w:rsidRDefault="00D96458">
            <w:pPr>
              <w:textAlignment w:val="top"/>
            </w:pPr>
            <w:r>
              <w:rPr>
                <w:rFonts w:ascii="Arial" w:eastAsia="宋体" w:hAnsi="Arial" w:cs="Arial"/>
                <w:color w:val="262626"/>
                <w:sz w:val="18"/>
                <w:szCs w:val="18"/>
              </w:rPr>
              <w:t>QUARTERLY REPORT PURSUANT TO SECTION 13 OR 15(d) OF THE SECURITIES EXCHANGE ACT OF 1934</w:t>
            </w:r>
          </w:p>
        </w:tc>
      </w:tr>
      <w:tr w:rsidR="00996AD7" w14:paraId="39D96FAF" w14:textId="77777777">
        <w:tc>
          <w:tcPr>
            <w:tcW w:w="0" w:type="auto"/>
            <w:gridSpan w:val="3"/>
            <w:shd w:val="clear" w:color="auto" w:fill="auto"/>
            <w:tcMar>
              <w:top w:w="0" w:type="dxa"/>
              <w:left w:w="20" w:type="dxa"/>
              <w:bottom w:w="0" w:type="dxa"/>
              <w:right w:w="20" w:type="dxa"/>
            </w:tcMar>
            <w:vAlign w:val="bottom"/>
          </w:tcPr>
          <w:p w14:paraId="39D96FA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6FA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6FAD" w14:textId="77777777" w:rsidR="00996AD7" w:rsidRDefault="00D96458">
            <w:pPr>
              <w:textAlignment w:val="bottom"/>
            </w:pPr>
            <w:r>
              <w:rPr>
                <w:rFonts w:ascii="Arial" w:eastAsia="宋体" w:hAnsi="Arial" w:cs="Arial"/>
                <w:color w:val="262626"/>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39D96FAE" w14:textId="77777777" w:rsidR="00996AD7" w:rsidRDefault="00D96458">
            <w:pPr>
              <w:textAlignment w:val="bottom"/>
            </w:pPr>
            <w:r>
              <w:rPr>
                <w:rFonts w:ascii="Arial" w:eastAsia="宋体" w:hAnsi="Arial" w:cs="Arial"/>
                <w:color w:val="262626"/>
                <w:sz w:val="18"/>
                <w:szCs w:val="18"/>
              </w:rPr>
              <w:t>September 25, 2021</w:t>
            </w:r>
          </w:p>
        </w:tc>
      </w:tr>
    </w:tbl>
    <w:p w14:paraId="39D96FB0" w14:textId="77777777" w:rsidR="00996AD7" w:rsidRDefault="00D96458">
      <w:pPr>
        <w:jc w:val="center"/>
      </w:pPr>
      <w:r>
        <w:rPr>
          <w:rFonts w:ascii="Arial" w:eastAsia="宋体" w:hAnsi="Arial" w:cs="Arial"/>
          <w:color w:val="262626"/>
          <w:sz w:val="16"/>
          <w:szCs w:val="16"/>
        </w:rPr>
        <w:t>Or</w:t>
      </w:r>
    </w:p>
    <w:tbl>
      <w:tblPr>
        <w:tblW w:w="5000" w:type="pct"/>
        <w:tblCellMar>
          <w:top w:w="15" w:type="dxa"/>
          <w:left w:w="15" w:type="dxa"/>
          <w:bottom w:w="15" w:type="dxa"/>
          <w:right w:w="15" w:type="dxa"/>
        </w:tblCellMar>
        <w:tblLook w:val="04A0" w:firstRow="1" w:lastRow="0" w:firstColumn="1" w:lastColumn="0" w:noHBand="0" w:noVBand="1"/>
      </w:tblPr>
      <w:tblGrid>
        <w:gridCol w:w="36"/>
        <w:gridCol w:w="142"/>
        <w:gridCol w:w="36"/>
        <w:gridCol w:w="79"/>
        <w:gridCol w:w="161"/>
        <w:gridCol w:w="36"/>
        <w:gridCol w:w="38"/>
        <w:gridCol w:w="7771"/>
        <w:gridCol w:w="37"/>
      </w:tblGrid>
      <w:tr w:rsidR="00996AD7" w14:paraId="39D96FBA" w14:textId="77777777">
        <w:tc>
          <w:tcPr>
            <w:tcW w:w="5" w:type="pct"/>
            <w:shd w:val="clear" w:color="auto" w:fill="auto"/>
            <w:vAlign w:val="bottom"/>
          </w:tcPr>
          <w:p w14:paraId="39D96FB1" w14:textId="77777777" w:rsidR="00996AD7" w:rsidRDefault="00996AD7">
            <w:pPr>
              <w:rPr>
                <w:rFonts w:ascii="宋体"/>
              </w:rPr>
            </w:pPr>
          </w:p>
        </w:tc>
        <w:tc>
          <w:tcPr>
            <w:tcW w:w="99" w:type="pct"/>
            <w:shd w:val="clear" w:color="auto" w:fill="auto"/>
            <w:vAlign w:val="bottom"/>
          </w:tcPr>
          <w:p w14:paraId="39D96FB2" w14:textId="77777777" w:rsidR="00996AD7" w:rsidRDefault="00996AD7">
            <w:pPr>
              <w:rPr>
                <w:rFonts w:ascii="宋体"/>
              </w:rPr>
            </w:pPr>
          </w:p>
        </w:tc>
        <w:tc>
          <w:tcPr>
            <w:tcW w:w="5" w:type="pct"/>
            <w:shd w:val="clear" w:color="auto" w:fill="auto"/>
            <w:vAlign w:val="bottom"/>
          </w:tcPr>
          <w:p w14:paraId="39D96FB3" w14:textId="77777777" w:rsidR="00996AD7" w:rsidRDefault="00996AD7">
            <w:pPr>
              <w:rPr>
                <w:rFonts w:ascii="宋体"/>
              </w:rPr>
            </w:pPr>
          </w:p>
        </w:tc>
        <w:tc>
          <w:tcPr>
            <w:tcW w:w="50" w:type="pct"/>
            <w:shd w:val="clear" w:color="auto" w:fill="auto"/>
            <w:vAlign w:val="bottom"/>
          </w:tcPr>
          <w:p w14:paraId="39D96FB4" w14:textId="77777777" w:rsidR="00996AD7" w:rsidRDefault="00996AD7">
            <w:pPr>
              <w:rPr>
                <w:rFonts w:ascii="宋体"/>
              </w:rPr>
            </w:pPr>
          </w:p>
        </w:tc>
        <w:tc>
          <w:tcPr>
            <w:tcW w:w="102" w:type="pct"/>
            <w:shd w:val="clear" w:color="auto" w:fill="auto"/>
            <w:vAlign w:val="bottom"/>
          </w:tcPr>
          <w:p w14:paraId="39D96FB5" w14:textId="77777777" w:rsidR="00996AD7" w:rsidRDefault="00996AD7">
            <w:pPr>
              <w:rPr>
                <w:rFonts w:ascii="宋体"/>
              </w:rPr>
            </w:pPr>
          </w:p>
        </w:tc>
        <w:tc>
          <w:tcPr>
            <w:tcW w:w="5" w:type="pct"/>
            <w:shd w:val="clear" w:color="auto" w:fill="auto"/>
            <w:vAlign w:val="bottom"/>
          </w:tcPr>
          <w:p w14:paraId="39D96FB6" w14:textId="77777777" w:rsidR="00996AD7" w:rsidRDefault="00996AD7">
            <w:pPr>
              <w:rPr>
                <w:rFonts w:ascii="宋体"/>
              </w:rPr>
            </w:pPr>
          </w:p>
        </w:tc>
        <w:tc>
          <w:tcPr>
            <w:tcW w:w="50" w:type="pct"/>
            <w:shd w:val="clear" w:color="auto" w:fill="auto"/>
            <w:vAlign w:val="bottom"/>
          </w:tcPr>
          <w:p w14:paraId="39D96FB7" w14:textId="77777777" w:rsidR="00996AD7" w:rsidRDefault="00996AD7">
            <w:pPr>
              <w:rPr>
                <w:rFonts w:ascii="宋体"/>
              </w:rPr>
            </w:pPr>
          </w:p>
        </w:tc>
        <w:tc>
          <w:tcPr>
            <w:tcW w:w="4678" w:type="pct"/>
            <w:shd w:val="clear" w:color="auto" w:fill="auto"/>
            <w:vAlign w:val="bottom"/>
          </w:tcPr>
          <w:p w14:paraId="39D96FB8" w14:textId="77777777" w:rsidR="00996AD7" w:rsidRDefault="00996AD7">
            <w:pPr>
              <w:rPr>
                <w:rFonts w:ascii="宋体"/>
              </w:rPr>
            </w:pPr>
          </w:p>
        </w:tc>
        <w:tc>
          <w:tcPr>
            <w:tcW w:w="5" w:type="pct"/>
            <w:shd w:val="clear" w:color="auto" w:fill="auto"/>
            <w:vAlign w:val="bottom"/>
          </w:tcPr>
          <w:p w14:paraId="39D96FB9" w14:textId="77777777" w:rsidR="00996AD7" w:rsidRDefault="00996AD7">
            <w:pPr>
              <w:rPr>
                <w:rFonts w:ascii="宋体"/>
              </w:rPr>
            </w:pPr>
          </w:p>
        </w:tc>
      </w:tr>
      <w:tr w:rsidR="00996AD7" w14:paraId="39D96FBE" w14:textId="77777777">
        <w:tc>
          <w:tcPr>
            <w:tcW w:w="0" w:type="auto"/>
            <w:gridSpan w:val="3"/>
            <w:shd w:val="clear" w:color="auto" w:fill="auto"/>
            <w:tcMar>
              <w:top w:w="40" w:type="dxa"/>
              <w:left w:w="20" w:type="dxa"/>
              <w:bottom w:w="40" w:type="dxa"/>
              <w:right w:w="20" w:type="dxa"/>
            </w:tcMar>
            <w:vAlign w:val="bottom"/>
          </w:tcPr>
          <w:p w14:paraId="39D96FBB" w14:textId="77777777" w:rsidR="00996AD7" w:rsidRDefault="00D96458">
            <w:pPr>
              <w:textAlignment w:val="bottom"/>
            </w:pPr>
            <w:r>
              <w:rPr>
                <w:rFonts w:ascii="Arial" w:eastAsia="宋体" w:hAnsi="Arial" w:cs="Arial"/>
                <w:color w:val="262626"/>
                <w:sz w:val="16"/>
                <w:szCs w:val="16"/>
              </w:rPr>
              <w:t> </w:t>
            </w:r>
          </w:p>
        </w:tc>
        <w:tc>
          <w:tcPr>
            <w:tcW w:w="0" w:type="auto"/>
            <w:gridSpan w:val="3"/>
            <w:shd w:val="clear" w:color="auto" w:fill="auto"/>
            <w:tcMar>
              <w:top w:w="40" w:type="dxa"/>
              <w:left w:w="20" w:type="dxa"/>
              <w:bottom w:w="40" w:type="dxa"/>
              <w:right w:w="20" w:type="dxa"/>
            </w:tcMar>
          </w:tcPr>
          <w:p w14:paraId="39D96FBC" w14:textId="77777777" w:rsidR="00996AD7" w:rsidRDefault="00D96458">
            <w:pPr>
              <w:textAlignment w:val="top"/>
            </w:pPr>
            <w:r>
              <w:rPr>
                <w:rFonts w:ascii="Arial Unicode MS" w:eastAsia="Arial Unicode MS" w:hAnsi="Arial Unicode MS" w:cs="Arial Unicode MS" w:hint="eastAsia"/>
                <w:color w:val="262626"/>
              </w:rPr>
              <w:t>☐</w:t>
            </w:r>
          </w:p>
        </w:tc>
        <w:tc>
          <w:tcPr>
            <w:tcW w:w="0" w:type="auto"/>
            <w:gridSpan w:val="3"/>
            <w:shd w:val="clear" w:color="auto" w:fill="auto"/>
            <w:tcMar>
              <w:top w:w="40" w:type="dxa"/>
              <w:left w:w="20" w:type="dxa"/>
              <w:bottom w:w="40" w:type="dxa"/>
              <w:right w:w="20" w:type="dxa"/>
            </w:tcMar>
          </w:tcPr>
          <w:p w14:paraId="39D96FBD" w14:textId="77777777" w:rsidR="00996AD7" w:rsidRDefault="00D96458">
            <w:pPr>
              <w:textAlignment w:val="top"/>
            </w:pPr>
            <w:r>
              <w:rPr>
                <w:rFonts w:ascii="Arial" w:eastAsia="宋体" w:hAnsi="Arial" w:cs="Arial"/>
                <w:color w:val="262626"/>
                <w:sz w:val="18"/>
                <w:szCs w:val="18"/>
              </w:rPr>
              <w:t xml:space="preserve">TRANSITION REPORT PURSUANT TO SECTION 13 OR 15(d) OF THE </w:t>
            </w:r>
            <w:r>
              <w:rPr>
                <w:rFonts w:ascii="Arial" w:eastAsia="宋体" w:hAnsi="Arial" w:cs="Arial"/>
                <w:color w:val="262626"/>
                <w:sz w:val="18"/>
                <w:szCs w:val="18"/>
              </w:rPr>
              <w:t>SECURITIES EXCHANGE ACT OF 1934</w:t>
            </w:r>
          </w:p>
        </w:tc>
      </w:tr>
      <w:tr w:rsidR="00996AD7" w14:paraId="39D96FC2" w14:textId="77777777">
        <w:tc>
          <w:tcPr>
            <w:tcW w:w="0" w:type="auto"/>
            <w:gridSpan w:val="3"/>
            <w:shd w:val="clear" w:color="auto" w:fill="auto"/>
            <w:tcMar>
              <w:top w:w="0" w:type="dxa"/>
              <w:left w:w="20" w:type="dxa"/>
              <w:bottom w:w="0" w:type="dxa"/>
              <w:right w:w="20" w:type="dxa"/>
            </w:tcMar>
            <w:vAlign w:val="bottom"/>
          </w:tcPr>
          <w:p w14:paraId="39D96FB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6FC0"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6FC1" w14:textId="77777777" w:rsidR="00996AD7" w:rsidRDefault="00D96458">
            <w:pPr>
              <w:spacing w:before="100"/>
              <w:textAlignment w:val="bottom"/>
            </w:pPr>
            <w:r>
              <w:rPr>
                <w:rFonts w:ascii="Arial" w:eastAsia="宋体" w:hAnsi="Arial" w:cs="Arial"/>
                <w:color w:val="262626"/>
                <w:sz w:val="18"/>
                <w:szCs w:val="18"/>
              </w:rPr>
              <w:t xml:space="preserve">For the transition period from </w:t>
            </w:r>
            <w:r>
              <w:rPr>
                <w:rFonts w:ascii="Arial" w:eastAsia="宋体" w:hAnsi="Arial" w:cs="Arial"/>
                <w:color w:val="262626"/>
                <w:sz w:val="18"/>
                <w:szCs w:val="18"/>
                <w:u w:val="single"/>
              </w:rPr>
              <w:t>                </w:t>
            </w:r>
            <w:r>
              <w:rPr>
                <w:rFonts w:ascii="Arial" w:eastAsia="宋体" w:hAnsi="Arial" w:cs="Arial"/>
                <w:color w:val="262626"/>
                <w:sz w:val="18"/>
                <w:szCs w:val="18"/>
              </w:rPr>
              <w:t xml:space="preserve"> to </w:t>
            </w:r>
            <w:r>
              <w:rPr>
                <w:rFonts w:ascii="Arial" w:eastAsia="宋体" w:hAnsi="Arial" w:cs="Arial"/>
                <w:color w:val="262626"/>
                <w:sz w:val="18"/>
                <w:szCs w:val="18"/>
                <w:u w:val="single"/>
              </w:rPr>
              <w:t>                </w:t>
            </w:r>
          </w:p>
        </w:tc>
      </w:tr>
    </w:tbl>
    <w:p w14:paraId="39D96FC3" w14:textId="77777777" w:rsidR="00996AD7" w:rsidRDefault="00D96458">
      <w:pPr>
        <w:spacing w:before="20" w:after="120"/>
        <w:jc w:val="center"/>
      </w:pPr>
      <w:r>
        <w:rPr>
          <w:rFonts w:ascii="Arial" w:eastAsia="宋体" w:hAnsi="Arial" w:cs="Arial"/>
          <w:color w:val="262626"/>
          <w:sz w:val="18"/>
          <w:szCs w:val="18"/>
        </w:rPr>
        <w:t xml:space="preserve">Commission File Number </w:t>
      </w:r>
      <w:r>
        <w:rPr>
          <w:rFonts w:ascii="Arial" w:eastAsia="宋体" w:hAnsi="Arial" w:cs="Arial"/>
          <w:color w:val="262626"/>
          <w:sz w:val="18"/>
          <w:szCs w:val="18"/>
          <w:u w:val="single"/>
        </w:rPr>
        <w:t xml:space="preserve">000-06217 </w:t>
      </w:r>
    </w:p>
    <w:p w14:paraId="39D96FC4" w14:textId="77777777" w:rsidR="00996AD7" w:rsidRDefault="00D96458">
      <w:pPr>
        <w:spacing w:before="120" w:after="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8A" wp14:editId="39D9A38B">
            <wp:extent cx="304800" cy="304800"/>
            <wp:effectExtent l="0" t="0" r="0" b="0"/>
            <wp:docPr id="3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9D96FC5" w14:textId="77777777" w:rsidR="00996AD7" w:rsidRDefault="00D96458">
      <w:pPr>
        <w:jc w:val="center"/>
      </w:pPr>
      <w:r>
        <w:rPr>
          <w:rFonts w:ascii="Arial" w:eastAsia="宋体" w:hAnsi="Arial" w:cs="Arial"/>
          <w:b/>
          <w:bCs/>
          <w:color w:val="262626"/>
          <w:sz w:val="36"/>
          <w:szCs w:val="36"/>
        </w:rPr>
        <w:t xml:space="preserve">INTEL CORPORATION </w:t>
      </w:r>
    </w:p>
    <w:p w14:paraId="39D96FC6" w14:textId="77777777" w:rsidR="00996AD7" w:rsidRDefault="00D96458">
      <w:pPr>
        <w:jc w:val="center"/>
      </w:pPr>
      <w:r>
        <w:rPr>
          <w:rFonts w:ascii="Arial" w:eastAsia="宋体" w:hAnsi="Arial" w:cs="Arial"/>
          <w:color w:val="262626"/>
          <w:sz w:val="18"/>
          <w:szCs w:val="18"/>
        </w:rPr>
        <w:t>(Exact name of registrant as specified in its charter)</w:t>
      </w:r>
    </w:p>
    <w:tbl>
      <w:tblPr>
        <w:tblW w:w="4706" w:type="pct"/>
        <w:jc w:val="center"/>
        <w:tblCellMar>
          <w:top w:w="15" w:type="dxa"/>
          <w:left w:w="15" w:type="dxa"/>
          <w:bottom w:w="15" w:type="dxa"/>
          <w:right w:w="15" w:type="dxa"/>
        </w:tblCellMar>
        <w:tblLook w:val="04A0" w:firstRow="1" w:lastRow="0" w:firstColumn="1" w:lastColumn="0" w:noHBand="0" w:noVBand="1"/>
      </w:tblPr>
      <w:tblGrid>
        <w:gridCol w:w="59"/>
        <w:gridCol w:w="2230"/>
        <w:gridCol w:w="38"/>
        <w:gridCol w:w="59"/>
        <w:gridCol w:w="1751"/>
        <w:gridCol w:w="37"/>
        <w:gridCol w:w="59"/>
        <w:gridCol w:w="1021"/>
        <w:gridCol w:w="37"/>
        <w:gridCol w:w="36"/>
        <w:gridCol w:w="36"/>
        <w:gridCol w:w="36"/>
        <w:gridCol w:w="45"/>
        <w:gridCol w:w="2366"/>
        <w:gridCol w:w="36"/>
      </w:tblGrid>
      <w:tr w:rsidR="00996AD7" w14:paraId="39D96FD6" w14:textId="77777777">
        <w:trPr>
          <w:jc w:val="center"/>
        </w:trPr>
        <w:tc>
          <w:tcPr>
            <w:tcW w:w="50" w:type="pct"/>
            <w:shd w:val="clear" w:color="auto" w:fill="auto"/>
            <w:vAlign w:val="bottom"/>
          </w:tcPr>
          <w:p w14:paraId="39D96FC7" w14:textId="77777777" w:rsidR="00996AD7" w:rsidRDefault="00996AD7">
            <w:pPr>
              <w:rPr>
                <w:rFonts w:ascii="宋体"/>
              </w:rPr>
            </w:pPr>
          </w:p>
        </w:tc>
        <w:tc>
          <w:tcPr>
            <w:tcW w:w="1432" w:type="pct"/>
            <w:shd w:val="clear" w:color="auto" w:fill="auto"/>
            <w:vAlign w:val="bottom"/>
          </w:tcPr>
          <w:p w14:paraId="39D96FC8" w14:textId="77777777" w:rsidR="00996AD7" w:rsidRDefault="00996AD7">
            <w:pPr>
              <w:rPr>
                <w:rFonts w:ascii="宋体"/>
              </w:rPr>
            </w:pPr>
          </w:p>
        </w:tc>
        <w:tc>
          <w:tcPr>
            <w:tcW w:w="5" w:type="pct"/>
            <w:shd w:val="clear" w:color="auto" w:fill="auto"/>
            <w:vAlign w:val="bottom"/>
          </w:tcPr>
          <w:p w14:paraId="39D96FC9" w14:textId="77777777" w:rsidR="00996AD7" w:rsidRDefault="00996AD7">
            <w:pPr>
              <w:rPr>
                <w:rFonts w:ascii="宋体"/>
              </w:rPr>
            </w:pPr>
          </w:p>
        </w:tc>
        <w:tc>
          <w:tcPr>
            <w:tcW w:w="50" w:type="pct"/>
            <w:shd w:val="clear" w:color="auto" w:fill="auto"/>
            <w:vAlign w:val="bottom"/>
          </w:tcPr>
          <w:p w14:paraId="39D96FCA" w14:textId="77777777" w:rsidR="00996AD7" w:rsidRDefault="00996AD7">
            <w:pPr>
              <w:rPr>
                <w:rFonts w:ascii="宋体"/>
              </w:rPr>
            </w:pPr>
          </w:p>
        </w:tc>
        <w:tc>
          <w:tcPr>
            <w:tcW w:w="1127" w:type="pct"/>
            <w:shd w:val="clear" w:color="auto" w:fill="auto"/>
            <w:vAlign w:val="bottom"/>
          </w:tcPr>
          <w:p w14:paraId="39D96FCB" w14:textId="77777777" w:rsidR="00996AD7" w:rsidRDefault="00996AD7">
            <w:pPr>
              <w:rPr>
                <w:rFonts w:ascii="宋体"/>
              </w:rPr>
            </w:pPr>
          </w:p>
        </w:tc>
        <w:tc>
          <w:tcPr>
            <w:tcW w:w="5" w:type="pct"/>
            <w:shd w:val="clear" w:color="auto" w:fill="auto"/>
            <w:vAlign w:val="bottom"/>
          </w:tcPr>
          <w:p w14:paraId="39D96FCC" w14:textId="77777777" w:rsidR="00996AD7" w:rsidRDefault="00996AD7">
            <w:pPr>
              <w:rPr>
                <w:rFonts w:ascii="宋体"/>
              </w:rPr>
            </w:pPr>
          </w:p>
        </w:tc>
        <w:tc>
          <w:tcPr>
            <w:tcW w:w="50" w:type="pct"/>
            <w:shd w:val="clear" w:color="auto" w:fill="auto"/>
            <w:vAlign w:val="bottom"/>
          </w:tcPr>
          <w:p w14:paraId="39D96FCD" w14:textId="77777777" w:rsidR="00996AD7" w:rsidRDefault="00996AD7">
            <w:pPr>
              <w:rPr>
                <w:rFonts w:ascii="宋体"/>
              </w:rPr>
            </w:pPr>
          </w:p>
        </w:tc>
        <w:tc>
          <w:tcPr>
            <w:tcW w:w="663" w:type="pct"/>
            <w:shd w:val="clear" w:color="auto" w:fill="auto"/>
            <w:vAlign w:val="bottom"/>
          </w:tcPr>
          <w:p w14:paraId="39D96FCE" w14:textId="77777777" w:rsidR="00996AD7" w:rsidRDefault="00996AD7">
            <w:pPr>
              <w:rPr>
                <w:rFonts w:ascii="宋体"/>
              </w:rPr>
            </w:pPr>
          </w:p>
        </w:tc>
        <w:tc>
          <w:tcPr>
            <w:tcW w:w="5" w:type="pct"/>
            <w:shd w:val="clear" w:color="auto" w:fill="auto"/>
            <w:vAlign w:val="bottom"/>
          </w:tcPr>
          <w:p w14:paraId="39D96FCF" w14:textId="77777777" w:rsidR="00996AD7" w:rsidRDefault="00996AD7">
            <w:pPr>
              <w:rPr>
                <w:rFonts w:ascii="宋体"/>
              </w:rPr>
            </w:pPr>
          </w:p>
        </w:tc>
        <w:tc>
          <w:tcPr>
            <w:tcW w:w="5" w:type="pct"/>
            <w:shd w:val="clear" w:color="auto" w:fill="auto"/>
            <w:vAlign w:val="bottom"/>
          </w:tcPr>
          <w:p w14:paraId="39D96FD0" w14:textId="77777777" w:rsidR="00996AD7" w:rsidRDefault="00996AD7">
            <w:pPr>
              <w:rPr>
                <w:rFonts w:ascii="宋体"/>
              </w:rPr>
            </w:pPr>
          </w:p>
        </w:tc>
        <w:tc>
          <w:tcPr>
            <w:tcW w:w="26" w:type="pct"/>
            <w:shd w:val="clear" w:color="auto" w:fill="auto"/>
            <w:vAlign w:val="bottom"/>
          </w:tcPr>
          <w:p w14:paraId="39D96FD1" w14:textId="77777777" w:rsidR="00996AD7" w:rsidRDefault="00996AD7">
            <w:pPr>
              <w:rPr>
                <w:rFonts w:ascii="宋体"/>
              </w:rPr>
            </w:pPr>
          </w:p>
        </w:tc>
        <w:tc>
          <w:tcPr>
            <w:tcW w:w="5" w:type="pct"/>
            <w:shd w:val="clear" w:color="auto" w:fill="auto"/>
            <w:vAlign w:val="bottom"/>
          </w:tcPr>
          <w:p w14:paraId="39D96FD2" w14:textId="77777777" w:rsidR="00996AD7" w:rsidRDefault="00996AD7">
            <w:pPr>
              <w:rPr>
                <w:rFonts w:ascii="宋体"/>
              </w:rPr>
            </w:pPr>
          </w:p>
        </w:tc>
        <w:tc>
          <w:tcPr>
            <w:tcW w:w="50" w:type="pct"/>
            <w:shd w:val="clear" w:color="auto" w:fill="auto"/>
            <w:vAlign w:val="bottom"/>
          </w:tcPr>
          <w:p w14:paraId="39D96FD3" w14:textId="77777777" w:rsidR="00996AD7" w:rsidRDefault="00996AD7">
            <w:pPr>
              <w:rPr>
                <w:rFonts w:ascii="宋体"/>
              </w:rPr>
            </w:pPr>
          </w:p>
        </w:tc>
        <w:tc>
          <w:tcPr>
            <w:tcW w:w="1519" w:type="pct"/>
            <w:shd w:val="clear" w:color="auto" w:fill="auto"/>
            <w:vAlign w:val="bottom"/>
          </w:tcPr>
          <w:p w14:paraId="39D96FD4" w14:textId="77777777" w:rsidR="00996AD7" w:rsidRDefault="00996AD7">
            <w:pPr>
              <w:rPr>
                <w:rFonts w:ascii="宋体"/>
              </w:rPr>
            </w:pPr>
          </w:p>
        </w:tc>
        <w:tc>
          <w:tcPr>
            <w:tcW w:w="5" w:type="pct"/>
            <w:shd w:val="clear" w:color="auto" w:fill="auto"/>
            <w:vAlign w:val="bottom"/>
          </w:tcPr>
          <w:p w14:paraId="39D96FD5" w14:textId="77777777" w:rsidR="00996AD7" w:rsidRDefault="00996AD7">
            <w:pPr>
              <w:rPr>
                <w:rFonts w:ascii="宋体"/>
              </w:rPr>
            </w:pPr>
          </w:p>
        </w:tc>
      </w:tr>
      <w:tr w:rsidR="00996AD7" w14:paraId="39D96FDC" w14:textId="77777777">
        <w:trPr>
          <w:jc w:val="center"/>
        </w:trPr>
        <w:tc>
          <w:tcPr>
            <w:tcW w:w="0" w:type="auto"/>
            <w:gridSpan w:val="3"/>
            <w:shd w:val="clear" w:color="auto" w:fill="auto"/>
            <w:tcMar>
              <w:top w:w="0" w:type="dxa"/>
              <w:left w:w="20" w:type="dxa"/>
              <w:bottom w:w="0" w:type="dxa"/>
              <w:right w:w="20" w:type="dxa"/>
            </w:tcMar>
            <w:vAlign w:val="bottom"/>
          </w:tcPr>
          <w:p w14:paraId="39D96FD7"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6FD8" w14:textId="77777777" w:rsidR="00996AD7" w:rsidRDefault="00D96458">
            <w:pPr>
              <w:textAlignment w:val="bottom"/>
            </w:pPr>
            <w:r>
              <w:rPr>
                <w:rFonts w:ascii="Arial" w:eastAsia="宋体" w:hAnsi="Arial" w:cs="Arial"/>
                <w:color w:val="262626"/>
                <w:sz w:val="18"/>
                <w:szCs w:val="18"/>
                <w:u w:val="single"/>
              </w:rPr>
              <w:t>Delaware</w:t>
            </w:r>
          </w:p>
        </w:tc>
        <w:tc>
          <w:tcPr>
            <w:tcW w:w="0" w:type="auto"/>
            <w:gridSpan w:val="3"/>
            <w:shd w:val="clear" w:color="auto" w:fill="auto"/>
            <w:tcMar>
              <w:top w:w="0" w:type="dxa"/>
              <w:left w:w="20" w:type="dxa"/>
              <w:bottom w:w="0" w:type="dxa"/>
              <w:right w:w="20" w:type="dxa"/>
            </w:tcMar>
            <w:vAlign w:val="bottom"/>
          </w:tcPr>
          <w:p w14:paraId="39D96FD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6FD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6FDB" w14:textId="77777777" w:rsidR="00996AD7" w:rsidRDefault="00D96458">
            <w:pPr>
              <w:jc w:val="center"/>
              <w:textAlignment w:val="bottom"/>
            </w:pPr>
            <w:r>
              <w:rPr>
                <w:rFonts w:ascii="Arial" w:eastAsia="宋体" w:hAnsi="Arial" w:cs="Arial"/>
                <w:color w:val="262626"/>
                <w:sz w:val="18"/>
                <w:szCs w:val="18"/>
                <w:u w:val="single"/>
              </w:rPr>
              <w:t>94-1672743</w:t>
            </w:r>
          </w:p>
        </w:tc>
      </w:tr>
      <w:tr w:rsidR="00996AD7" w14:paraId="39D96FE0" w14:textId="77777777">
        <w:trPr>
          <w:jc w:val="center"/>
        </w:trPr>
        <w:tc>
          <w:tcPr>
            <w:tcW w:w="0" w:type="auto"/>
            <w:gridSpan w:val="9"/>
            <w:shd w:val="clear" w:color="auto" w:fill="auto"/>
            <w:tcMar>
              <w:top w:w="40" w:type="dxa"/>
              <w:left w:w="20" w:type="dxa"/>
              <w:bottom w:w="40" w:type="dxa"/>
              <w:right w:w="20" w:type="dxa"/>
            </w:tcMar>
            <w:vAlign w:val="bottom"/>
          </w:tcPr>
          <w:p w14:paraId="39D96FDD" w14:textId="77777777" w:rsidR="00996AD7" w:rsidRDefault="00D96458">
            <w:pPr>
              <w:jc w:val="center"/>
              <w:textAlignment w:val="bottom"/>
            </w:pPr>
            <w:r>
              <w:rPr>
                <w:rFonts w:ascii="Arial" w:eastAsia="宋体" w:hAnsi="Arial" w:cs="Arial"/>
                <w:color w:val="262626"/>
                <w:sz w:val="18"/>
                <w:szCs w:val="18"/>
              </w:rPr>
              <w:t>(State or other jurisdiction of incorporation or organization)</w:t>
            </w:r>
          </w:p>
        </w:tc>
        <w:tc>
          <w:tcPr>
            <w:tcW w:w="0" w:type="auto"/>
            <w:gridSpan w:val="3"/>
            <w:shd w:val="clear" w:color="auto" w:fill="auto"/>
            <w:tcMar>
              <w:top w:w="0" w:type="dxa"/>
              <w:left w:w="20" w:type="dxa"/>
              <w:bottom w:w="0" w:type="dxa"/>
              <w:right w:w="20" w:type="dxa"/>
            </w:tcMar>
            <w:vAlign w:val="bottom"/>
          </w:tcPr>
          <w:p w14:paraId="39D96FDE"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6FDF" w14:textId="77777777" w:rsidR="00996AD7" w:rsidRDefault="00D96458">
            <w:pPr>
              <w:jc w:val="center"/>
              <w:textAlignment w:val="bottom"/>
            </w:pPr>
            <w:r>
              <w:rPr>
                <w:rFonts w:ascii="Arial" w:eastAsia="宋体" w:hAnsi="Arial" w:cs="Arial"/>
                <w:color w:val="262626"/>
                <w:sz w:val="18"/>
                <w:szCs w:val="18"/>
              </w:rPr>
              <w:t>(I.R.S. Employer Identification No.)</w:t>
            </w:r>
          </w:p>
        </w:tc>
      </w:tr>
      <w:tr w:rsidR="00996AD7" w14:paraId="39D96FE6" w14:textId="77777777">
        <w:trPr>
          <w:jc w:val="center"/>
          <w:hidden/>
        </w:trPr>
        <w:tc>
          <w:tcPr>
            <w:tcW w:w="0" w:type="auto"/>
            <w:gridSpan w:val="3"/>
            <w:shd w:val="clear" w:color="auto" w:fill="auto"/>
            <w:vAlign w:val="bottom"/>
          </w:tcPr>
          <w:p w14:paraId="39D96FE1" w14:textId="77777777" w:rsidR="00996AD7" w:rsidRDefault="00996AD7">
            <w:pPr>
              <w:rPr>
                <w:rFonts w:ascii="宋体"/>
                <w:vanish/>
              </w:rPr>
            </w:pPr>
          </w:p>
        </w:tc>
        <w:tc>
          <w:tcPr>
            <w:tcW w:w="0" w:type="auto"/>
            <w:gridSpan w:val="3"/>
            <w:shd w:val="clear" w:color="auto" w:fill="auto"/>
            <w:vAlign w:val="bottom"/>
          </w:tcPr>
          <w:p w14:paraId="39D96FE2" w14:textId="77777777" w:rsidR="00996AD7" w:rsidRDefault="00996AD7">
            <w:pPr>
              <w:rPr>
                <w:rFonts w:ascii="宋体"/>
                <w:vanish/>
              </w:rPr>
            </w:pPr>
          </w:p>
        </w:tc>
        <w:tc>
          <w:tcPr>
            <w:tcW w:w="0" w:type="auto"/>
            <w:gridSpan w:val="3"/>
            <w:shd w:val="clear" w:color="auto" w:fill="auto"/>
            <w:vAlign w:val="bottom"/>
          </w:tcPr>
          <w:p w14:paraId="39D96FE3" w14:textId="77777777" w:rsidR="00996AD7" w:rsidRDefault="00996AD7">
            <w:pPr>
              <w:rPr>
                <w:rFonts w:ascii="宋体"/>
                <w:vanish/>
              </w:rPr>
            </w:pPr>
          </w:p>
        </w:tc>
        <w:tc>
          <w:tcPr>
            <w:tcW w:w="0" w:type="auto"/>
            <w:gridSpan w:val="3"/>
            <w:shd w:val="clear" w:color="auto" w:fill="auto"/>
            <w:vAlign w:val="bottom"/>
          </w:tcPr>
          <w:p w14:paraId="39D96FE4" w14:textId="77777777" w:rsidR="00996AD7" w:rsidRDefault="00996AD7">
            <w:pPr>
              <w:rPr>
                <w:rFonts w:ascii="宋体"/>
                <w:vanish/>
              </w:rPr>
            </w:pPr>
          </w:p>
        </w:tc>
        <w:tc>
          <w:tcPr>
            <w:tcW w:w="0" w:type="auto"/>
            <w:gridSpan w:val="3"/>
            <w:shd w:val="clear" w:color="auto" w:fill="auto"/>
            <w:vAlign w:val="bottom"/>
          </w:tcPr>
          <w:p w14:paraId="39D96FE5" w14:textId="77777777" w:rsidR="00996AD7" w:rsidRDefault="00996AD7">
            <w:pPr>
              <w:rPr>
                <w:rFonts w:ascii="宋体"/>
                <w:vanish/>
              </w:rPr>
            </w:pPr>
          </w:p>
        </w:tc>
      </w:tr>
      <w:tr w:rsidR="00996AD7" w14:paraId="39D96FEC" w14:textId="77777777">
        <w:trPr>
          <w:jc w:val="center"/>
        </w:trPr>
        <w:tc>
          <w:tcPr>
            <w:tcW w:w="0" w:type="auto"/>
            <w:gridSpan w:val="3"/>
            <w:shd w:val="clear" w:color="auto" w:fill="auto"/>
            <w:tcMar>
              <w:top w:w="40" w:type="dxa"/>
              <w:left w:w="20" w:type="dxa"/>
              <w:bottom w:w="40" w:type="dxa"/>
              <w:right w:w="20" w:type="dxa"/>
            </w:tcMar>
          </w:tcPr>
          <w:p w14:paraId="39D96FE7" w14:textId="77777777" w:rsidR="00996AD7" w:rsidRDefault="00D96458">
            <w:pPr>
              <w:jc w:val="center"/>
              <w:textAlignment w:val="top"/>
            </w:pPr>
            <w:r>
              <w:rPr>
                <w:rFonts w:ascii="Arial" w:eastAsia="宋体" w:hAnsi="Arial" w:cs="Arial"/>
                <w:color w:val="262626"/>
                <w:sz w:val="18"/>
                <w:szCs w:val="18"/>
                <w:u w:val="single"/>
              </w:rPr>
              <w:t xml:space="preserve">2200 Mission College Boulevard, </w:t>
            </w:r>
          </w:p>
        </w:tc>
        <w:tc>
          <w:tcPr>
            <w:tcW w:w="0" w:type="auto"/>
            <w:gridSpan w:val="3"/>
            <w:shd w:val="clear" w:color="auto" w:fill="auto"/>
            <w:tcMar>
              <w:top w:w="40" w:type="dxa"/>
              <w:left w:w="20" w:type="dxa"/>
              <w:bottom w:w="40" w:type="dxa"/>
              <w:right w:w="20" w:type="dxa"/>
            </w:tcMar>
          </w:tcPr>
          <w:p w14:paraId="39D96FE8" w14:textId="77777777" w:rsidR="00996AD7" w:rsidRDefault="00D96458">
            <w:pPr>
              <w:jc w:val="center"/>
              <w:textAlignment w:val="top"/>
            </w:pPr>
            <w:r>
              <w:rPr>
                <w:rFonts w:ascii="Arial" w:eastAsia="宋体" w:hAnsi="Arial" w:cs="Arial"/>
                <w:color w:val="262626"/>
                <w:sz w:val="18"/>
                <w:szCs w:val="18"/>
                <w:u w:val="single"/>
              </w:rPr>
              <w:t xml:space="preserve">Santa Clara, </w:t>
            </w:r>
          </w:p>
        </w:tc>
        <w:tc>
          <w:tcPr>
            <w:tcW w:w="0" w:type="auto"/>
            <w:gridSpan w:val="3"/>
            <w:shd w:val="clear" w:color="auto" w:fill="auto"/>
            <w:tcMar>
              <w:top w:w="40" w:type="dxa"/>
              <w:left w:w="20" w:type="dxa"/>
              <w:bottom w:w="40" w:type="dxa"/>
              <w:right w:w="20" w:type="dxa"/>
            </w:tcMar>
          </w:tcPr>
          <w:p w14:paraId="39D96FE9" w14:textId="77777777" w:rsidR="00996AD7" w:rsidRDefault="00D96458">
            <w:pPr>
              <w:jc w:val="center"/>
              <w:textAlignment w:val="top"/>
            </w:pPr>
            <w:r>
              <w:rPr>
                <w:rFonts w:ascii="Arial" w:eastAsia="宋体" w:hAnsi="Arial" w:cs="Arial"/>
                <w:color w:val="262626"/>
                <w:sz w:val="18"/>
                <w:szCs w:val="18"/>
                <w:u w:val="single"/>
              </w:rPr>
              <w:t>California</w:t>
            </w:r>
          </w:p>
        </w:tc>
        <w:tc>
          <w:tcPr>
            <w:tcW w:w="0" w:type="auto"/>
            <w:gridSpan w:val="3"/>
            <w:shd w:val="clear" w:color="auto" w:fill="auto"/>
            <w:tcMar>
              <w:top w:w="0" w:type="dxa"/>
              <w:left w:w="20" w:type="dxa"/>
              <w:bottom w:w="0" w:type="dxa"/>
              <w:right w:w="20" w:type="dxa"/>
            </w:tcMar>
            <w:vAlign w:val="bottom"/>
          </w:tcPr>
          <w:p w14:paraId="39D96FE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6FEB" w14:textId="77777777" w:rsidR="00996AD7" w:rsidRDefault="00D96458">
            <w:pPr>
              <w:jc w:val="center"/>
              <w:textAlignment w:val="top"/>
            </w:pPr>
            <w:r>
              <w:rPr>
                <w:rFonts w:ascii="Arial" w:eastAsia="宋体" w:hAnsi="Arial" w:cs="Arial"/>
                <w:color w:val="262626"/>
                <w:sz w:val="18"/>
                <w:szCs w:val="18"/>
                <w:u w:val="single"/>
              </w:rPr>
              <w:t>95054-1549</w:t>
            </w:r>
          </w:p>
        </w:tc>
      </w:tr>
      <w:tr w:rsidR="00996AD7" w14:paraId="39D96FF0" w14:textId="77777777">
        <w:trPr>
          <w:jc w:val="center"/>
        </w:trPr>
        <w:tc>
          <w:tcPr>
            <w:tcW w:w="0" w:type="auto"/>
            <w:gridSpan w:val="9"/>
            <w:shd w:val="clear" w:color="auto" w:fill="auto"/>
            <w:tcMar>
              <w:top w:w="40" w:type="dxa"/>
              <w:left w:w="20" w:type="dxa"/>
              <w:bottom w:w="40" w:type="dxa"/>
              <w:right w:w="20" w:type="dxa"/>
            </w:tcMar>
          </w:tcPr>
          <w:p w14:paraId="39D96FED" w14:textId="77777777" w:rsidR="00996AD7" w:rsidRDefault="00D96458">
            <w:pPr>
              <w:jc w:val="center"/>
              <w:textAlignment w:val="top"/>
            </w:pPr>
            <w:r>
              <w:rPr>
                <w:rFonts w:ascii="Arial" w:eastAsia="宋体" w:hAnsi="Arial" w:cs="Arial"/>
                <w:color w:val="262626"/>
                <w:sz w:val="18"/>
                <w:szCs w:val="18"/>
              </w:rPr>
              <w:t>(Address of principal executive offices)</w:t>
            </w:r>
          </w:p>
        </w:tc>
        <w:tc>
          <w:tcPr>
            <w:tcW w:w="0" w:type="auto"/>
            <w:gridSpan w:val="3"/>
            <w:shd w:val="clear" w:color="auto" w:fill="auto"/>
            <w:tcMar>
              <w:top w:w="0" w:type="dxa"/>
              <w:left w:w="20" w:type="dxa"/>
              <w:bottom w:w="0" w:type="dxa"/>
              <w:right w:w="20" w:type="dxa"/>
            </w:tcMar>
            <w:vAlign w:val="bottom"/>
          </w:tcPr>
          <w:p w14:paraId="39D96FEE"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6FEF" w14:textId="77777777" w:rsidR="00996AD7" w:rsidRDefault="00D96458">
            <w:pPr>
              <w:jc w:val="center"/>
              <w:textAlignment w:val="top"/>
            </w:pPr>
            <w:r>
              <w:rPr>
                <w:rFonts w:ascii="Arial" w:eastAsia="宋体" w:hAnsi="Arial" w:cs="Arial"/>
                <w:color w:val="262626"/>
                <w:sz w:val="18"/>
                <w:szCs w:val="18"/>
              </w:rPr>
              <w:t>(Zip Code)</w:t>
            </w:r>
          </w:p>
        </w:tc>
      </w:tr>
    </w:tbl>
    <w:p w14:paraId="39D96FF1" w14:textId="77777777" w:rsidR="00996AD7" w:rsidRDefault="00D96458">
      <w:pPr>
        <w:spacing w:before="80"/>
        <w:jc w:val="center"/>
      </w:pPr>
      <w:r>
        <w:rPr>
          <w:rFonts w:ascii="Arial" w:eastAsia="宋体" w:hAnsi="Arial" w:cs="Arial"/>
          <w:color w:val="262626"/>
          <w:sz w:val="18"/>
          <w:szCs w:val="18"/>
          <w:u w:val="single"/>
        </w:rPr>
        <w:t xml:space="preserve">(408) 765-8080 </w:t>
      </w:r>
    </w:p>
    <w:p w14:paraId="39D96FF2" w14:textId="77777777" w:rsidR="00996AD7" w:rsidRDefault="00D96458">
      <w:pPr>
        <w:spacing w:after="120"/>
        <w:jc w:val="center"/>
      </w:pPr>
      <w:r>
        <w:rPr>
          <w:rFonts w:ascii="Arial" w:eastAsia="宋体" w:hAnsi="Arial" w:cs="Arial"/>
          <w:color w:val="262626"/>
          <w:sz w:val="18"/>
          <w:szCs w:val="18"/>
        </w:rPr>
        <w:t>(Registrant’s telephone number, including area code)</w:t>
      </w:r>
    </w:p>
    <w:p w14:paraId="39D96FF3" w14:textId="77777777" w:rsidR="00996AD7" w:rsidRDefault="00D96458">
      <w:pPr>
        <w:spacing w:before="120"/>
        <w:jc w:val="center"/>
      </w:pPr>
      <w:r>
        <w:rPr>
          <w:rFonts w:ascii="Arial" w:eastAsia="宋体" w:hAnsi="Arial" w:cs="Arial"/>
          <w:color w:val="262626"/>
          <w:sz w:val="18"/>
          <w:szCs w:val="18"/>
          <w:u w:val="single"/>
        </w:rPr>
        <w:t>N/A</w:t>
      </w:r>
    </w:p>
    <w:p w14:paraId="39D96FF4" w14:textId="77777777" w:rsidR="00996AD7" w:rsidRDefault="00D96458">
      <w:pPr>
        <w:spacing w:after="180"/>
        <w:jc w:val="center"/>
      </w:pPr>
      <w:r>
        <w:rPr>
          <w:rFonts w:ascii="Arial" w:eastAsia="宋体" w:hAnsi="Arial" w:cs="Arial"/>
          <w:color w:val="262626"/>
          <w:sz w:val="18"/>
          <w:szCs w:val="18"/>
        </w:rPr>
        <w:t>(Former name, former address and former fiscal year, if changed since last report)</w:t>
      </w:r>
    </w:p>
    <w:p w14:paraId="39D96FF5" w14:textId="77777777" w:rsidR="00996AD7" w:rsidRDefault="00D96458">
      <w:r>
        <w:rPr>
          <w:rFonts w:ascii="Arial" w:eastAsia="宋体" w:hAnsi="Arial" w:cs="Arial"/>
          <w:color w:val="262626"/>
          <w:sz w:val="18"/>
          <w:szCs w:val="18"/>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2492"/>
        <w:gridCol w:w="37"/>
        <w:gridCol w:w="69"/>
        <w:gridCol w:w="1852"/>
        <w:gridCol w:w="36"/>
        <w:gridCol w:w="69"/>
        <w:gridCol w:w="3676"/>
        <w:gridCol w:w="36"/>
      </w:tblGrid>
      <w:tr w:rsidR="00996AD7" w14:paraId="39D96FFF" w14:textId="77777777">
        <w:tc>
          <w:tcPr>
            <w:tcW w:w="50" w:type="pct"/>
            <w:shd w:val="clear" w:color="auto" w:fill="auto"/>
            <w:vAlign w:val="bottom"/>
          </w:tcPr>
          <w:p w14:paraId="39D96FF6" w14:textId="77777777" w:rsidR="00996AD7" w:rsidRDefault="00996AD7">
            <w:pPr>
              <w:rPr>
                <w:rFonts w:ascii="宋体"/>
              </w:rPr>
            </w:pPr>
          </w:p>
        </w:tc>
        <w:tc>
          <w:tcPr>
            <w:tcW w:w="1502" w:type="pct"/>
            <w:shd w:val="clear" w:color="auto" w:fill="auto"/>
            <w:vAlign w:val="bottom"/>
          </w:tcPr>
          <w:p w14:paraId="39D96FF7" w14:textId="77777777" w:rsidR="00996AD7" w:rsidRDefault="00996AD7">
            <w:pPr>
              <w:rPr>
                <w:rFonts w:ascii="宋体"/>
              </w:rPr>
            </w:pPr>
          </w:p>
        </w:tc>
        <w:tc>
          <w:tcPr>
            <w:tcW w:w="5" w:type="pct"/>
            <w:shd w:val="clear" w:color="auto" w:fill="auto"/>
            <w:vAlign w:val="bottom"/>
          </w:tcPr>
          <w:p w14:paraId="39D96FF8" w14:textId="77777777" w:rsidR="00996AD7" w:rsidRDefault="00996AD7">
            <w:pPr>
              <w:rPr>
                <w:rFonts w:ascii="宋体"/>
              </w:rPr>
            </w:pPr>
          </w:p>
        </w:tc>
        <w:tc>
          <w:tcPr>
            <w:tcW w:w="50" w:type="pct"/>
            <w:shd w:val="clear" w:color="auto" w:fill="auto"/>
            <w:vAlign w:val="bottom"/>
          </w:tcPr>
          <w:p w14:paraId="39D96FF9" w14:textId="77777777" w:rsidR="00996AD7" w:rsidRDefault="00996AD7">
            <w:pPr>
              <w:rPr>
                <w:rFonts w:ascii="宋体"/>
              </w:rPr>
            </w:pPr>
          </w:p>
        </w:tc>
        <w:tc>
          <w:tcPr>
            <w:tcW w:w="1119" w:type="pct"/>
            <w:shd w:val="clear" w:color="auto" w:fill="auto"/>
            <w:vAlign w:val="bottom"/>
          </w:tcPr>
          <w:p w14:paraId="39D96FFA" w14:textId="77777777" w:rsidR="00996AD7" w:rsidRDefault="00996AD7">
            <w:pPr>
              <w:rPr>
                <w:rFonts w:ascii="宋体"/>
              </w:rPr>
            </w:pPr>
          </w:p>
        </w:tc>
        <w:tc>
          <w:tcPr>
            <w:tcW w:w="5" w:type="pct"/>
            <w:shd w:val="clear" w:color="auto" w:fill="auto"/>
            <w:vAlign w:val="bottom"/>
          </w:tcPr>
          <w:p w14:paraId="39D96FFB" w14:textId="77777777" w:rsidR="00996AD7" w:rsidRDefault="00996AD7">
            <w:pPr>
              <w:rPr>
                <w:rFonts w:ascii="宋体"/>
              </w:rPr>
            </w:pPr>
          </w:p>
        </w:tc>
        <w:tc>
          <w:tcPr>
            <w:tcW w:w="50" w:type="pct"/>
            <w:shd w:val="clear" w:color="auto" w:fill="auto"/>
            <w:vAlign w:val="bottom"/>
          </w:tcPr>
          <w:p w14:paraId="39D96FFC" w14:textId="77777777" w:rsidR="00996AD7" w:rsidRDefault="00996AD7">
            <w:pPr>
              <w:rPr>
                <w:rFonts w:ascii="宋体"/>
              </w:rPr>
            </w:pPr>
          </w:p>
        </w:tc>
        <w:tc>
          <w:tcPr>
            <w:tcW w:w="2212" w:type="pct"/>
            <w:shd w:val="clear" w:color="auto" w:fill="auto"/>
            <w:vAlign w:val="bottom"/>
          </w:tcPr>
          <w:p w14:paraId="39D96FFD" w14:textId="77777777" w:rsidR="00996AD7" w:rsidRDefault="00996AD7">
            <w:pPr>
              <w:rPr>
                <w:rFonts w:ascii="宋体"/>
              </w:rPr>
            </w:pPr>
          </w:p>
        </w:tc>
        <w:tc>
          <w:tcPr>
            <w:tcW w:w="5" w:type="pct"/>
            <w:shd w:val="clear" w:color="auto" w:fill="auto"/>
            <w:vAlign w:val="bottom"/>
          </w:tcPr>
          <w:p w14:paraId="39D96FFE" w14:textId="77777777" w:rsidR="00996AD7" w:rsidRDefault="00996AD7">
            <w:pPr>
              <w:rPr>
                <w:rFonts w:ascii="宋体"/>
              </w:rPr>
            </w:pPr>
          </w:p>
        </w:tc>
      </w:tr>
      <w:tr w:rsidR="00996AD7" w14:paraId="39D97003" w14:textId="77777777">
        <w:tc>
          <w:tcPr>
            <w:tcW w:w="0" w:type="auto"/>
            <w:gridSpan w:val="3"/>
            <w:shd w:val="clear" w:color="auto" w:fill="auto"/>
            <w:tcMar>
              <w:top w:w="40" w:type="dxa"/>
              <w:left w:w="20" w:type="dxa"/>
              <w:bottom w:w="40" w:type="dxa"/>
              <w:right w:w="20" w:type="dxa"/>
            </w:tcMar>
          </w:tcPr>
          <w:p w14:paraId="39D97000" w14:textId="77777777" w:rsidR="00996AD7" w:rsidRDefault="00D96458">
            <w:pPr>
              <w:jc w:val="center"/>
              <w:textAlignment w:val="top"/>
            </w:pPr>
            <w:r>
              <w:rPr>
                <w:rFonts w:ascii="Arial" w:eastAsia="宋体" w:hAnsi="Arial" w:cs="Arial"/>
                <w:color w:val="262626"/>
                <w:sz w:val="18"/>
                <w:szCs w:val="18"/>
              </w:rPr>
              <w:t>Title of each class</w:t>
            </w:r>
          </w:p>
        </w:tc>
        <w:tc>
          <w:tcPr>
            <w:tcW w:w="0" w:type="auto"/>
            <w:gridSpan w:val="3"/>
            <w:shd w:val="clear" w:color="auto" w:fill="auto"/>
            <w:tcMar>
              <w:top w:w="40" w:type="dxa"/>
              <w:left w:w="20" w:type="dxa"/>
              <w:bottom w:w="40" w:type="dxa"/>
              <w:right w:w="20" w:type="dxa"/>
            </w:tcMar>
          </w:tcPr>
          <w:p w14:paraId="39D97001" w14:textId="77777777" w:rsidR="00996AD7" w:rsidRDefault="00D96458">
            <w:pPr>
              <w:jc w:val="center"/>
              <w:textAlignment w:val="top"/>
            </w:pPr>
            <w:r>
              <w:rPr>
                <w:rFonts w:ascii="Arial" w:eastAsia="宋体" w:hAnsi="Arial" w:cs="Arial"/>
                <w:color w:val="262626"/>
                <w:sz w:val="18"/>
                <w:szCs w:val="18"/>
              </w:rPr>
              <w:t>Trading Symbol(s)</w:t>
            </w:r>
          </w:p>
        </w:tc>
        <w:tc>
          <w:tcPr>
            <w:tcW w:w="0" w:type="auto"/>
            <w:gridSpan w:val="3"/>
            <w:shd w:val="clear" w:color="auto" w:fill="auto"/>
            <w:tcMar>
              <w:top w:w="40" w:type="dxa"/>
              <w:left w:w="20" w:type="dxa"/>
              <w:bottom w:w="40" w:type="dxa"/>
              <w:right w:w="20" w:type="dxa"/>
            </w:tcMar>
          </w:tcPr>
          <w:p w14:paraId="39D97002" w14:textId="77777777" w:rsidR="00996AD7" w:rsidRDefault="00D96458">
            <w:pPr>
              <w:jc w:val="center"/>
              <w:textAlignment w:val="top"/>
            </w:pPr>
            <w:r>
              <w:rPr>
                <w:rFonts w:ascii="Arial" w:eastAsia="宋体" w:hAnsi="Arial" w:cs="Arial"/>
                <w:color w:val="262626"/>
                <w:sz w:val="18"/>
                <w:szCs w:val="18"/>
              </w:rPr>
              <w:t>Name of each exchange on which registered</w:t>
            </w:r>
          </w:p>
        </w:tc>
      </w:tr>
      <w:tr w:rsidR="00996AD7" w14:paraId="39D97007" w14:textId="77777777">
        <w:tc>
          <w:tcPr>
            <w:tcW w:w="0" w:type="auto"/>
            <w:gridSpan w:val="3"/>
            <w:shd w:val="clear" w:color="auto" w:fill="auto"/>
            <w:tcMar>
              <w:top w:w="40" w:type="dxa"/>
              <w:left w:w="20" w:type="dxa"/>
              <w:bottom w:w="40" w:type="dxa"/>
              <w:right w:w="20" w:type="dxa"/>
            </w:tcMar>
            <w:vAlign w:val="bottom"/>
          </w:tcPr>
          <w:p w14:paraId="39D97004" w14:textId="77777777" w:rsidR="00996AD7" w:rsidRDefault="00D96458">
            <w:pPr>
              <w:jc w:val="center"/>
              <w:textAlignment w:val="bottom"/>
            </w:pPr>
            <w:r>
              <w:rPr>
                <w:rFonts w:ascii="Arial" w:eastAsia="宋体" w:hAnsi="Arial" w:cs="Arial"/>
                <w:color w:val="262626"/>
                <w:sz w:val="18"/>
                <w:szCs w:val="18"/>
              </w:rPr>
              <w:t>Common stock, $0.001 par value</w:t>
            </w:r>
          </w:p>
        </w:tc>
        <w:tc>
          <w:tcPr>
            <w:tcW w:w="0" w:type="auto"/>
            <w:gridSpan w:val="3"/>
            <w:shd w:val="clear" w:color="auto" w:fill="auto"/>
            <w:tcMar>
              <w:top w:w="40" w:type="dxa"/>
              <w:left w:w="20" w:type="dxa"/>
              <w:bottom w:w="40" w:type="dxa"/>
              <w:right w:w="20" w:type="dxa"/>
            </w:tcMar>
            <w:vAlign w:val="bottom"/>
          </w:tcPr>
          <w:p w14:paraId="39D97005" w14:textId="77777777" w:rsidR="00996AD7" w:rsidRDefault="00D96458">
            <w:pPr>
              <w:jc w:val="center"/>
              <w:textAlignment w:val="bottom"/>
            </w:pPr>
            <w:r>
              <w:rPr>
                <w:rFonts w:ascii="Arial" w:eastAsia="宋体" w:hAnsi="Arial" w:cs="Arial"/>
                <w:color w:val="262626"/>
                <w:sz w:val="18"/>
                <w:szCs w:val="18"/>
              </w:rPr>
              <w:t>INTC</w:t>
            </w:r>
          </w:p>
        </w:tc>
        <w:tc>
          <w:tcPr>
            <w:tcW w:w="0" w:type="auto"/>
            <w:gridSpan w:val="3"/>
            <w:shd w:val="clear" w:color="auto" w:fill="auto"/>
            <w:tcMar>
              <w:top w:w="40" w:type="dxa"/>
              <w:left w:w="20" w:type="dxa"/>
              <w:bottom w:w="40" w:type="dxa"/>
              <w:right w:w="20" w:type="dxa"/>
            </w:tcMar>
            <w:vAlign w:val="bottom"/>
          </w:tcPr>
          <w:p w14:paraId="39D97006" w14:textId="77777777" w:rsidR="00996AD7" w:rsidRDefault="00D96458">
            <w:pPr>
              <w:jc w:val="center"/>
              <w:textAlignment w:val="bottom"/>
            </w:pPr>
            <w:r>
              <w:rPr>
                <w:rFonts w:ascii="Arial" w:eastAsia="宋体" w:hAnsi="Arial" w:cs="Arial"/>
                <w:color w:val="262626"/>
                <w:sz w:val="18"/>
                <w:szCs w:val="18"/>
              </w:rPr>
              <w:t>Nasdaq Global Select Market</w:t>
            </w:r>
          </w:p>
        </w:tc>
      </w:tr>
    </w:tbl>
    <w:p w14:paraId="39D97008" w14:textId="77777777" w:rsidR="00996AD7" w:rsidRDefault="00D96458">
      <w:pPr>
        <w:spacing w:after="180"/>
      </w:pPr>
      <w:r>
        <w:rPr>
          <w:rFonts w:ascii="Arial" w:eastAsia="宋体" w:hAnsi="Arial" w:cs="Arial"/>
          <w:color w:val="262626"/>
          <w:sz w:val="18"/>
          <w:szCs w:val="18"/>
        </w:rPr>
        <w:t xml:space="preserve">Indicate by check mark whether the registrant (1) has filed all reports required to be filed by Section 13 or 15(d) of the </w:t>
      </w:r>
      <w:r>
        <w:rPr>
          <w:rFonts w:ascii="Arial" w:eastAsia="宋体" w:hAnsi="Arial" w:cs="Arial"/>
          <w:color w:val="262626"/>
          <w:sz w:val="18"/>
          <w:szCs w:val="18"/>
        </w:rPr>
        <w:t>Securities Exchange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262626"/>
        </w:rPr>
        <w:t>☑</w:t>
      </w:r>
      <w:r>
        <w:rPr>
          <w:rFonts w:ascii="Arial" w:eastAsia="宋体" w:hAnsi="Arial" w:cs="Arial"/>
          <w:color w:val="262626"/>
          <w:sz w:val="18"/>
          <w:szCs w:val="18"/>
        </w:rPr>
        <w:t xml:space="preserve">    No  </w:t>
      </w:r>
      <w:r>
        <w:rPr>
          <w:rFonts w:ascii="Wingdings" w:eastAsia="宋体" w:hAnsi="Wingdings" w:cs="Wingdings"/>
          <w:color w:val="262626"/>
          <w:sz w:val="18"/>
          <w:szCs w:val="18"/>
        </w:rPr>
        <w:t>¨</w:t>
      </w:r>
    </w:p>
    <w:p w14:paraId="39D97009" w14:textId="77777777" w:rsidR="00996AD7" w:rsidRDefault="00D96458">
      <w:pPr>
        <w:spacing w:before="60" w:after="180"/>
      </w:pPr>
      <w:r>
        <w:rPr>
          <w:rFonts w:ascii="Arial" w:eastAsia="宋体" w:hAnsi="Arial" w:cs="Arial"/>
          <w:color w:val="262626"/>
          <w:sz w:val="18"/>
          <w:szCs w:val="18"/>
        </w:rPr>
        <w:t xml:space="preserve">Indicate by check </w:t>
      </w:r>
      <w:r>
        <w:rPr>
          <w:rFonts w:ascii="Arial" w:eastAsia="宋体" w:hAnsi="Arial" w:cs="Arial"/>
          <w:color w:val="262626"/>
          <w:sz w:val="18"/>
          <w:szCs w:val="18"/>
        </w:rPr>
        <w:t>mark whether the registrant has submitted electronically every Interactive Data File required to be submitted pursuant to Rule 405 of Regulation S-T (§232.405 of this chapter) during the preceding 12 months (or for such shorter period that the registrant w</w:t>
      </w:r>
      <w:r>
        <w:rPr>
          <w:rFonts w:ascii="Arial" w:eastAsia="宋体" w:hAnsi="Arial" w:cs="Arial"/>
          <w:color w:val="262626"/>
          <w:sz w:val="18"/>
          <w:szCs w:val="18"/>
        </w:rPr>
        <w:t>as required to submit such files).  Yes  </w:t>
      </w:r>
      <w:r>
        <w:rPr>
          <w:rFonts w:ascii="Arial Unicode MS" w:eastAsia="Arial Unicode MS" w:hAnsi="Arial Unicode MS" w:cs="Arial Unicode MS" w:hint="eastAsia"/>
          <w:color w:val="262626"/>
        </w:rPr>
        <w:t>☑</w:t>
      </w:r>
      <w:r>
        <w:rPr>
          <w:rFonts w:ascii="Arial" w:eastAsia="宋体" w:hAnsi="Arial" w:cs="Arial"/>
          <w:color w:val="262626"/>
          <w:sz w:val="18"/>
          <w:szCs w:val="18"/>
        </w:rPr>
        <w:t xml:space="preserve">    No  </w:t>
      </w:r>
      <w:r>
        <w:rPr>
          <w:rFonts w:ascii="Wingdings" w:eastAsia="宋体" w:hAnsi="Wingdings" w:cs="Wingdings"/>
          <w:color w:val="262626"/>
          <w:sz w:val="18"/>
          <w:szCs w:val="18"/>
        </w:rPr>
        <w:t>¨</w:t>
      </w:r>
    </w:p>
    <w:p w14:paraId="39D9700A" w14:textId="77777777" w:rsidR="00996AD7" w:rsidRDefault="00D96458">
      <w:pPr>
        <w:spacing w:before="60" w:after="120"/>
      </w:pPr>
      <w:r>
        <w:rPr>
          <w:rFonts w:ascii="Arial" w:eastAsia="宋体" w:hAnsi="Arial" w:cs="Arial"/>
          <w:color w:val="262626"/>
          <w:sz w:val="18"/>
          <w:szCs w:val="18"/>
        </w:rPr>
        <w:t xml:space="preserve">Indicate by check mark whether the registrant is a large accelerated filer, an accelerated filer, a non-accelerated filer, a smaller reporting company, or an emerging growth company. See the definitions </w:t>
      </w:r>
      <w:r>
        <w:rPr>
          <w:rFonts w:ascii="Arial" w:eastAsia="宋体" w:hAnsi="Arial" w:cs="Arial"/>
          <w:color w:val="262626"/>
          <w:sz w:val="18"/>
          <w:szCs w:val="18"/>
        </w:rPr>
        <w:lastRenderedPageBreak/>
        <w:t>o</w:t>
      </w:r>
      <w:r>
        <w:rPr>
          <w:rFonts w:ascii="Arial" w:eastAsia="宋体" w:hAnsi="Arial" w:cs="Arial"/>
          <w:color w:val="262626"/>
          <w:sz w:val="18"/>
          <w:szCs w:val="18"/>
        </w:rPr>
        <w:t>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5"/>
        <w:gridCol w:w="1111"/>
        <w:gridCol w:w="36"/>
        <w:gridCol w:w="36"/>
        <w:gridCol w:w="104"/>
        <w:gridCol w:w="1317"/>
        <w:gridCol w:w="36"/>
        <w:gridCol w:w="36"/>
        <w:gridCol w:w="53"/>
        <w:gridCol w:w="1743"/>
        <w:gridCol w:w="36"/>
        <w:gridCol w:w="36"/>
        <w:gridCol w:w="106"/>
        <w:gridCol w:w="2125"/>
        <w:gridCol w:w="36"/>
        <w:gridCol w:w="43"/>
        <w:gridCol w:w="1391"/>
        <w:gridCol w:w="36"/>
      </w:tblGrid>
      <w:tr w:rsidR="00996AD7" w14:paraId="39D9701D" w14:textId="77777777">
        <w:tc>
          <w:tcPr>
            <w:tcW w:w="50" w:type="pct"/>
            <w:shd w:val="clear" w:color="auto" w:fill="auto"/>
            <w:vAlign w:val="bottom"/>
          </w:tcPr>
          <w:p w14:paraId="39D9700B" w14:textId="77777777" w:rsidR="00996AD7" w:rsidRDefault="00996AD7">
            <w:pPr>
              <w:rPr>
                <w:rFonts w:ascii="宋体"/>
              </w:rPr>
            </w:pPr>
          </w:p>
        </w:tc>
        <w:tc>
          <w:tcPr>
            <w:tcW w:w="846" w:type="pct"/>
            <w:shd w:val="clear" w:color="auto" w:fill="auto"/>
            <w:vAlign w:val="bottom"/>
          </w:tcPr>
          <w:p w14:paraId="39D9700C" w14:textId="77777777" w:rsidR="00996AD7" w:rsidRDefault="00996AD7">
            <w:pPr>
              <w:rPr>
                <w:rFonts w:ascii="宋体"/>
              </w:rPr>
            </w:pPr>
          </w:p>
        </w:tc>
        <w:tc>
          <w:tcPr>
            <w:tcW w:w="5" w:type="pct"/>
            <w:shd w:val="clear" w:color="auto" w:fill="auto"/>
            <w:vAlign w:val="bottom"/>
          </w:tcPr>
          <w:p w14:paraId="39D9700D" w14:textId="77777777" w:rsidR="00996AD7" w:rsidRDefault="00996AD7">
            <w:pPr>
              <w:rPr>
                <w:rFonts w:ascii="宋体"/>
              </w:rPr>
            </w:pPr>
          </w:p>
        </w:tc>
        <w:tc>
          <w:tcPr>
            <w:tcW w:w="0" w:type="auto"/>
            <w:shd w:val="clear" w:color="auto" w:fill="auto"/>
            <w:vAlign w:val="bottom"/>
          </w:tcPr>
          <w:p w14:paraId="39D9700E" w14:textId="77777777" w:rsidR="00996AD7" w:rsidRDefault="00996AD7">
            <w:pPr>
              <w:rPr>
                <w:rFonts w:ascii="宋体"/>
                <w:vanish/>
              </w:rPr>
            </w:pPr>
          </w:p>
        </w:tc>
        <w:tc>
          <w:tcPr>
            <w:tcW w:w="50" w:type="pct"/>
            <w:shd w:val="clear" w:color="auto" w:fill="auto"/>
            <w:vAlign w:val="bottom"/>
          </w:tcPr>
          <w:p w14:paraId="39D9700F" w14:textId="77777777" w:rsidR="00996AD7" w:rsidRDefault="00996AD7">
            <w:pPr>
              <w:rPr>
                <w:rFonts w:ascii="宋体"/>
              </w:rPr>
            </w:pPr>
          </w:p>
        </w:tc>
        <w:tc>
          <w:tcPr>
            <w:tcW w:w="634" w:type="pct"/>
            <w:shd w:val="clear" w:color="auto" w:fill="auto"/>
            <w:vAlign w:val="bottom"/>
          </w:tcPr>
          <w:p w14:paraId="39D97010" w14:textId="77777777" w:rsidR="00996AD7" w:rsidRDefault="00996AD7">
            <w:pPr>
              <w:rPr>
                <w:rFonts w:ascii="宋体"/>
              </w:rPr>
            </w:pPr>
          </w:p>
        </w:tc>
        <w:tc>
          <w:tcPr>
            <w:tcW w:w="5" w:type="pct"/>
            <w:shd w:val="clear" w:color="auto" w:fill="auto"/>
            <w:vAlign w:val="bottom"/>
          </w:tcPr>
          <w:p w14:paraId="39D97011" w14:textId="77777777" w:rsidR="00996AD7" w:rsidRDefault="00996AD7">
            <w:pPr>
              <w:rPr>
                <w:rFonts w:ascii="宋体"/>
              </w:rPr>
            </w:pPr>
          </w:p>
        </w:tc>
        <w:tc>
          <w:tcPr>
            <w:tcW w:w="0" w:type="auto"/>
            <w:shd w:val="clear" w:color="auto" w:fill="auto"/>
            <w:vAlign w:val="bottom"/>
          </w:tcPr>
          <w:p w14:paraId="39D97012" w14:textId="77777777" w:rsidR="00996AD7" w:rsidRDefault="00996AD7">
            <w:pPr>
              <w:rPr>
                <w:rFonts w:ascii="宋体"/>
                <w:vanish/>
              </w:rPr>
            </w:pPr>
          </w:p>
        </w:tc>
        <w:tc>
          <w:tcPr>
            <w:tcW w:w="50" w:type="pct"/>
            <w:shd w:val="clear" w:color="auto" w:fill="auto"/>
            <w:vAlign w:val="bottom"/>
          </w:tcPr>
          <w:p w14:paraId="39D97013" w14:textId="77777777" w:rsidR="00996AD7" w:rsidRDefault="00996AD7">
            <w:pPr>
              <w:rPr>
                <w:rFonts w:ascii="宋体"/>
              </w:rPr>
            </w:pPr>
          </w:p>
        </w:tc>
        <w:tc>
          <w:tcPr>
            <w:tcW w:w="1229" w:type="pct"/>
            <w:shd w:val="clear" w:color="auto" w:fill="auto"/>
            <w:vAlign w:val="bottom"/>
          </w:tcPr>
          <w:p w14:paraId="39D97014" w14:textId="77777777" w:rsidR="00996AD7" w:rsidRDefault="00996AD7">
            <w:pPr>
              <w:rPr>
                <w:rFonts w:ascii="宋体"/>
              </w:rPr>
            </w:pPr>
          </w:p>
        </w:tc>
        <w:tc>
          <w:tcPr>
            <w:tcW w:w="5" w:type="pct"/>
            <w:shd w:val="clear" w:color="auto" w:fill="auto"/>
            <w:vAlign w:val="bottom"/>
          </w:tcPr>
          <w:p w14:paraId="39D97015" w14:textId="77777777" w:rsidR="00996AD7" w:rsidRDefault="00996AD7">
            <w:pPr>
              <w:rPr>
                <w:rFonts w:ascii="宋体"/>
              </w:rPr>
            </w:pPr>
          </w:p>
        </w:tc>
        <w:tc>
          <w:tcPr>
            <w:tcW w:w="0" w:type="auto"/>
            <w:shd w:val="clear" w:color="auto" w:fill="auto"/>
            <w:vAlign w:val="bottom"/>
          </w:tcPr>
          <w:p w14:paraId="39D97016" w14:textId="77777777" w:rsidR="00996AD7" w:rsidRDefault="00996AD7">
            <w:pPr>
              <w:rPr>
                <w:rFonts w:ascii="宋体"/>
                <w:vanish/>
              </w:rPr>
            </w:pPr>
          </w:p>
        </w:tc>
        <w:tc>
          <w:tcPr>
            <w:tcW w:w="50" w:type="pct"/>
            <w:shd w:val="clear" w:color="auto" w:fill="auto"/>
            <w:vAlign w:val="bottom"/>
          </w:tcPr>
          <w:p w14:paraId="39D97017" w14:textId="77777777" w:rsidR="00996AD7" w:rsidRDefault="00996AD7">
            <w:pPr>
              <w:rPr>
                <w:rFonts w:ascii="宋体"/>
              </w:rPr>
            </w:pPr>
          </w:p>
        </w:tc>
        <w:tc>
          <w:tcPr>
            <w:tcW w:w="1003" w:type="pct"/>
            <w:shd w:val="clear" w:color="auto" w:fill="auto"/>
            <w:vAlign w:val="bottom"/>
          </w:tcPr>
          <w:p w14:paraId="39D97018" w14:textId="77777777" w:rsidR="00996AD7" w:rsidRDefault="00996AD7">
            <w:pPr>
              <w:rPr>
                <w:rFonts w:ascii="宋体"/>
              </w:rPr>
            </w:pPr>
          </w:p>
        </w:tc>
        <w:tc>
          <w:tcPr>
            <w:tcW w:w="5" w:type="pct"/>
            <w:shd w:val="clear" w:color="auto" w:fill="auto"/>
            <w:vAlign w:val="bottom"/>
          </w:tcPr>
          <w:p w14:paraId="39D97019" w14:textId="77777777" w:rsidR="00996AD7" w:rsidRDefault="00996AD7">
            <w:pPr>
              <w:rPr>
                <w:rFonts w:ascii="宋体"/>
              </w:rPr>
            </w:pPr>
          </w:p>
        </w:tc>
        <w:tc>
          <w:tcPr>
            <w:tcW w:w="50" w:type="pct"/>
            <w:shd w:val="clear" w:color="auto" w:fill="auto"/>
            <w:vAlign w:val="bottom"/>
          </w:tcPr>
          <w:p w14:paraId="39D9701A" w14:textId="77777777" w:rsidR="00996AD7" w:rsidRDefault="00996AD7">
            <w:pPr>
              <w:rPr>
                <w:rFonts w:ascii="宋体"/>
              </w:rPr>
            </w:pPr>
          </w:p>
        </w:tc>
        <w:tc>
          <w:tcPr>
            <w:tcW w:w="1010" w:type="pct"/>
            <w:shd w:val="clear" w:color="auto" w:fill="auto"/>
            <w:vAlign w:val="bottom"/>
          </w:tcPr>
          <w:p w14:paraId="39D9701B" w14:textId="77777777" w:rsidR="00996AD7" w:rsidRDefault="00996AD7">
            <w:pPr>
              <w:rPr>
                <w:rFonts w:ascii="宋体"/>
              </w:rPr>
            </w:pPr>
          </w:p>
        </w:tc>
        <w:tc>
          <w:tcPr>
            <w:tcW w:w="5" w:type="pct"/>
            <w:shd w:val="clear" w:color="auto" w:fill="auto"/>
            <w:vAlign w:val="bottom"/>
          </w:tcPr>
          <w:p w14:paraId="39D9701C" w14:textId="77777777" w:rsidR="00996AD7" w:rsidRDefault="00996AD7">
            <w:pPr>
              <w:rPr>
                <w:rFonts w:ascii="宋体"/>
              </w:rPr>
            </w:pPr>
          </w:p>
        </w:tc>
      </w:tr>
      <w:tr w:rsidR="00996AD7" w14:paraId="39D97026" w14:textId="77777777">
        <w:tc>
          <w:tcPr>
            <w:tcW w:w="0" w:type="auto"/>
            <w:gridSpan w:val="3"/>
            <w:shd w:val="clear" w:color="auto" w:fill="auto"/>
            <w:tcMar>
              <w:top w:w="40" w:type="dxa"/>
              <w:left w:w="20" w:type="dxa"/>
              <w:bottom w:w="40" w:type="dxa"/>
              <w:right w:w="20" w:type="dxa"/>
            </w:tcMar>
          </w:tcPr>
          <w:p w14:paraId="39D9701E" w14:textId="77777777" w:rsidR="00996AD7" w:rsidRDefault="00D96458">
            <w:pPr>
              <w:jc w:val="center"/>
              <w:textAlignment w:val="top"/>
            </w:pPr>
            <w:r>
              <w:rPr>
                <w:rFonts w:ascii="Arial" w:eastAsia="宋体" w:hAnsi="Arial" w:cs="Arial"/>
                <w:color w:val="262626"/>
                <w:sz w:val="18"/>
                <w:szCs w:val="18"/>
              </w:rPr>
              <w:t>Large Accelerated Filer</w:t>
            </w:r>
          </w:p>
        </w:tc>
        <w:tc>
          <w:tcPr>
            <w:tcW w:w="0" w:type="auto"/>
            <w:shd w:val="clear" w:color="auto" w:fill="auto"/>
            <w:vAlign w:val="bottom"/>
          </w:tcPr>
          <w:p w14:paraId="39D9701F" w14:textId="77777777" w:rsidR="00996AD7" w:rsidRDefault="00996AD7">
            <w:pPr>
              <w:rPr>
                <w:rFonts w:ascii="宋体"/>
                <w:vanish/>
              </w:rPr>
            </w:pPr>
          </w:p>
        </w:tc>
        <w:tc>
          <w:tcPr>
            <w:tcW w:w="0" w:type="auto"/>
            <w:gridSpan w:val="3"/>
            <w:shd w:val="clear" w:color="auto" w:fill="auto"/>
            <w:tcMar>
              <w:top w:w="40" w:type="dxa"/>
              <w:left w:w="20" w:type="dxa"/>
              <w:bottom w:w="40" w:type="dxa"/>
              <w:right w:w="20" w:type="dxa"/>
            </w:tcMar>
          </w:tcPr>
          <w:p w14:paraId="39D97020" w14:textId="77777777" w:rsidR="00996AD7" w:rsidRDefault="00D96458">
            <w:pPr>
              <w:jc w:val="center"/>
              <w:textAlignment w:val="top"/>
            </w:pPr>
            <w:r>
              <w:rPr>
                <w:rFonts w:ascii="Arial" w:eastAsia="宋体" w:hAnsi="Arial" w:cs="Arial"/>
                <w:color w:val="262626"/>
                <w:sz w:val="18"/>
                <w:szCs w:val="18"/>
              </w:rPr>
              <w:t>Accelerated filer  </w:t>
            </w:r>
          </w:p>
        </w:tc>
        <w:tc>
          <w:tcPr>
            <w:tcW w:w="0" w:type="auto"/>
            <w:shd w:val="clear" w:color="auto" w:fill="auto"/>
            <w:vAlign w:val="bottom"/>
          </w:tcPr>
          <w:p w14:paraId="39D97021" w14:textId="77777777" w:rsidR="00996AD7" w:rsidRDefault="00996AD7">
            <w:pPr>
              <w:rPr>
                <w:rFonts w:ascii="宋体"/>
                <w:vanish/>
              </w:rPr>
            </w:pPr>
          </w:p>
        </w:tc>
        <w:tc>
          <w:tcPr>
            <w:tcW w:w="0" w:type="auto"/>
            <w:gridSpan w:val="3"/>
            <w:shd w:val="clear" w:color="auto" w:fill="auto"/>
            <w:tcMar>
              <w:top w:w="40" w:type="dxa"/>
              <w:left w:w="20" w:type="dxa"/>
              <w:bottom w:w="40" w:type="dxa"/>
              <w:right w:w="20" w:type="dxa"/>
            </w:tcMar>
          </w:tcPr>
          <w:p w14:paraId="39D97022" w14:textId="77777777" w:rsidR="00996AD7" w:rsidRDefault="00D96458">
            <w:pPr>
              <w:jc w:val="center"/>
              <w:textAlignment w:val="top"/>
            </w:pPr>
            <w:r>
              <w:rPr>
                <w:rFonts w:ascii="Arial" w:eastAsia="宋体" w:hAnsi="Arial" w:cs="Arial"/>
                <w:color w:val="262626"/>
                <w:sz w:val="18"/>
                <w:szCs w:val="18"/>
              </w:rPr>
              <w:t xml:space="preserve">Non-accelerated filer  </w:t>
            </w:r>
          </w:p>
        </w:tc>
        <w:tc>
          <w:tcPr>
            <w:tcW w:w="0" w:type="auto"/>
            <w:shd w:val="clear" w:color="auto" w:fill="auto"/>
            <w:vAlign w:val="bottom"/>
          </w:tcPr>
          <w:p w14:paraId="39D97023" w14:textId="77777777" w:rsidR="00996AD7" w:rsidRDefault="00996AD7">
            <w:pPr>
              <w:rPr>
                <w:rFonts w:ascii="宋体"/>
                <w:vanish/>
              </w:rPr>
            </w:pPr>
          </w:p>
        </w:tc>
        <w:tc>
          <w:tcPr>
            <w:tcW w:w="0" w:type="auto"/>
            <w:gridSpan w:val="3"/>
            <w:shd w:val="clear" w:color="auto" w:fill="auto"/>
            <w:tcMar>
              <w:top w:w="40" w:type="dxa"/>
              <w:left w:w="20" w:type="dxa"/>
              <w:bottom w:w="40" w:type="dxa"/>
              <w:right w:w="20" w:type="dxa"/>
            </w:tcMar>
          </w:tcPr>
          <w:p w14:paraId="39D97024" w14:textId="77777777" w:rsidR="00996AD7" w:rsidRDefault="00D96458">
            <w:pPr>
              <w:jc w:val="center"/>
              <w:textAlignment w:val="top"/>
            </w:pPr>
            <w:r>
              <w:rPr>
                <w:rFonts w:ascii="Arial" w:eastAsia="宋体" w:hAnsi="Arial" w:cs="Arial"/>
                <w:color w:val="262626"/>
                <w:sz w:val="18"/>
                <w:szCs w:val="18"/>
              </w:rPr>
              <w:t>Smaller reporting company </w:t>
            </w:r>
          </w:p>
        </w:tc>
        <w:tc>
          <w:tcPr>
            <w:tcW w:w="0" w:type="auto"/>
            <w:gridSpan w:val="3"/>
            <w:shd w:val="clear" w:color="auto" w:fill="auto"/>
            <w:tcMar>
              <w:top w:w="40" w:type="dxa"/>
              <w:left w:w="20" w:type="dxa"/>
              <w:bottom w:w="40" w:type="dxa"/>
              <w:right w:w="20" w:type="dxa"/>
            </w:tcMar>
          </w:tcPr>
          <w:p w14:paraId="39D97025" w14:textId="77777777" w:rsidR="00996AD7" w:rsidRDefault="00D96458">
            <w:pPr>
              <w:jc w:val="center"/>
              <w:textAlignment w:val="top"/>
            </w:pPr>
            <w:r>
              <w:rPr>
                <w:rFonts w:ascii="Arial" w:eastAsia="宋体" w:hAnsi="Arial" w:cs="Arial"/>
                <w:color w:val="262626"/>
                <w:sz w:val="18"/>
                <w:szCs w:val="18"/>
              </w:rPr>
              <w:t>Emerging growth company  </w:t>
            </w:r>
          </w:p>
        </w:tc>
      </w:tr>
      <w:tr w:rsidR="00996AD7" w14:paraId="39D9702F" w14:textId="77777777">
        <w:tc>
          <w:tcPr>
            <w:tcW w:w="0" w:type="auto"/>
            <w:gridSpan w:val="3"/>
            <w:shd w:val="clear" w:color="auto" w:fill="auto"/>
            <w:tcMar>
              <w:top w:w="40" w:type="dxa"/>
              <w:left w:w="20" w:type="dxa"/>
              <w:bottom w:w="40" w:type="dxa"/>
              <w:right w:w="20" w:type="dxa"/>
            </w:tcMar>
          </w:tcPr>
          <w:p w14:paraId="39D97027" w14:textId="77777777" w:rsidR="00996AD7" w:rsidRDefault="00D96458">
            <w:pPr>
              <w:jc w:val="center"/>
              <w:textAlignment w:val="top"/>
            </w:pPr>
            <w:r>
              <w:rPr>
                <w:rFonts w:ascii="Arial Unicode MS" w:eastAsia="Arial Unicode MS" w:hAnsi="Arial Unicode MS" w:cs="Arial Unicode MS" w:hint="eastAsia"/>
                <w:color w:val="262626"/>
              </w:rPr>
              <w:t>☑</w:t>
            </w:r>
          </w:p>
        </w:tc>
        <w:tc>
          <w:tcPr>
            <w:tcW w:w="0" w:type="auto"/>
            <w:shd w:val="clear" w:color="auto" w:fill="auto"/>
            <w:vAlign w:val="bottom"/>
          </w:tcPr>
          <w:p w14:paraId="39D97028" w14:textId="77777777" w:rsidR="00996AD7" w:rsidRDefault="00996AD7">
            <w:pPr>
              <w:rPr>
                <w:rFonts w:ascii="宋体"/>
                <w:vanish/>
              </w:rPr>
            </w:pPr>
          </w:p>
        </w:tc>
        <w:tc>
          <w:tcPr>
            <w:tcW w:w="0" w:type="auto"/>
            <w:gridSpan w:val="3"/>
            <w:shd w:val="clear" w:color="auto" w:fill="auto"/>
            <w:tcMar>
              <w:top w:w="40" w:type="dxa"/>
              <w:left w:w="20" w:type="dxa"/>
              <w:bottom w:w="40" w:type="dxa"/>
              <w:right w:w="20" w:type="dxa"/>
            </w:tcMar>
          </w:tcPr>
          <w:p w14:paraId="39D97029" w14:textId="77777777" w:rsidR="00996AD7" w:rsidRDefault="00D96458">
            <w:pPr>
              <w:jc w:val="center"/>
              <w:textAlignment w:val="top"/>
            </w:pPr>
            <w:r>
              <w:rPr>
                <w:rFonts w:ascii="Wingdings" w:eastAsia="宋体" w:hAnsi="Wingdings" w:cs="Wingdings"/>
                <w:color w:val="262626"/>
                <w:sz w:val="18"/>
                <w:szCs w:val="18"/>
              </w:rPr>
              <w:t>¨</w:t>
            </w:r>
          </w:p>
        </w:tc>
        <w:tc>
          <w:tcPr>
            <w:tcW w:w="0" w:type="auto"/>
            <w:shd w:val="clear" w:color="auto" w:fill="auto"/>
            <w:vAlign w:val="bottom"/>
          </w:tcPr>
          <w:p w14:paraId="39D9702A" w14:textId="77777777" w:rsidR="00996AD7" w:rsidRDefault="00996AD7">
            <w:pPr>
              <w:rPr>
                <w:rFonts w:ascii="宋体"/>
                <w:vanish/>
              </w:rPr>
            </w:pPr>
          </w:p>
        </w:tc>
        <w:tc>
          <w:tcPr>
            <w:tcW w:w="0" w:type="auto"/>
            <w:gridSpan w:val="3"/>
            <w:shd w:val="clear" w:color="auto" w:fill="auto"/>
            <w:tcMar>
              <w:top w:w="40" w:type="dxa"/>
              <w:left w:w="20" w:type="dxa"/>
              <w:bottom w:w="40" w:type="dxa"/>
              <w:right w:w="20" w:type="dxa"/>
            </w:tcMar>
          </w:tcPr>
          <w:p w14:paraId="39D9702B" w14:textId="77777777" w:rsidR="00996AD7" w:rsidRDefault="00D96458">
            <w:pPr>
              <w:jc w:val="center"/>
              <w:textAlignment w:val="top"/>
            </w:pPr>
            <w:r>
              <w:rPr>
                <w:rFonts w:ascii="Wingdings" w:eastAsia="宋体" w:hAnsi="Wingdings" w:cs="Wingdings"/>
                <w:color w:val="262626"/>
                <w:sz w:val="18"/>
                <w:szCs w:val="18"/>
              </w:rPr>
              <w:t>¨</w:t>
            </w:r>
          </w:p>
        </w:tc>
        <w:tc>
          <w:tcPr>
            <w:tcW w:w="0" w:type="auto"/>
            <w:shd w:val="clear" w:color="auto" w:fill="auto"/>
            <w:vAlign w:val="bottom"/>
          </w:tcPr>
          <w:p w14:paraId="39D9702C" w14:textId="77777777" w:rsidR="00996AD7" w:rsidRDefault="00996AD7">
            <w:pPr>
              <w:rPr>
                <w:rFonts w:ascii="宋体"/>
                <w:vanish/>
              </w:rPr>
            </w:pPr>
          </w:p>
        </w:tc>
        <w:tc>
          <w:tcPr>
            <w:tcW w:w="0" w:type="auto"/>
            <w:gridSpan w:val="3"/>
            <w:shd w:val="clear" w:color="auto" w:fill="auto"/>
            <w:tcMar>
              <w:top w:w="40" w:type="dxa"/>
              <w:left w:w="20" w:type="dxa"/>
              <w:bottom w:w="40" w:type="dxa"/>
              <w:right w:w="20" w:type="dxa"/>
            </w:tcMar>
          </w:tcPr>
          <w:p w14:paraId="39D9702D" w14:textId="77777777" w:rsidR="00996AD7" w:rsidRDefault="00D96458">
            <w:pPr>
              <w:jc w:val="center"/>
              <w:textAlignment w:val="top"/>
            </w:pPr>
            <w:r>
              <w:rPr>
                <w:rFonts w:ascii="Arial Unicode MS" w:eastAsia="Arial Unicode MS" w:hAnsi="Arial Unicode MS" w:cs="Arial Unicode MS" w:hint="eastAsia"/>
                <w:color w:val="262626"/>
                <w:sz w:val="18"/>
                <w:szCs w:val="18"/>
              </w:rPr>
              <w:t>☐</w:t>
            </w:r>
          </w:p>
        </w:tc>
        <w:tc>
          <w:tcPr>
            <w:tcW w:w="0" w:type="auto"/>
            <w:gridSpan w:val="3"/>
            <w:shd w:val="clear" w:color="auto" w:fill="auto"/>
            <w:tcMar>
              <w:top w:w="40" w:type="dxa"/>
              <w:left w:w="20" w:type="dxa"/>
              <w:bottom w:w="40" w:type="dxa"/>
              <w:right w:w="20" w:type="dxa"/>
            </w:tcMar>
          </w:tcPr>
          <w:p w14:paraId="39D9702E" w14:textId="77777777" w:rsidR="00996AD7" w:rsidRDefault="00D96458">
            <w:pPr>
              <w:jc w:val="center"/>
              <w:textAlignment w:val="top"/>
            </w:pPr>
            <w:r>
              <w:rPr>
                <w:rFonts w:ascii="Arial Unicode MS" w:eastAsia="Arial Unicode MS" w:hAnsi="Arial Unicode MS" w:cs="Arial Unicode MS" w:hint="eastAsia"/>
                <w:color w:val="262626"/>
                <w:sz w:val="18"/>
                <w:szCs w:val="18"/>
              </w:rPr>
              <w:t>☐</w:t>
            </w:r>
          </w:p>
        </w:tc>
      </w:tr>
      <w:tr w:rsidR="00996AD7" w14:paraId="39D97038" w14:textId="77777777">
        <w:trPr>
          <w:hidden/>
        </w:trPr>
        <w:tc>
          <w:tcPr>
            <w:tcW w:w="0" w:type="auto"/>
            <w:gridSpan w:val="3"/>
            <w:shd w:val="clear" w:color="auto" w:fill="auto"/>
            <w:vAlign w:val="bottom"/>
          </w:tcPr>
          <w:p w14:paraId="39D97030" w14:textId="77777777" w:rsidR="00996AD7" w:rsidRDefault="00996AD7">
            <w:pPr>
              <w:rPr>
                <w:rFonts w:ascii="宋体"/>
                <w:vanish/>
              </w:rPr>
            </w:pPr>
          </w:p>
        </w:tc>
        <w:tc>
          <w:tcPr>
            <w:tcW w:w="0" w:type="auto"/>
            <w:shd w:val="clear" w:color="auto" w:fill="auto"/>
            <w:vAlign w:val="bottom"/>
          </w:tcPr>
          <w:p w14:paraId="39D97031" w14:textId="77777777" w:rsidR="00996AD7" w:rsidRDefault="00996AD7">
            <w:pPr>
              <w:rPr>
                <w:rFonts w:ascii="宋体"/>
                <w:vanish/>
              </w:rPr>
            </w:pPr>
          </w:p>
        </w:tc>
        <w:tc>
          <w:tcPr>
            <w:tcW w:w="0" w:type="auto"/>
            <w:gridSpan w:val="3"/>
            <w:shd w:val="clear" w:color="auto" w:fill="auto"/>
            <w:vAlign w:val="bottom"/>
          </w:tcPr>
          <w:p w14:paraId="39D97032" w14:textId="77777777" w:rsidR="00996AD7" w:rsidRDefault="00996AD7">
            <w:pPr>
              <w:rPr>
                <w:rFonts w:ascii="宋体"/>
                <w:vanish/>
              </w:rPr>
            </w:pPr>
          </w:p>
        </w:tc>
        <w:tc>
          <w:tcPr>
            <w:tcW w:w="0" w:type="auto"/>
            <w:shd w:val="clear" w:color="auto" w:fill="auto"/>
            <w:vAlign w:val="bottom"/>
          </w:tcPr>
          <w:p w14:paraId="39D97033" w14:textId="77777777" w:rsidR="00996AD7" w:rsidRDefault="00996AD7">
            <w:pPr>
              <w:rPr>
                <w:rFonts w:ascii="宋体"/>
                <w:vanish/>
              </w:rPr>
            </w:pPr>
          </w:p>
        </w:tc>
        <w:tc>
          <w:tcPr>
            <w:tcW w:w="0" w:type="auto"/>
            <w:gridSpan w:val="3"/>
            <w:shd w:val="clear" w:color="auto" w:fill="auto"/>
            <w:vAlign w:val="bottom"/>
          </w:tcPr>
          <w:p w14:paraId="39D97034" w14:textId="77777777" w:rsidR="00996AD7" w:rsidRDefault="00996AD7">
            <w:pPr>
              <w:rPr>
                <w:rFonts w:ascii="宋体"/>
                <w:vanish/>
              </w:rPr>
            </w:pPr>
          </w:p>
        </w:tc>
        <w:tc>
          <w:tcPr>
            <w:tcW w:w="0" w:type="auto"/>
            <w:shd w:val="clear" w:color="auto" w:fill="auto"/>
            <w:vAlign w:val="bottom"/>
          </w:tcPr>
          <w:p w14:paraId="39D97035" w14:textId="77777777" w:rsidR="00996AD7" w:rsidRDefault="00996AD7">
            <w:pPr>
              <w:rPr>
                <w:rFonts w:ascii="宋体"/>
                <w:vanish/>
              </w:rPr>
            </w:pPr>
          </w:p>
        </w:tc>
        <w:tc>
          <w:tcPr>
            <w:tcW w:w="0" w:type="auto"/>
            <w:gridSpan w:val="3"/>
            <w:shd w:val="clear" w:color="auto" w:fill="auto"/>
            <w:vAlign w:val="bottom"/>
          </w:tcPr>
          <w:p w14:paraId="39D97036" w14:textId="77777777" w:rsidR="00996AD7" w:rsidRDefault="00996AD7">
            <w:pPr>
              <w:rPr>
                <w:rFonts w:ascii="宋体"/>
                <w:vanish/>
              </w:rPr>
            </w:pPr>
          </w:p>
        </w:tc>
        <w:tc>
          <w:tcPr>
            <w:tcW w:w="0" w:type="auto"/>
            <w:gridSpan w:val="3"/>
            <w:shd w:val="clear" w:color="auto" w:fill="auto"/>
            <w:vAlign w:val="bottom"/>
          </w:tcPr>
          <w:p w14:paraId="39D97037" w14:textId="77777777" w:rsidR="00996AD7" w:rsidRDefault="00996AD7">
            <w:pPr>
              <w:rPr>
                <w:rFonts w:ascii="宋体"/>
                <w:vanish/>
              </w:rPr>
            </w:pPr>
          </w:p>
        </w:tc>
      </w:tr>
    </w:tbl>
    <w:p w14:paraId="39D97039" w14:textId="77777777" w:rsidR="00996AD7" w:rsidRDefault="00D96458">
      <w:pPr>
        <w:spacing w:after="180"/>
      </w:pPr>
      <w:r>
        <w:rPr>
          <w:rFonts w:ascii="Arial" w:eastAsia="宋体" w:hAnsi="Arial" w:cs="Arial"/>
          <w:color w:val="262626"/>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262626"/>
          <w:sz w:val="18"/>
          <w:szCs w:val="18"/>
        </w:rPr>
        <w:t>¨</w:t>
      </w:r>
    </w:p>
    <w:p w14:paraId="39D9703A" w14:textId="77777777" w:rsidR="00996AD7" w:rsidRDefault="00D96458">
      <w:pPr>
        <w:spacing w:before="180" w:after="180"/>
      </w:pPr>
      <w:r>
        <w:rPr>
          <w:rFonts w:ascii="Arial" w:eastAsia="宋体" w:hAnsi="Arial" w:cs="Arial"/>
          <w:color w:val="262626"/>
          <w:sz w:val="18"/>
          <w:szCs w:val="18"/>
        </w:rPr>
        <w:t>Ind</w:t>
      </w:r>
      <w:r>
        <w:rPr>
          <w:rFonts w:ascii="Arial" w:eastAsia="宋体" w:hAnsi="Arial" w:cs="Arial"/>
          <w:color w:val="262626"/>
          <w:sz w:val="18"/>
          <w:szCs w:val="18"/>
        </w:rPr>
        <w:t>icate by check mark whether the registrant is a shell company (as defined in Rule 12b-2 of the Exchange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8"/>
          <w:szCs w:val="18"/>
        </w:rPr>
        <w:t xml:space="preserve">    No  </w:t>
      </w:r>
      <w:r>
        <w:rPr>
          <w:rFonts w:ascii="Arial Unicode MS" w:eastAsia="Arial Unicode MS" w:hAnsi="Arial Unicode MS" w:cs="Arial Unicode MS" w:hint="eastAsia"/>
          <w:color w:val="262626"/>
        </w:rPr>
        <w:t>☑</w:t>
      </w:r>
    </w:p>
    <w:p w14:paraId="39D9703B" w14:textId="77777777" w:rsidR="00996AD7" w:rsidRDefault="00D96458">
      <w:pPr>
        <w:spacing w:after="180"/>
      </w:pPr>
      <w:r>
        <w:rPr>
          <w:rFonts w:ascii="Arial" w:eastAsia="宋体" w:hAnsi="Arial" w:cs="Arial"/>
          <w:color w:val="262626"/>
          <w:sz w:val="18"/>
          <w:szCs w:val="18"/>
        </w:rPr>
        <w:t xml:space="preserve">As of September 25, 2021, the registrant had outstanding 4,067 million shares of common stock. </w:t>
      </w:r>
    </w:p>
    <w:p w14:paraId="39D9703C" w14:textId="77777777" w:rsidR="00996AD7" w:rsidRDefault="00996AD7">
      <w:pPr>
        <w:spacing w:after="180"/>
      </w:pPr>
    </w:p>
    <w:p w14:paraId="39D9703D" w14:textId="77777777" w:rsidR="00996AD7" w:rsidRDefault="00D96458">
      <w:r>
        <w:pict w14:anchorId="39D9A38C">
          <v:rect id="_x0000_i1025" style="width:415.3pt;height:1.5pt" o:hralign="center" o:hrstd="t" o:hr="t" fillcolor="#a0a0a0" stroked="f"/>
        </w:pict>
      </w:r>
    </w:p>
    <w:p w14:paraId="39D9703E" w14:textId="77777777" w:rsidR="00996AD7" w:rsidRDefault="00996AD7">
      <w:pPr>
        <w:spacing w:after="180"/>
      </w:pPr>
    </w:p>
    <w:p w14:paraId="39D9703F" w14:textId="77777777" w:rsidR="00996AD7" w:rsidRDefault="00D96458">
      <w:pPr>
        <w:spacing w:after="180"/>
      </w:pPr>
      <w:r>
        <w:rPr>
          <w:rFonts w:ascii="Arial" w:eastAsia="宋体" w:hAnsi="Arial" w:cs="Arial"/>
          <w:color w:val="0068B5"/>
          <w:sz w:val="36"/>
          <w:szCs w:val="36"/>
        </w:rPr>
        <w:t>Table of Contents</w:t>
      </w:r>
    </w:p>
    <w:p w14:paraId="39D97040" w14:textId="77777777" w:rsidR="00996AD7" w:rsidRDefault="00D96458">
      <w:pPr>
        <w:spacing w:after="180"/>
      </w:pPr>
      <w:r>
        <w:rPr>
          <w:rFonts w:ascii="Arial" w:eastAsia="宋体" w:hAnsi="Arial" w:cs="Arial"/>
          <w:color w:val="0068B5"/>
        </w:rPr>
        <w:t xml:space="preserve">The </w:t>
      </w:r>
      <w:r>
        <w:rPr>
          <w:rFonts w:ascii="Arial" w:eastAsia="宋体" w:hAnsi="Arial" w:cs="Arial"/>
          <w:color w:val="0068B5"/>
        </w:rPr>
        <w:t>Organization of Our Quarterly Report on Form 10-Q</w:t>
      </w:r>
    </w:p>
    <w:p w14:paraId="39D97041" w14:textId="77777777" w:rsidR="00996AD7" w:rsidRDefault="00D96458">
      <w:pPr>
        <w:spacing w:after="180"/>
      </w:pPr>
      <w:r>
        <w:rPr>
          <w:rFonts w:ascii="Arial" w:eastAsia="宋体" w:hAnsi="Arial" w:cs="Arial"/>
          <w:color w:val="262626"/>
          <w:sz w:val="18"/>
          <w:szCs w:val="18"/>
        </w:rPr>
        <w:t>The order and presentation of content in our Form 10-Q differs from the traditional SEC Form 10-Q format. Our format is designed to improve readability and better present how we organize and manage our busi</w:t>
      </w:r>
      <w:r>
        <w:rPr>
          <w:rFonts w:ascii="Arial" w:eastAsia="宋体" w:hAnsi="Arial" w:cs="Arial"/>
          <w:color w:val="262626"/>
          <w:sz w:val="18"/>
          <w:szCs w:val="18"/>
        </w:rPr>
        <w:t>ness. See "Form 10-Q Cross-Reference Index" within Other Key Information for a cross-reference index to the traditional SEC Form 10-Q format.</w:t>
      </w:r>
    </w:p>
    <w:p w14:paraId="39D97042" w14:textId="77777777" w:rsidR="00996AD7" w:rsidRDefault="00D96458">
      <w:pPr>
        <w:spacing w:after="180"/>
      </w:pPr>
      <w:r>
        <w:rPr>
          <w:rFonts w:ascii="Arial" w:eastAsia="宋体" w:hAnsi="Arial" w:cs="Arial"/>
          <w:color w:val="262626"/>
          <w:sz w:val="18"/>
          <w:szCs w:val="18"/>
        </w:rPr>
        <w:t>We have defined certain terms and abbreviations used throughout our Form 10-Q in "Key Terms" within Consolidated C</w:t>
      </w:r>
      <w:r>
        <w:rPr>
          <w:rFonts w:ascii="Arial" w:eastAsia="宋体" w:hAnsi="Arial" w:cs="Arial"/>
          <w:color w:val="262626"/>
          <w:sz w:val="18"/>
          <w:szCs w:val="18"/>
        </w:rPr>
        <w:t xml:space="preserve">ondensed Financial Statements and Supplemental Details. </w:t>
      </w:r>
    </w:p>
    <w:p w14:paraId="39D97043" w14:textId="77777777" w:rsidR="00996AD7" w:rsidRDefault="00D96458">
      <w:pPr>
        <w:spacing w:after="180"/>
      </w:pPr>
      <w:r>
        <w:rPr>
          <w:rFonts w:ascii="Arial" w:eastAsia="宋体" w:hAnsi="Arial" w:cs="Arial"/>
          <w:color w:val="262626"/>
          <w:sz w:val="18"/>
          <w:szCs w:val="18"/>
        </w:rPr>
        <w:t xml:space="preserve">The preparation of our Consolidated Condensed Financial Statements is in conformity with U.S. GAAP. Our Form 10-Q includes key metrics that we use to measure our business, some of which are non-GAAP </w:t>
      </w:r>
      <w:r>
        <w:rPr>
          <w:rFonts w:ascii="Arial" w:eastAsia="宋体" w:hAnsi="Arial" w:cs="Arial"/>
          <w:color w:val="262626"/>
          <w:sz w:val="18"/>
          <w:szCs w:val="18"/>
        </w:rPr>
        <w:t xml:space="preserve">measures. See "Non-GAAP Financial Measures" within MD&amp;A for an explanation of these measures and why management uses them and believes they provide investors with useful supplemental information. </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83"/>
        <w:gridCol w:w="37"/>
        <w:gridCol w:w="37"/>
        <w:gridCol w:w="99"/>
        <w:gridCol w:w="36"/>
        <w:gridCol w:w="52"/>
        <w:gridCol w:w="7316"/>
        <w:gridCol w:w="36"/>
        <w:gridCol w:w="87"/>
        <w:gridCol w:w="366"/>
        <w:gridCol w:w="36"/>
      </w:tblGrid>
      <w:tr w:rsidR="00996AD7" w14:paraId="39D97050" w14:textId="77777777">
        <w:trPr>
          <w:jc w:val="center"/>
        </w:trPr>
        <w:tc>
          <w:tcPr>
            <w:tcW w:w="50" w:type="pct"/>
            <w:shd w:val="clear" w:color="auto" w:fill="auto"/>
            <w:vAlign w:val="bottom"/>
          </w:tcPr>
          <w:p w14:paraId="39D97044" w14:textId="77777777" w:rsidR="00996AD7" w:rsidRDefault="00996AD7">
            <w:pPr>
              <w:rPr>
                <w:rFonts w:ascii="宋体"/>
              </w:rPr>
            </w:pPr>
          </w:p>
        </w:tc>
        <w:tc>
          <w:tcPr>
            <w:tcW w:w="129" w:type="pct"/>
            <w:shd w:val="clear" w:color="auto" w:fill="auto"/>
            <w:vAlign w:val="bottom"/>
          </w:tcPr>
          <w:p w14:paraId="39D97045" w14:textId="77777777" w:rsidR="00996AD7" w:rsidRDefault="00996AD7">
            <w:pPr>
              <w:rPr>
                <w:rFonts w:ascii="宋体"/>
              </w:rPr>
            </w:pPr>
          </w:p>
        </w:tc>
        <w:tc>
          <w:tcPr>
            <w:tcW w:w="5" w:type="pct"/>
            <w:shd w:val="clear" w:color="auto" w:fill="auto"/>
            <w:vAlign w:val="bottom"/>
          </w:tcPr>
          <w:p w14:paraId="39D97046" w14:textId="77777777" w:rsidR="00996AD7" w:rsidRDefault="00996AD7">
            <w:pPr>
              <w:rPr>
                <w:rFonts w:ascii="宋体"/>
              </w:rPr>
            </w:pPr>
          </w:p>
        </w:tc>
        <w:tc>
          <w:tcPr>
            <w:tcW w:w="5" w:type="pct"/>
            <w:shd w:val="clear" w:color="auto" w:fill="auto"/>
            <w:vAlign w:val="bottom"/>
          </w:tcPr>
          <w:p w14:paraId="39D97047" w14:textId="77777777" w:rsidR="00996AD7" w:rsidRDefault="00996AD7">
            <w:pPr>
              <w:rPr>
                <w:rFonts w:ascii="宋体"/>
              </w:rPr>
            </w:pPr>
          </w:p>
        </w:tc>
        <w:tc>
          <w:tcPr>
            <w:tcW w:w="78" w:type="pct"/>
            <w:shd w:val="clear" w:color="auto" w:fill="auto"/>
            <w:vAlign w:val="bottom"/>
          </w:tcPr>
          <w:p w14:paraId="39D97048" w14:textId="77777777" w:rsidR="00996AD7" w:rsidRDefault="00996AD7">
            <w:pPr>
              <w:rPr>
                <w:rFonts w:ascii="宋体"/>
              </w:rPr>
            </w:pPr>
          </w:p>
        </w:tc>
        <w:tc>
          <w:tcPr>
            <w:tcW w:w="5" w:type="pct"/>
            <w:shd w:val="clear" w:color="auto" w:fill="auto"/>
            <w:vAlign w:val="bottom"/>
          </w:tcPr>
          <w:p w14:paraId="39D97049" w14:textId="77777777" w:rsidR="00996AD7" w:rsidRDefault="00996AD7">
            <w:pPr>
              <w:rPr>
                <w:rFonts w:ascii="宋体"/>
              </w:rPr>
            </w:pPr>
          </w:p>
        </w:tc>
        <w:tc>
          <w:tcPr>
            <w:tcW w:w="50" w:type="pct"/>
            <w:shd w:val="clear" w:color="auto" w:fill="auto"/>
            <w:vAlign w:val="bottom"/>
          </w:tcPr>
          <w:p w14:paraId="39D9704A" w14:textId="77777777" w:rsidR="00996AD7" w:rsidRDefault="00996AD7">
            <w:pPr>
              <w:rPr>
                <w:rFonts w:ascii="宋体"/>
              </w:rPr>
            </w:pPr>
          </w:p>
        </w:tc>
        <w:tc>
          <w:tcPr>
            <w:tcW w:w="4405" w:type="pct"/>
            <w:shd w:val="clear" w:color="auto" w:fill="auto"/>
            <w:vAlign w:val="bottom"/>
          </w:tcPr>
          <w:p w14:paraId="39D9704B" w14:textId="77777777" w:rsidR="00996AD7" w:rsidRDefault="00996AD7">
            <w:pPr>
              <w:rPr>
                <w:rFonts w:ascii="宋体"/>
              </w:rPr>
            </w:pPr>
          </w:p>
        </w:tc>
        <w:tc>
          <w:tcPr>
            <w:tcW w:w="5" w:type="pct"/>
            <w:shd w:val="clear" w:color="auto" w:fill="auto"/>
            <w:vAlign w:val="bottom"/>
          </w:tcPr>
          <w:p w14:paraId="39D9704C" w14:textId="77777777" w:rsidR="00996AD7" w:rsidRDefault="00996AD7">
            <w:pPr>
              <w:rPr>
                <w:rFonts w:ascii="宋体"/>
              </w:rPr>
            </w:pPr>
          </w:p>
        </w:tc>
        <w:tc>
          <w:tcPr>
            <w:tcW w:w="50" w:type="pct"/>
            <w:shd w:val="clear" w:color="auto" w:fill="auto"/>
            <w:vAlign w:val="bottom"/>
          </w:tcPr>
          <w:p w14:paraId="39D9704D" w14:textId="77777777" w:rsidR="00996AD7" w:rsidRDefault="00996AD7">
            <w:pPr>
              <w:rPr>
                <w:rFonts w:ascii="宋体"/>
              </w:rPr>
            </w:pPr>
          </w:p>
        </w:tc>
        <w:tc>
          <w:tcPr>
            <w:tcW w:w="211" w:type="pct"/>
            <w:shd w:val="clear" w:color="auto" w:fill="auto"/>
            <w:vAlign w:val="bottom"/>
          </w:tcPr>
          <w:p w14:paraId="39D9704E" w14:textId="77777777" w:rsidR="00996AD7" w:rsidRDefault="00996AD7">
            <w:pPr>
              <w:rPr>
                <w:rFonts w:ascii="宋体"/>
              </w:rPr>
            </w:pPr>
          </w:p>
        </w:tc>
        <w:tc>
          <w:tcPr>
            <w:tcW w:w="5" w:type="pct"/>
            <w:shd w:val="clear" w:color="auto" w:fill="auto"/>
            <w:vAlign w:val="bottom"/>
          </w:tcPr>
          <w:p w14:paraId="39D9704F" w14:textId="77777777" w:rsidR="00996AD7" w:rsidRDefault="00996AD7">
            <w:pPr>
              <w:rPr>
                <w:rFonts w:ascii="宋体"/>
              </w:rPr>
            </w:pPr>
          </w:p>
        </w:tc>
      </w:tr>
      <w:tr w:rsidR="00996AD7" w14:paraId="39D97055" w14:textId="77777777">
        <w:trPr>
          <w:jc w:val="center"/>
        </w:trPr>
        <w:tc>
          <w:tcPr>
            <w:tcW w:w="0" w:type="auto"/>
            <w:gridSpan w:val="3"/>
            <w:shd w:val="clear" w:color="auto" w:fill="auto"/>
            <w:tcMar>
              <w:top w:w="0" w:type="dxa"/>
              <w:left w:w="20" w:type="dxa"/>
              <w:bottom w:w="0" w:type="dxa"/>
              <w:right w:w="20" w:type="dxa"/>
            </w:tcMar>
            <w:vAlign w:val="bottom"/>
          </w:tcPr>
          <w:p w14:paraId="39D97051" w14:textId="77777777" w:rsidR="00996AD7" w:rsidRDefault="00996AD7">
            <w:pPr>
              <w:rPr>
                <w:rFonts w:ascii="宋体"/>
              </w:rPr>
            </w:pPr>
          </w:p>
        </w:tc>
        <w:tc>
          <w:tcPr>
            <w:tcW w:w="0" w:type="auto"/>
            <w:gridSpan w:val="3"/>
            <w:tcBorders>
              <w:bottom w:val="single" w:sz="4" w:space="0" w:color="262626"/>
            </w:tcBorders>
            <w:shd w:val="clear" w:color="auto" w:fill="auto"/>
            <w:tcMar>
              <w:top w:w="0" w:type="dxa"/>
              <w:left w:w="20" w:type="dxa"/>
              <w:bottom w:w="0" w:type="dxa"/>
              <w:right w:w="20" w:type="dxa"/>
            </w:tcMar>
            <w:vAlign w:val="bottom"/>
          </w:tcPr>
          <w:p w14:paraId="39D97052" w14:textId="77777777" w:rsidR="00996AD7" w:rsidRDefault="00996AD7">
            <w:pPr>
              <w:rPr>
                <w:rFonts w:ascii="宋体"/>
              </w:rPr>
            </w:pPr>
          </w:p>
        </w:tc>
        <w:tc>
          <w:tcPr>
            <w:tcW w:w="0" w:type="auto"/>
            <w:gridSpan w:val="3"/>
            <w:tcBorders>
              <w:bottom w:val="single" w:sz="4" w:space="0" w:color="262626"/>
            </w:tcBorders>
            <w:shd w:val="clear" w:color="auto" w:fill="auto"/>
            <w:tcMar>
              <w:top w:w="0" w:type="dxa"/>
              <w:left w:w="20" w:type="dxa"/>
              <w:bottom w:w="0" w:type="dxa"/>
              <w:right w:w="20" w:type="dxa"/>
            </w:tcMar>
            <w:vAlign w:val="bottom"/>
          </w:tcPr>
          <w:p w14:paraId="39D97053"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7054" w14:textId="77777777" w:rsidR="00996AD7" w:rsidRDefault="00D96458">
            <w:pPr>
              <w:jc w:val="center"/>
              <w:textAlignment w:val="bottom"/>
            </w:pPr>
            <w:r>
              <w:rPr>
                <w:rFonts w:ascii="Arial" w:eastAsia="宋体" w:hAnsi="Arial" w:cs="Arial"/>
                <w:color w:val="0068B5"/>
                <w:sz w:val="18"/>
                <w:szCs w:val="18"/>
              </w:rPr>
              <w:t>Page</w:t>
            </w:r>
          </w:p>
        </w:tc>
      </w:tr>
      <w:tr w:rsidR="00996AD7" w14:paraId="39D97058" w14:textId="77777777">
        <w:trPr>
          <w:jc w:val="center"/>
        </w:trPr>
        <w:tc>
          <w:tcPr>
            <w:tcW w:w="0" w:type="auto"/>
            <w:gridSpan w:val="9"/>
            <w:tcBorders>
              <w:top w:val="single" w:sz="4" w:space="0" w:color="262626"/>
            </w:tcBorders>
            <w:shd w:val="clear" w:color="auto" w:fill="auto"/>
            <w:tcMar>
              <w:top w:w="40" w:type="dxa"/>
              <w:left w:w="20" w:type="dxa"/>
              <w:bottom w:w="40" w:type="dxa"/>
              <w:right w:w="20" w:type="dxa"/>
            </w:tcMar>
            <w:vAlign w:val="bottom"/>
          </w:tcPr>
          <w:p w14:paraId="39D97056" w14:textId="77777777" w:rsidR="00996AD7" w:rsidRDefault="00D96458">
            <w:pPr>
              <w:textAlignment w:val="bottom"/>
            </w:pPr>
            <w:r>
              <w:rPr>
                <w:rFonts w:ascii="Arial" w:eastAsia="宋体" w:hAnsi="Arial" w:cs="Arial"/>
                <w:color w:val="0068B5"/>
                <w:sz w:val="20"/>
                <w:szCs w:val="20"/>
              </w:rPr>
              <w:t>Forward-Looking Statements</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39D97057" w14:textId="77777777" w:rsidR="00996AD7" w:rsidRDefault="00D96458">
            <w:pPr>
              <w:jc w:val="center"/>
              <w:textAlignment w:val="bottom"/>
            </w:pPr>
            <w:hyperlink r:id="rId7" w:anchor="i94e6cc3aa83643b8b968bd5bab038338_10" w:history="1">
              <w:r>
                <w:rPr>
                  <w:rStyle w:val="a5"/>
                  <w:rFonts w:ascii="Arial" w:eastAsia="宋体" w:hAnsi="Arial" w:cs="Arial"/>
                  <w:color w:val="262626"/>
                  <w:sz w:val="18"/>
                  <w:szCs w:val="18"/>
                  <w:u w:val="none"/>
                </w:rPr>
                <w:t>1</w:t>
              </w:r>
            </w:hyperlink>
          </w:p>
        </w:tc>
      </w:tr>
      <w:tr w:rsidR="00996AD7" w14:paraId="39D97061" w14:textId="77777777">
        <w:trPr>
          <w:jc w:val="center"/>
          <w:hidden/>
        </w:trPr>
        <w:tc>
          <w:tcPr>
            <w:tcW w:w="0" w:type="auto"/>
            <w:gridSpan w:val="3"/>
            <w:shd w:val="clear" w:color="auto" w:fill="auto"/>
            <w:vAlign w:val="bottom"/>
          </w:tcPr>
          <w:p w14:paraId="39D97059" w14:textId="77777777" w:rsidR="00996AD7" w:rsidRDefault="00996AD7">
            <w:pPr>
              <w:rPr>
                <w:rFonts w:ascii="宋体"/>
                <w:vanish/>
              </w:rPr>
            </w:pPr>
          </w:p>
        </w:tc>
        <w:tc>
          <w:tcPr>
            <w:tcW w:w="0" w:type="auto"/>
            <w:gridSpan w:val="3"/>
            <w:shd w:val="clear" w:color="auto" w:fill="auto"/>
            <w:vAlign w:val="bottom"/>
          </w:tcPr>
          <w:p w14:paraId="39D9705A" w14:textId="77777777" w:rsidR="00996AD7" w:rsidRDefault="00996AD7">
            <w:pPr>
              <w:rPr>
                <w:rFonts w:ascii="宋体"/>
                <w:vanish/>
              </w:rPr>
            </w:pPr>
          </w:p>
        </w:tc>
        <w:tc>
          <w:tcPr>
            <w:tcW w:w="0" w:type="auto"/>
            <w:shd w:val="clear" w:color="auto" w:fill="auto"/>
            <w:vAlign w:val="bottom"/>
          </w:tcPr>
          <w:p w14:paraId="39D9705B" w14:textId="77777777" w:rsidR="00996AD7" w:rsidRDefault="00996AD7">
            <w:pPr>
              <w:rPr>
                <w:rFonts w:ascii="宋体"/>
              </w:rPr>
            </w:pPr>
          </w:p>
        </w:tc>
        <w:tc>
          <w:tcPr>
            <w:tcW w:w="0" w:type="auto"/>
            <w:shd w:val="clear" w:color="auto" w:fill="auto"/>
            <w:vAlign w:val="bottom"/>
          </w:tcPr>
          <w:p w14:paraId="39D9705C" w14:textId="77777777" w:rsidR="00996AD7" w:rsidRDefault="00996AD7">
            <w:pPr>
              <w:rPr>
                <w:rFonts w:ascii="宋体"/>
              </w:rPr>
            </w:pPr>
          </w:p>
        </w:tc>
        <w:tc>
          <w:tcPr>
            <w:tcW w:w="0" w:type="auto"/>
            <w:shd w:val="clear" w:color="auto" w:fill="auto"/>
            <w:vAlign w:val="bottom"/>
          </w:tcPr>
          <w:p w14:paraId="39D9705D" w14:textId="77777777" w:rsidR="00996AD7" w:rsidRDefault="00996AD7">
            <w:pPr>
              <w:rPr>
                <w:rFonts w:ascii="宋体"/>
              </w:rPr>
            </w:pPr>
          </w:p>
        </w:tc>
        <w:tc>
          <w:tcPr>
            <w:tcW w:w="0" w:type="auto"/>
            <w:shd w:val="clear" w:color="auto" w:fill="auto"/>
            <w:vAlign w:val="bottom"/>
          </w:tcPr>
          <w:p w14:paraId="39D9705E" w14:textId="77777777" w:rsidR="00996AD7" w:rsidRDefault="00996AD7">
            <w:pPr>
              <w:rPr>
                <w:rFonts w:ascii="宋体"/>
              </w:rPr>
            </w:pPr>
          </w:p>
        </w:tc>
        <w:tc>
          <w:tcPr>
            <w:tcW w:w="0" w:type="auto"/>
            <w:shd w:val="clear" w:color="auto" w:fill="auto"/>
            <w:vAlign w:val="bottom"/>
          </w:tcPr>
          <w:p w14:paraId="39D9705F" w14:textId="77777777" w:rsidR="00996AD7" w:rsidRDefault="00996AD7">
            <w:pPr>
              <w:rPr>
                <w:rFonts w:ascii="宋体"/>
              </w:rPr>
            </w:pPr>
          </w:p>
        </w:tc>
        <w:tc>
          <w:tcPr>
            <w:tcW w:w="0" w:type="auto"/>
            <w:shd w:val="clear" w:color="auto" w:fill="auto"/>
            <w:vAlign w:val="bottom"/>
          </w:tcPr>
          <w:p w14:paraId="39D97060" w14:textId="77777777" w:rsidR="00996AD7" w:rsidRDefault="00996AD7">
            <w:pPr>
              <w:rPr>
                <w:rFonts w:ascii="宋体"/>
              </w:rPr>
            </w:pPr>
          </w:p>
        </w:tc>
      </w:tr>
      <w:tr w:rsidR="00996AD7" w14:paraId="39D97064" w14:textId="77777777">
        <w:trPr>
          <w:jc w:val="center"/>
        </w:trPr>
        <w:tc>
          <w:tcPr>
            <w:tcW w:w="0" w:type="auto"/>
            <w:gridSpan w:val="9"/>
            <w:shd w:val="clear" w:color="auto" w:fill="auto"/>
            <w:tcMar>
              <w:top w:w="40" w:type="dxa"/>
              <w:left w:w="20" w:type="dxa"/>
              <w:bottom w:w="40" w:type="dxa"/>
              <w:right w:w="20" w:type="dxa"/>
            </w:tcMar>
            <w:vAlign w:val="bottom"/>
          </w:tcPr>
          <w:p w14:paraId="39D97062" w14:textId="77777777" w:rsidR="00996AD7" w:rsidRDefault="00D96458">
            <w:pPr>
              <w:textAlignment w:val="bottom"/>
            </w:pPr>
            <w:r>
              <w:rPr>
                <w:rFonts w:ascii="Arial" w:eastAsia="宋体" w:hAnsi="Arial" w:cs="Arial"/>
                <w:color w:val="0068B5"/>
                <w:sz w:val="20"/>
                <w:szCs w:val="20"/>
              </w:rPr>
              <w:t>A Quarter in Review</w:t>
            </w:r>
          </w:p>
        </w:tc>
        <w:tc>
          <w:tcPr>
            <w:tcW w:w="0" w:type="auto"/>
            <w:gridSpan w:val="3"/>
            <w:shd w:val="clear" w:color="auto" w:fill="auto"/>
            <w:tcMar>
              <w:top w:w="40" w:type="dxa"/>
              <w:left w:w="20" w:type="dxa"/>
              <w:bottom w:w="40" w:type="dxa"/>
              <w:right w:w="20" w:type="dxa"/>
            </w:tcMar>
            <w:vAlign w:val="bottom"/>
          </w:tcPr>
          <w:p w14:paraId="39D97063" w14:textId="77777777" w:rsidR="00996AD7" w:rsidRDefault="00D96458">
            <w:pPr>
              <w:jc w:val="center"/>
              <w:textAlignment w:val="bottom"/>
            </w:pPr>
            <w:hyperlink r:id="rId8" w:anchor="i94e6cc3aa83643b8b968bd5bab038338_16" w:history="1">
              <w:r>
                <w:rPr>
                  <w:rStyle w:val="a5"/>
                  <w:rFonts w:ascii="Arial" w:eastAsia="宋体" w:hAnsi="Arial" w:cs="Arial"/>
                  <w:color w:val="262626"/>
                  <w:sz w:val="18"/>
                  <w:szCs w:val="18"/>
                  <w:u w:val="none"/>
                </w:rPr>
                <w:t>2</w:t>
              </w:r>
            </w:hyperlink>
          </w:p>
        </w:tc>
      </w:tr>
      <w:tr w:rsidR="00996AD7" w14:paraId="39D97067" w14:textId="77777777">
        <w:trPr>
          <w:jc w:val="center"/>
        </w:trPr>
        <w:tc>
          <w:tcPr>
            <w:tcW w:w="0" w:type="auto"/>
            <w:gridSpan w:val="9"/>
            <w:tcBorders>
              <w:bottom w:val="single" w:sz="4" w:space="0" w:color="262626"/>
            </w:tcBorders>
            <w:shd w:val="clear" w:color="auto" w:fill="auto"/>
            <w:tcMar>
              <w:top w:w="40" w:type="dxa"/>
              <w:left w:w="20" w:type="dxa"/>
              <w:bottom w:w="40" w:type="dxa"/>
              <w:right w:w="20" w:type="dxa"/>
            </w:tcMar>
            <w:vAlign w:val="bottom"/>
          </w:tcPr>
          <w:p w14:paraId="39D97065" w14:textId="77777777" w:rsidR="00996AD7" w:rsidRDefault="00D96458">
            <w:pPr>
              <w:textAlignment w:val="bottom"/>
            </w:pPr>
            <w:r>
              <w:rPr>
                <w:rFonts w:ascii="Arial" w:eastAsia="宋体" w:hAnsi="Arial" w:cs="Arial"/>
                <w:color w:val="0068B5"/>
                <w:sz w:val="20"/>
                <w:szCs w:val="20"/>
              </w:rPr>
              <w:t>Consolidated Condensed Financial Statements and Supplemental Details</w:t>
            </w:r>
          </w:p>
        </w:tc>
        <w:tc>
          <w:tcPr>
            <w:tcW w:w="0" w:type="auto"/>
            <w:gridSpan w:val="3"/>
            <w:shd w:val="clear" w:color="auto" w:fill="auto"/>
            <w:tcMar>
              <w:top w:w="0" w:type="dxa"/>
              <w:left w:w="20" w:type="dxa"/>
              <w:bottom w:w="0" w:type="dxa"/>
              <w:right w:w="20" w:type="dxa"/>
            </w:tcMar>
            <w:vAlign w:val="bottom"/>
          </w:tcPr>
          <w:p w14:paraId="39D97066" w14:textId="77777777" w:rsidR="00996AD7" w:rsidRDefault="00996AD7">
            <w:pPr>
              <w:rPr>
                <w:rFonts w:ascii="宋体"/>
              </w:rPr>
            </w:pPr>
          </w:p>
        </w:tc>
      </w:tr>
      <w:tr w:rsidR="00996AD7" w14:paraId="39D9706B"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7068" w14:textId="77777777" w:rsidR="00996AD7" w:rsidRDefault="00996AD7">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39D97069" w14:textId="77777777" w:rsidR="00996AD7" w:rsidRDefault="00D96458">
            <w:pPr>
              <w:textAlignment w:val="bottom"/>
            </w:pPr>
            <w:r>
              <w:rPr>
                <w:rFonts w:ascii="Arial" w:eastAsia="宋体" w:hAnsi="Arial" w:cs="Arial"/>
                <w:color w:val="262626"/>
                <w:sz w:val="18"/>
                <w:szCs w:val="18"/>
              </w:rPr>
              <w:t xml:space="preserve">Consolidated </w:t>
            </w:r>
            <w:r>
              <w:rPr>
                <w:rFonts w:ascii="Arial" w:eastAsia="宋体" w:hAnsi="Arial" w:cs="Arial"/>
                <w:color w:val="262626"/>
                <w:sz w:val="18"/>
                <w:szCs w:val="18"/>
              </w:rPr>
              <w:t>Condensed Statements of Income</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39D9706A" w14:textId="77777777" w:rsidR="00996AD7" w:rsidRDefault="00D96458">
            <w:pPr>
              <w:jc w:val="center"/>
              <w:textAlignment w:val="bottom"/>
            </w:pPr>
            <w:hyperlink r:id="rId9" w:anchor="i94e6cc3aa83643b8b968bd5bab038338_22" w:history="1">
              <w:r>
                <w:rPr>
                  <w:rStyle w:val="a5"/>
                  <w:rFonts w:ascii="Arial" w:eastAsia="宋体" w:hAnsi="Arial" w:cs="Arial"/>
                  <w:color w:val="262626"/>
                  <w:sz w:val="18"/>
                  <w:szCs w:val="18"/>
                  <w:u w:val="none"/>
                </w:rPr>
                <w:t>3</w:t>
              </w:r>
            </w:hyperlink>
          </w:p>
        </w:tc>
      </w:tr>
      <w:tr w:rsidR="00996AD7" w14:paraId="39D9706F" w14:textId="77777777">
        <w:trPr>
          <w:jc w:val="center"/>
        </w:trPr>
        <w:tc>
          <w:tcPr>
            <w:tcW w:w="0" w:type="auto"/>
            <w:gridSpan w:val="3"/>
            <w:shd w:val="clear" w:color="auto" w:fill="auto"/>
            <w:tcMar>
              <w:top w:w="0" w:type="dxa"/>
              <w:left w:w="20" w:type="dxa"/>
              <w:bottom w:w="0" w:type="dxa"/>
              <w:right w:w="20" w:type="dxa"/>
            </w:tcMar>
            <w:vAlign w:val="bottom"/>
          </w:tcPr>
          <w:p w14:paraId="39D9706C"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6D" w14:textId="77777777" w:rsidR="00996AD7" w:rsidRDefault="00D96458">
            <w:pPr>
              <w:textAlignment w:val="bottom"/>
            </w:pPr>
            <w:r>
              <w:rPr>
                <w:rFonts w:ascii="Arial" w:eastAsia="宋体" w:hAnsi="Arial" w:cs="Arial"/>
                <w:color w:val="262626"/>
                <w:sz w:val="18"/>
                <w:szCs w:val="18"/>
              </w:rPr>
              <w:t>Consolidated Condensed Statements of Comprehensive Income</w:t>
            </w:r>
          </w:p>
        </w:tc>
        <w:tc>
          <w:tcPr>
            <w:tcW w:w="0" w:type="auto"/>
            <w:gridSpan w:val="3"/>
            <w:shd w:val="clear" w:color="auto" w:fill="auto"/>
            <w:tcMar>
              <w:top w:w="40" w:type="dxa"/>
              <w:left w:w="20" w:type="dxa"/>
              <w:bottom w:w="40" w:type="dxa"/>
              <w:right w:w="20" w:type="dxa"/>
            </w:tcMar>
            <w:vAlign w:val="bottom"/>
          </w:tcPr>
          <w:p w14:paraId="39D9706E" w14:textId="77777777" w:rsidR="00996AD7" w:rsidRDefault="00D96458">
            <w:pPr>
              <w:jc w:val="center"/>
              <w:textAlignment w:val="bottom"/>
            </w:pPr>
            <w:hyperlink r:id="rId10" w:anchor="i94e6cc3aa83643b8b968bd5bab038338_25" w:history="1">
              <w:r>
                <w:rPr>
                  <w:rStyle w:val="a5"/>
                  <w:rFonts w:ascii="Arial" w:eastAsia="宋体" w:hAnsi="Arial" w:cs="Arial"/>
                  <w:color w:val="262626"/>
                  <w:sz w:val="18"/>
                  <w:szCs w:val="18"/>
                  <w:u w:val="none"/>
                </w:rPr>
                <w:t>4</w:t>
              </w:r>
            </w:hyperlink>
          </w:p>
        </w:tc>
      </w:tr>
      <w:tr w:rsidR="00996AD7" w14:paraId="39D97073" w14:textId="77777777">
        <w:trPr>
          <w:jc w:val="center"/>
        </w:trPr>
        <w:tc>
          <w:tcPr>
            <w:tcW w:w="0" w:type="auto"/>
            <w:gridSpan w:val="3"/>
            <w:shd w:val="clear" w:color="auto" w:fill="auto"/>
            <w:tcMar>
              <w:top w:w="0" w:type="dxa"/>
              <w:left w:w="20" w:type="dxa"/>
              <w:bottom w:w="0" w:type="dxa"/>
              <w:right w:w="20" w:type="dxa"/>
            </w:tcMar>
            <w:vAlign w:val="bottom"/>
          </w:tcPr>
          <w:p w14:paraId="39D97070"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71" w14:textId="77777777" w:rsidR="00996AD7" w:rsidRDefault="00D96458">
            <w:pPr>
              <w:textAlignment w:val="bottom"/>
            </w:pPr>
            <w:r>
              <w:rPr>
                <w:rFonts w:ascii="Arial" w:eastAsia="宋体" w:hAnsi="Arial" w:cs="Arial"/>
                <w:color w:val="262626"/>
                <w:sz w:val="18"/>
                <w:szCs w:val="18"/>
              </w:rPr>
              <w:t>Consolidated Condensed Balance Sheets</w:t>
            </w:r>
          </w:p>
        </w:tc>
        <w:tc>
          <w:tcPr>
            <w:tcW w:w="0" w:type="auto"/>
            <w:gridSpan w:val="3"/>
            <w:shd w:val="clear" w:color="auto" w:fill="auto"/>
            <w:tcMar>
              <w:top w:w="40" w:type="dxa"/>
              <w:left w:w="20" w:type="dxa"/>
              <w:bottom w:w="40" w:type="dxa"/>
              <w:right w:w="20" w:type="dxa"/>
            </w:tcMar>
            <w:vAlign w:val="bottom"/>
          </w:tcPr>
          <w:p w14:paraId="39D97072" w14:textId="77777777" w:rsidR="00996AD7" w:rsidRDefault="00D96458">
            <w:pPr>
              <w:jc w:val="center"/>
              <w:textAlignment w:val="bottom"/>
            </w:pPr>
            <w:hyperlink r:id="rId11" w:anchor="i94e6cc3aa83643b8b968bd5bab038338_28" w:history="1">
              <w:r>
                <w:rPr>
                  <w:rStyle w:val="a5"/>
                  <w:rFonts w:ascii="Arial" w:eastAsia="宋体" w:hAnsi="Arial" w:cs="Arial"/>
                  <w:color w:val="262626"/>
                  <w:sz w:val="18"/>
                  <w:szCs w:val="18"/>
                  <w:u w:val="none"/>
                </w:rPr>
                <w:t>5</w:t>
              </w:r>
            </w:hyperlink>
          </w:p>
        </w:tc>
      </w:tr>
      <w:tr w:rsidR="00996AD7" w14:paraId="39D97077" w14:textId="77777777">
        <w:trPr>
          <w:jc w:val="center"/>
        </w:trPr>
        <w:tc>
          <w:tcPr>
            <w:tcW w:w="0" w:type="auto"/>
            <w:gridSpan w:val="3"/>
            <w:shd w:val="clear" w:color="auto" w:fill="auto"/>
            <w:tcMar>
              <w:top w:w="0" w:type="dxa"/>
              <w:left w:w="20" w:type="dxa"/>
              <w:bottom w:w="0" w:type="dxa"/>
              <w:right w:w="20" w:type="dxa"/>
            </w:tcMar>
            <w:vAlign w:val="bottom"/>
          </w:tcPr>
          <w:p w14:paraId="39D97074"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75" w14:textId="77777777" w:rsidR="00996AD7" w:rsidRDefault="00D96458">
            <w:pPr>
              <w:textAlignment w:val="bottom"/>
            </w:pPr>
            <w:r>
              <w:rPr>
                <w:rFonts w:ascii="Arial" w:eastAsia="宋体" w:hAnsi="Arial" w:cs="Arial"/>
                <w:color w:val="262626"/>
                <w:sz w:val="18"/>
                <w:szCs w:val="18"/>
              </w:rPr>
              <w:t>Consolidated Condensed Statements of Cash Flows</w:t>
            </w:r>
          </w:p>
        </w:tc>
        <w:tc>
          <w:tcPr>
            <w:tcW w:w="0" w:type="auto"/>
            <w:gridSpan w:val="3"/>
            <w:shd w:val="clear" w:color="auto" w:fill="auto"/>
            <w:tcMar>
              <w:top w:w="40" w:type="dxa"/>
              <w:left w:w="20" w:type="dxa"/>
              <w:bottom w:w="40" w:type="dxa"/>
              <w:right w:w="20" w:type="dxa"/>
            </w:tcMar>
            <w:vAlign w:val="bottom"/>
          </w:tcPr>
          <w:p w14:paraId="39D97076" w14:textId="77777777" w:rsidR="00996AD7" w:rsidRDefault="00D96458">
            <w:pPr>
              <w:jc w:val="center"/>
              <w:textAlignment w:val="bottom"/>
            </w:pPr>
            <w:hyperlink r:id="rId12" w:anchor="i94e6cc3aa83643b8b968bd5bab038338_34" w:history="1">
              <w:r>
                <w:rPr>
                  <w:rStyle w:val="a5"/>
                  <w:rFonts w:ascii="Arial" w:eastAsia="宋体" w:hAnsi="Arial" w:cs="Arial"/>
                  <w:color w:val="262626"/>
                  <w:sz w:val="18"/>
                  <w:szCs w:val="18"/>
                  <w:u w:val="none"/>
                </w:rPr>
                <w:t>6</w:t>
              </w:r>
            </w:hyperlink>
          </w:p>
        </w:tc>
      </w:tr>
      <w:tr w:rsidR="00996AD7" w14:paraId="39D9707B" w14:textId="77777777">
        <w:trPr>
          <w:jc w:val="center"/>
        </w:trPr>
        <w:tc>
          <w:tcPr>
            <w:tcW w:w="0" w:type="auto"/>
            <w:gridSpan w:val="3"/>
            <w:shd w:val="clear" w:color="auto" w:fill="auto"/>
            <w:tcMar>
              <w:top w:w="0" w:type="dxa"/>
              <w:left w:w="20" w:type="dxa"/>
              <w:bottom w:w="0" w:type="dxa"/>
              <w:right w:w="20" w:type="dxa"/>
            </w:tcMar>
            <w:vAlign w:val="bottom"/>
          </w:tcPr>
          <w:p w14:paraId="39D97078"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79" w14:textId="77777777" w:rsidR="00996AD7" w:rsidRDefault="00D96458">
            <w:pPr>
              <w:textAlignment w:val="bottom"/>
            </w:pPr>
            <w:r>
              <w:rPr>
                <w:rFonts w:ascii="Arial" w:eastAsia="宋体" w:hAnsi="Arial" w:cs="Arial"/>
                <w:color w:val="262626"/>
                <w:sz w:val="18"/>
                <w:szCs w:val="18"/>
              </w:rPr>
              <w:t>Consolidated Condensed Statements of Stockholders' Equity</w:t>
            </w:r>
          </w:p>
        </w:tc>
        <w:tc>
          <w:tcPr>
            <w:tcW w:w="0" w:type="auto"/>
            <w:gridSpan w:val="3"/>
            <w:shd w:val="clear" w:color="auto" w:fill="auto"/>
            <w:tcMar>
              <w:top w:w="40" w:type="dxa"/>
              <w:left w:w="20" w:type="dxa"/>
              <w:bottom w:w="40" w:type="dxa"/>
              <w:right w:w="20" w:type="dxa"/>
            </w:tcMar>
            <w:vAlign w:val="bottom"/>
          </w:tcPr>
          <w:p w14:paraId="39D9707A" w14:textId="77777777" w:rsidR="00996AD7" w:rsidRDefault="00D96458">
            <w:pPr>
              <w:jc w:val="center"/>
              <w:textAlignment w:val="bottom"/>
            </w:pPr>
            <w:hyperlink r:id="rId13" w:anchor="i94e6cc3aa83643b8b968bd5bab038338_37" w:history="1">
              <w:r>
                <w:rPr>
                  <w:rStyle w:val="a5"/>
                  <w:rFonts w:ascii="Arial" w:eastAsia="宋体" w:hAnsi="Arial" w:cs="Arial"/>
                  <w:color w:val="262626"/>
                  <w:sz w:val="18"/>
                  <w:szCs w:val="18"/>
                  <w:u w:val="none"/>
                </w:rPr>
                <w:t>7</w:t>
              </w:r>
            </w:hyperlink>
          </w:p>
        </w:tc>
      </w:tr>
      <w:tr w:rsidR="00996AD7" w14:paraId="39D9707F" w14:textId="77777777">
        <w:trPr>
          <w:jc w:val="center"/>
        </w:trPr>
        <w:tc>
          <w:tcPr>
            <w:tcW w:w="0" w:type="auto"/>
            <w:gridSpan w:val="3"/>
            <w:shd w:val="clear" w:color="auto" w:fill="auto"/>
            <w:tcMar>
              <w:top w:w="0" w:type="dxa"/>
              <w:left w:w="20" w:type="dxa"/>
              <w:bottom w:w="0" w:type="dxa"/>
              <w:right w:w="20" w:type="dxa"/>
            </w:tcMar>
            <w:vAlign w:val="bottom"/>
          </w:tcPr>
          <w:p w14:paraId="39D9707C"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7D" w14:textId="77777777" w:rsidR="00996AD7" w:rsidRDefault="00D96458">
            <w:pPr>
              <w:textAlignment w:val="bottom"/>
            </w:pPr>
            <w:r>
              <w:rPr>
                <w:rFonts w:ascii="Arial" w:eastAsia="宋体" w:hAnsi="Arial" w:cs="Arial"/>
                <w:color w:val="262626"/>
                <w:sz w:val="18"/>
                <w:szCs w:val="18"/>
              </w:rPr>
              <w:t>Notes to Consolidated Condensed Financial Statements</w:t>
            </w:r>
          </w:p>
        </w:tc>
        <w:tc>
          <w:tcPr>
            <w:tcW w:w="0" w:type="auto"/>
            <w:gridSpan w:val="3"/>
            <w:shd w:val="clear" w:color="auto" w:fill="auto"/>
            <w:tcMar>
              <w:top w:w="40" w:type="dxa"/>
              <w:left w:w="20" w:type="dxa"/>
              <w:bottom w:w="40" w:type="dxa"/>
              <w:right w:w="20" w:type="dxa"/>
            </w:tcMar>
            <w:vAlign w:val="bottom"/>
          </w:tcPr>
          <w:p w14:paraId="39D9707E" w14:textId="77777777" w:rsidR="00996AD7" w:rsidRDefault="00D96458">
            <w:pPr>
              <w:jc w:val="center"/>
              <w:textAlignment w:val="bottom"/>
            </w:pPr>
            <w:hyperlink r:id="rId14" w:anchor="i94e6cc3aa83643b8b968bd5bab038338_43" w:history="1">
              <w:r>
                <w:rPr>
                  <w:rStyle w:val="a5"/>
                  <w:rFonts w:ascii="Arial" w:eastAsia="宋体" w:hAnsi="Arial" w:cs="Arial"/>
                  <w:color w:val="262626"/>
                  <w:sz w:val="18"/>
                  <w:szCs w:val="18"/>
                  <w:u w:val="none"/>
                </w:rPr>
                <w:t>8</w:t>
              </w:r>
            </w:hyperlink>
          </w:p>
        </w:tc>
      </w:tr>
      <w:tr w:rsidR="00996AD7" w14:paraId="39D97083" w14:textId="77777777">
        <w:trPr>
          <w:jc w:val="center"/>
        </w:trPr>
        <w:tc>
          <w:tcPr>
            <w:tcW w:w="0" w:type="auto"/>
            <w:gridSpan w:val="3"/>
            <w:shd w:val="clear" w:color="auto" w:fill="auto"/>
            <w:tcMar>
              <w:top w:w="0" w:type="dxa"/>
              <w:left w:w="20" w:type="dxa"/>
              <w:bottom w:w="0" w:type="dxa"/>
              <w:right w:w="20" w:type="dxa"/>
            </w:tcMar>
            <w:vAlign w:val="bottom"/>
          </w:tcPr>
          <w:p w14:paraId="39D97080"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81" w14:textId="77777777" w:rsidR="00996AD7" w:rsidRDefault="00D96458">
            <w:pPr>
              <w:textAlignment w:val="bottom"/>
            </w:pPr>
            <w:r>
              <w:rPr>
                <w:rFonts w:ascii="Arial" w:eastAsia="宋体" w:hAnsi="Arial" w:cs="Arial"/>
                <w:color w:val="262626"/>
                <w:sz w:val="18"/>
                <w:szCs w:val="18"/>
              </w:rPr>
              <w:t>Key Terms</w:t>
            </w:r>
          </w:p>
        </w:tc>
        <w:tc>
          <w:tcPr>
            <w:tcW w:w="0" w:type="auto"/>
            <w:gridSpan w:val="3"/>
            <w:shd w:val="clear" w:color="auto" w:fill="auto"/>
            <w:tcMar>
              <w:top w:w="40" w:type="dxa"/>
              <w:left w:w="20" w:type="dxa"/>
              <w:bottom w:w="40" w:type="dxa"/>
              <w:right w:w="20" w:type="dxa"/>
            </w:tcMar>
            <w:vAlign w:val="bottom"/>
          </w:tcPr>
          <w:p w14:paraId="39D97082" w14:textId="77777777" w:rsidR="00996AD7" w:rsidRDefault="00D96458">
            <w:pPr>
              <w:jc w:val="center"/>
              <w:textAlignment w:val="bottom"/>
            </w:pPr>
            <w:hyperlink r:id="rId15" w:anchor="i94e6cc3aa83643b8b968bd5bab038338_151" w:history="1">
              <w:r>
                <w:rPr>
                  <w:rStyle w:val="a5"/>
                  <w:rFonts w:ascii="Arial" w:eastAsia="宋体" w:hAnsi="Arial" w:cs="Arial"/>
                  <w:color w:val="262626"/>
                  <w:sz w:val="18"/>
                  <w:szCs w:val="18"/>
                  <w:u w:val="none"/>
                </w:rPr>
                <w:t>24</w:t>
              </w:r>
            </w:hyperlink>
          </w:p>
        </w:tc>
      </w:tr>
      <w:tr w:rsidR="00996AD7" w14:paraId="39D97088" w14:textId="77777777">
        <w:trPr>
          <w:trHeight w:val="60"/>
          <w:jc w:val="center"/>
        </w:trPr>
        <w:tc>
          <w:tcPr>
            <w:tcW w:w="0" w:type="auto"/>
            <w:gridSpan w:val="3"/>
            <w:shd w:val="clear" w:color="auto" w:fill="auto"/>
            <w:tcMar>
              <w:top w:w="0" w:type="dxa"/>
              <w:left w:w="20" w:type="dxa"/>
              <w:bottom w:w="0" w:type="dxa"/>
              <w:right w:w="20" w:type="dxa"/>
            </w:tcMar>
            <w:vAlign w:val="bottom"/>
          </w:tcPr>
          <w:p w14:paraId="39D9708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08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08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087" w14:textId="77777777" w:rsidR="00996AD7" w:rsidRDefault="00996AD7">
            <w:pPr>
              <w:rPr>
                <w:rFonts w:ascii="宋体"/>
              </w:rPr>
            </w:pPr>
          </w:p>
        </w:tc>
      </w:tr>
      <w:tr w:rsidR="00996AD7" w14:paraId="39D9708B" w14:textId="77777777">
        <w:trPr>
          <w:jc w:val="center"/>
        </w:trPr>
        <w:tc>
          <w:tcPr>
            <w:tcW w:w="0" w:type="auto"/>
            <w:gridSpan w:val="9"/>
            <w:shd w:val="clear" w:color="auto" w:fill="auto"/>
            <w:tcMar>
              <w:top w:w="40" w:type="dxa"/>
              <w:left w:w="20" w:type="dxa"/>
              <w:bottom w:w="40" w:type="dxa"/>
              <w:right w:w="20" w:type="dxa"/>
            </w:tcMar>
            <w:vAlign w:val="bottom"/>
          </w:tcPr>
          <w:p w14:paraId="39D97089" w14:textId="77777777" w:rsidR="00996AD7" w:rsidRDefault="00D96458">
            <w:pPr>
              <w:textAlignment w:val="bottom"/>
            </w:pPr>
            <w:r>
              <w:rPr>
                <w:rFonts w:ascii="Arial" w:eastAsia="宋体" w:hAnsi="Arial" w:cs="Arial"/>
                <w:color w:val="0068B5"/>
                <w:sz w:val="20"/>
                <w:szCs w:val="20"/>
              </w:rPr>
              <w:t>Management's Discussion and Analysis</w:t>
            </w:r>
          </w:p>
        </w:tc>
        <w:tc>
          <w:tcPr>
            <w:tcW w:w="0" w:type="auto"/>
            <w:gridSpan w:val="3"/>
            <w:shd w:val="clear" w:color="auto" w:fill="auto"/>
            <w:tcMar>
              <w:top w:w="0" w:type="dxa"/>
              <w:left w:w="20" w:type="dxa"/>
              <w:bottom w:w="0" w:type="dxa"/>
              <w:right w:w="20" w:type="dxa"/>
            </w:tcMar>
            <w:vAlign w:val="bottom"/>
          </w:tcPr>
          <w:p w14:paraId="39D9708A" w14:textId="77777777" w:rsidR="00996AD7" w:rsidRDefault="00996AD7">
            <w:pPr>
              <w:rPr>
                <w:rFonts w:ascii="宋体"/>
              </w:rPr>
            </w:pPr>
          </w:p>
        </w:tc>
      </w:tr>
      <w:tr w:rsidR="00996AD7" w14:paraId="39D97092" w14:textId="77777777">
        <w:trPr>
          <w:jc w:val="center"/>
          <w:hidden/>
        </w:trPr>
        <w:tc>
          <w:tcPr>
            <w:tcW w:w="0" w:type="auto"/>
            <w:gridSpan w:val="3"/>
            <w:shd w:val="clear" w:color="auto" w:fill="auto"/>
            <w:vAlign w:val="bottom"/>
          </w:tcPr>
          <w:p w14:paraId="39D9708C" w14:textId="77777777" w:rsidR="00996AD7" w:rsidRDefault="00996AD7">
            <w:pPr>
              <w:rPr>
                <w:rFonts w:ascii="宋体"/>
                <w:vanish/>
              </w:rPr>
            </w:pPr>
          </w:p>
        </w:tc>
        <w:tc>
          <w:tcPr>
            <w:tcW w:w="0" w:type="auto"/>
            <w:gridSpan w:val="3"/>
            <w:shd w:val="clear" w:color="auto" w:fill="auto"/>
            <w:vAlign w:val="bottom"/>
          </w:tcPr>
          <w:p w14:paraId="39D9708D" w14:textId="77777777" w:rsidR="00996AD7" w:rsidRDefault="00996AD7">
            <w:pPr>
              <w:rPr>
                <w:rFonts w:ascii="宋体"/>
                <w:vanish/>
              </w:rPr>
            </w:pPr>
          </w:p>
        </w:tc>
        <w:tc>
          <w:tcPr>
            <w:tcW w:w="0" w:type="auto"/>
            <w:gridSpan w:val="3"/>
            <w:shd w:val="clear" w:color="auto" w:fill="auto"/>
            <w:vAlign w:val="bottom"/>
          </w:tcPr>
          <w:p w14:paraId="39D9708E" w14:textId="77777777" w:rsidR="00996AD7" w:rsidRDefault="00996AD7">
            <w:pPr>
              <w:rPr>
                <w:rFonts w:ascii="宋体"/>
                <w:vanish/>
              </w:rPr>
            </w:pPr>
          </w:p>
        </w:tc>
        <w:tc>
          <w:tcPr>
            <w:tcW w:w="0" w:type="auto"/>
            <w:shd w:val="clear" w:color="auto" w:fill="auto"/>
            <w:vAlign w:val="bottom"/>
          </w:tcPr>
          <w:p w14:paraId="39D9708F" w14:textId="77777777" w:rsidR="00996AD7" w:rsidRDefault="00996AD7">
            <w:pPr>
              <w:rPr>
                <w:rFonts w:ascii="宋体"/>
              </w:rPr>
            </w:pPr>
          </w:p>
        </w:tc>
        <w:tc>
          <w:tcPr>
            <w:tcW w:w="0" w:type="auto"/>
            <w:shd w:val="clear" w:color="auto" w:fill="auto"/>
            <w:vAlign w:val="bottom"/>
          </w:tcPr>
          <w:p w14:paraId="39D97090" w14:textId="77777777" w:rsidR="00996AD7" w:rsidRDefault="00996AD7">
            <w:pPr>
              <w:rPr>
                <w:rFonts w:ascii="宋体"/>
              </w:rPr>
            </w:pPr>
          </w:p>
        </w:tc>
        <w:tc>
          <w:tcPr>
            <w:tcW w:w="0" w:type="auto"/>
            <w:shd w:val="clear" w:color="auto" w:fill="auto"/>
            <w:vAlign w:val="bottom"/>
          </w:tcPr>
          <w:p w14:paraId="39D97091" w14:textId="77777777" w:rsidR="00996AD7" w:rsidRDefault="00996AD7">
            <w:pPr>
              <w:rPr>
                <w:rFonts w:ascii="宋体"/>
              </w:rPr>
            </w:pPr>
          </w:p>
        </w:tc>
      </w:tr>
      <w:tr w:rsidR="00996AD7" w14:paraId="39D97099" w14:textId="77777777">
        <w:trPr>
          <w:jc w:val="center"/>
          <w:hidden/>
        </w:trPr>
        <w:tc>
          <w:tcPr>
            <w:tcW w:w="0" w:type="auto"/>
            <w:gridSpan w:val="3"/>
            <w:shd w:val="clear" w:color="auto" w:fill="auto"/>
            <w:vAlign w:val="bottom"/>
          </w:tcPr>
          <w:p w14:paraId="39D97093" w14:textId="77777777" w:rsidR="00996AD7" w:rsidRDefault="00996AD7">
            <w:pPr>
              <w:rPr>
                <w:rFonts w:ascii="宋体"/>
                <w:vanish/>
              </w:rPr>
            </w:pPr>
          </w:p>
        </w:tc>
        <w:tc>
          <w:tcPr>
            <w:tcW w:w="0" w:type="auto"/>
            <w:gridSpan w:val="3"/>
            <w:shd w:val="clear" w:color="auto" w:fill="auto"/>
            <w:vAlign w:val="bottom"/>
          </w:tcPr>
          <w:p w14:paraId="39D97094" w14:textId="77777777" w:rsidR="00996AD7" w:rsidRDefault="00996AD7">
            <w:pPr>
              <w:rPr>
                <w:rFonts w:ascii="宋体"/>
                <w:vanish/>
              </w:rPr>
            </w:pPr>
          </w:p>
        </w:tc>
        <w:tc>
          <w:tcPr>
            <w:tcW w:w="0" w:type="auto"/>
            <w:gridSpan w:val="3"/>
            <w:shd w:val="clear" w:color="auto" w:fill="auto"/>
            <w:vAlign w:val="bottom"/>
          </w:tcPr>
          <w:p w14:paraId="39D97095" w14:textId="77777777" w:rsidR="00996AD7" w:rsidRDefault="00996AD7">
            <w:pPr>
              <w:rPr>
                <w:rFonts w:ascii="宋体"/>
                <w:vanish/>
              </w:rPr>
            </w:pPr>
          </w:p>
        </w:tc>
        <w:tc>
          <w:tcPr>
            <w:tcW w:w="0" w:type="auto"/>
            <w:shd w:val="clear" w:color="auto" w:fill="auto"/>
            <w:vAlign w:val="bottom"/>
          </w:tcPr>
          <w:p w14:paraId="39D97096" w14:textId="77777777" w:rsidR="00996AD7" w:rsidRDefault="00996AD7">
            <w:pPr>
              <w:rPr>
                <w:rFonts w:ascii="宋体"/>
              </w:rPr>
            </w:pPr>
          </w:p>
        </w:tc>
        <w:tc>
          <w:tcPr>
            <w:tcW w:w="0" w:type="auto"/>
            <w:shd w:val="clear" w:color="auto" w:fill="auto"/>
            <w:vAlign w:val="bottom"/>
          </w:tcPr>
          <w:p w14:paraId="39D97097" w14:textId="77777777" w:rsidR="00996AD7" w:rsidRDefault="00996AD7">
            <w:pPr>
              <w:rPr>
                <w:rFonts w:ascii="宋体"/>
              </w:rPr>
            </w:pPr>
          </w:p>
        </w:tc>
        <w:tc>
          <w:tcPr>
            <w:tcW w:w="0" w:type="auto"/>
            <w:shd w:val="clear" w:color="auto" w:fill="auto"/>
            <w:vAlign w:val="bottom"/>
          </w:tcPr>
          <w:p w14:paraId="39D97098" w14:textId="77777777" w:rsidR="00996AD7" w:rsidRDefault="00996AD7">
            <w:pPr>
              <w:rPr>
                <w:rFonts w:ascii="宋体"/>
              </w:rPr>
            </w:pPr>
          </w:p>
        </w:tc>
      </w:tr>
      <w:tr w:rsidR="00996AD7" w14:paraId="39D9709D"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709A" w14:textId="77777777" w:rsidR="00996AD7" w:rsidRDefault="00996AD7">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39D9709B" w14:textId="77777777" w:rsidR="00996AD7" w:rsidRDefault="00D96458">
            <w:pPr>
              <w:textAlignment w:val="bottom"/>
            </w:pPr>
            <w:r>
              <w:rPr>
                <w:rFonts w:ascii="Arial" w:eastAsia="宋体" w:hAnsi="Arial" w:cs="Arial"/>
                <w:color w:val="262626"/>
                <w:sz w:val="18"/>
                <w:szCs w:val="18"/>
              </w:rPr>
              <w:t>Segment Trends and Results</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39D9709C" w14:textId="77777777" w:rsidR="00996AD7" w:rsidRDefault="00D96458">
            <w:pPr>
              <w:jc w:val="center"/>
              <w:textAlignment w:val="bottom"/>
            </w:pPr>
            <w:hyperlink r:id="rId16" w:anchor="i94e6cc3aa83643b8b968bd5bab038338_160" w:history="1">
              <w:r>
                <w:rPr>
                  <w:rStyle w:val="a5"/>
                  <w:rFonts w:ascii="Arial" w:eastAsia="宋体" w:hAnsi="Arial" w:cs="Arial"/>
                  <w:color w:val="262626"/>
                  <w:sz w:val="18"/>
                  <w:szCs w:val="18"/>
                  <w:u w:val="none"/>
                </w:rPr>
                <w:t>25</w:t>
              </w:r>
            </w:hyperlink>
          </w:p>
        </w:tc>
      </w:tr>
      <w:tr w:rsidR="00996AD7" w14:paraId="39D970A2" w14:textId="77777777">
        <w:trPr>
          <w:jc w:val="center"/>
          <w:hidden/>
        </w:trPr>
        <w:tc>
          <w:tcPr>
            <w:tcW w:w="0" w:type="auto"/>
            <w:gridSpan w:val="3"/>
            <w:shd w:val="clear" w:color="auto" w:fill="auto"/>
            <w:vAlign w:val="bottom"/>
          </w:tcPr>
          <w:p w14:paraId="39D9709E" w14:textId="77777777" w:rsidR="00996AD7" w:rsidRDefault="00996AD7">
            <w:pPr>
              <w:rPr>
                <w:rFonts w:ascii="宋体"/>
                <w:vanish/>
              </w:rPr>
            </w:pPr>
          </w:p>
        </w:tc>
        <w:tc>
          <w:tcPr>
            <w:tcW w:w="0" w:type="auto"/>
            <w:gridSpan w:val="3"/>
            <w:shd w:val="clear" w:color="auto" w:fill="auto"/>
            <w:vAlign w:val="bottom"/>
          </w:tcPr>
          <w:p w14:paraId="39D9709F" w14:textId="77777777" w:rsidR="00996AD7" w:rsidRDefault="00996AD7">
            <w:pPr>
              <w:rPr>
                <w:rFonts w:ascii="宋体"/>
                <w:vanish/>
              </w:rPr>
            </w:pPr>
          </w:p>
        </w:tc>
        <w:tc>
          <w:tcPr>
            <w:tcW w:w="0" w:type="auto"/>
            <w:gridSpan w:val="3"/>
            <w:shd w:val="clear" w:color="auto" w:fill="auto"/>
            <w:vAlign w:val="bottom"/>
          </w:tcPr>
          <w:p w14:paraId="39D970A0" w14:textId="77777777" w:rsidR="00996AD7" w:rsidRDefault="00996AD7">
            <w:pPr>
              <w:rPr>
                <w:rFonts w:ascii="宋体"/>
                <w:vanish/>
              </w:rPr>
            </w:pPr>
          </w:p>
        </w:tc>
        <w:tc>
          <w:tcPr>
            <w:tcW w:w="0" w:type="auto"/>
            <w:gridSpan w:val="3"/>
            <w:shd w:val="clear" w:color="auto" w:fill="auto"/>
            <w:vAlign w:val="bottom"/>
          </w:tcPr>
          <w:p w14:paraId="39D970A1" w14:textId="77777777" w:rsidR="00996AD7" w:rsidRDefault="00996AD7">
            <w:pPr>
              <w:rPr>
                <w:rFonts w:ascii="宋体"/>
                <w:vanish/>
              </w:rPr>
            </w:pPr>
          </w:p>
        </w:tc>
      </w:tr>
      <w:tr w:rsidR="00996AD7" w14:paraId="39D970A7" w14:textId="77777777">
        <w:trPr>
          <w:jc w:val="center"/>
          <w:hidden/>
        </w:trPr>
        <w:tc>
          <w:tcPr>
            <w:tcW w:w="0" w:type="auto"/>
            <w:gridSpan w:val="3"/>
            <w:shd w:val="clear" w:color="auto" w:fill="auto"/>
            <w:vAlign w:val="bottom"/>
          </w:tcPr>
          <w:p w14:paraId="39D970A3" w14:textId="77777777" w:rsidR="00996AD7" w:rsidRDefault="00996AD7">
            <w:pPr>
              <w:rPr>
                <w:rFonts w:ascii="宋体"/>
                <w:vanish/>
              </w:rPr>
            </w:pPr>
          </w:p>
        </w:tc>
        <w:tc>
          <w:tcPr>
            <w:tcW w:w="0" w:type="auto"/>
            <w:gridSpan w:val="3"/>
            <w:shd w:val="clear" w:color="auto" w:fill="auto"/>
            <w:vAlign w:val="bottom"/>
          </w:tcPr>
          <w:p w14:paraId="39D970A4" w14:textId="77777777" w:rsidR="00996AD7" w:rsidRDefault="00996AD7">
            <w:pPr>
              <w:rPr>
                <w:rFonts w:ascii="宋体"/>
                <w:vanish/>
              </w:rPr>
            </w:pPr>
          </w:p>
        </w:tc>
        <w:tc>
          <w:tcPr>
            <w:tcW w:w="0" w:type="auto"/>
            <w:gridSpan w:val="3"/>
            <w:shd w:val="clear" w:color="auto" w:fill="auto"/>
            <w:vAlign w:val="bottom"/>
          </w:tcPr>
          <w:p w14:paraId="39D970A5" w14:textId="77777777" w:rsidR="00996AD7" w:rsidRDefault="00996AD7">
            <w:pPr>
              <w:rPr>
                <w:rFonts w:ascii="宋体"/>
                <w:vanish/>
              </w:rPr>
            </w:pPr>
          </w:p>
        </w:tc>
        <w:tc>
          <w:tcPr>
            <w:tcW w:w="0" w:type="auto"/>
            <w:gridSpan w:val="3"/>
            <w:shd w:val="clear" w:color="auto" w:fill="auto"/>
            <w:vAlign w:val="bottom"/>
          </w:tcPr>
          <w:p w14:paraId="39D970A6" w14:textId="77777777" w:rsidR="00996AD7" w:rsidRDefault="00996AD7">
            <w:pPr>
              <w:rPr>
                <w:rFonts w:ascii="宋体"/>
                <w:vanish/>
              </w:rPr>
            </w:pPr>
          </w:p>
        </w:tc>
      </w:tr>
      <w:tr w:rsidR="00996AD7" w14:paraId="39D970AC" w14:textId="77777777">
        <w:trPr>
          <w:jc w:val="center"/>
          <w:hidden/>
        </w:trPr>
        <w:tc>
          <w:tcPr>
            <w:tcW w:w="0" w:type="auto"/>
            <w:gridSpan w:val="3"/>
            <w:shd w:val="clear" w:color="auto" w:fill="auto"/>
            <w:vAlign w:val="bottom"/>
          </w:tcPr>
          <w:p w14:paraId="39D970A8" w14:textId="77777777" w:rsidR="00996AD7" w:rsidRDefault="00996AD7">
            <w:pPr>
              <w:rPr>
                <w:rFonts w:ascii="宋体"/>
                <w:vanish/>
              </w:rPr>
            </w:pPr>
          </w:p>
        </w:tc>
        <w:tc>
          <w:tcPr>
            <w:tcW w:w="0" w:type="auto"/>
            <w:gridSpan w:val="3"/>
            <w:shd w:val="clear" w:color="auto" w:fill="auto"/>
            <w:vAlign w:val="bottom"/>
          </w:tcPr>
          <w:p w14:paraId="39D970A9" w14:textId="77777777" w:rsidR="00996AD7" w:rsidRDefault="00996AD7">
            <w:pPr>
              <w:rPr>
                <w:rFonts w:ascii="宋体"/>
                <w:vanish/>
              </w:rPr>
            </w:pPr>
          </w:p>
        </w:tc>
        <w:tc>
          <w:tcPr>
            <w:tcW w:w="0" w:type="auto"/>
            <w:gridSpan w:val="3"/>
            <w:shd w:val="clear" w:color="auto" w:fill="auto"/>
            <w:vAlign w:val="bottom"/>
          </w:tcPr>
          <w:p w14:paraId="39D970AA" w14:textId="77777777" w:rsidR="00996AD7" w:rsidRDefault="00996AD7">
            <w:pPr>
              <w:rPr>
                <w:rFonts w:ascii="宋体"/>
                <w:vanish/>
              </w:rPr>
            </w:pPr>
          </w:p>
        </w:tc>
        <w:tc>
          <w:tcPr>
            <w:tcW w:w="0" w:type="auto"/>
            <w:gridSpan w:val="3"/>
            <w:shd w:val="clear" w:color="auto" w:fill="auto"/>
            <w:vAlign w:val="bottom"/>
          </w:tcPr>
          <w:p w14:paraId="39D970AB" w14:textId="77777777" w:rsidR="00996AD7" w:rsidRDefault="00996AD7">
            <w:pPr>
              <w:rPr>
                <w:rFonts w:ascii="宋体"/>
                <w:vanish/>
              </w:rPr>
            </w:pPr>
          </w:p>
        </w:tc>
      </w:tr>
      <w:tr w:rsidR="00996AD7" w14:paraId="39D970B1" w14:textId="77777777">
        <w:trPr>
          <w:jc w:val="center"/>
          <w:hidden/>
        </w:trPr>
        <w:tc>
          <w:tcPr>
            <w:tcW w:w="0" w:type="auto"/>
            <w:gridSpan w:val="3"/>
            <w:shd w:val="clear" w:color="auto" w:fill="auto"/>
            <w:vAlign w:val="bottom"/>
          </w:tcPr>
          <w:p w14:paraId="39D970AD" w14:textId="77777777" w:rsidR="00996AD7" w:rsidRDefault="00996AD7">
            <w:pPr>
              <w:rPr>
                <w:rFonts w:ascii="宋体"/>
                <w:vanish/>
              </w:rPr>
            </w:pPr>
          </w:p>
        </w:tc>
        <w:tc>
          <w:tcPr>
            <w:tcW w:w="0" w:type="auto"/>
            <w:gridSpan w:val="3"/>
            <w:shd w:val="clear" w:color="auto" w:fill="auto"/>
            <w:vAlign w:val="bottom"/>
          </w:tcPr>
          <w:p w14:paraId="39D970AE" w14:textId="77777777" w:rsidR="00996AD7" w:rsidRDefault="00996AD7">
            <w:pPr>
              <w:rPr>
                <w:rFonts w:ascii="宋体"/>
                <w:vanish/>
              </w:rPr>
            </w:pPr>
          </w:p>
        </w:tc>
        <w:tc>
          <w:tcPr>
            <w:tcW w:w="0" w:type="auto"/>
            <w:gridSpan w:val="3"/>
            <w:shd w:val="clear" w:color="auto" w:fill="auto"/>
            <w:vAlign w:val="bottom"/>
          </w:tcPr>
          <w:p w14:paraId="39D970AF" w14:textId="77777777" w:rsidR="00996AD7" w:rsidRDefault="00996AD7">
            <w:pPr>
              <w:rPr>
                <w:rFonts w:ascii="宋体"/>
                <w:vanish/>
              </w:rPr>
            </w:pPr>
          </w:p>
        </w:tc>
        <w:tc>
          <w:tcPr>
            <w:tcW w:w="0" w:type="auto"/>
            <w:gridSpan w:val="3"/>
            <w:shd w:val="clear" w:color="auto" w:fill="auto"/>
            <w:vAlign w:val="bottom"/>
          </w:tcPr>
          <w:p w14:paraId="39D970B0" w14:textId="77777777" w:rsidR="00996AD7" w:rsidRDefault="00996AD7">
            <w:pPr>
              <w:rPr>
                <w:rFonts w:ascii="宋体"/>
                <w:vanish/>
              </w:rPr>
            </w:pPr>
          </w:p>
        </w:tc>
      </w:tr>
      <w:tr w:rsidR="00996AD7" w14:paraId="39D970B6" w14:textId="77777777">
        <w:trPr>
          <w:jc w:val="center"/>
          <w:hidden/>
        </w:trPr>
        <w:tc>
          <w:tcPr>
            <w:tcW w:w="0" w:type="auto"/>
            <w:gridSpan w:val="3"/>
            <w:shd w:val="clear" w:color="auto" w:fill="auto"/>
            <w:vAlign w:val="bottom"/>
          </w:tcPr>
          <w:p w14:paraId="39D970B2" w14:textId="77777777" w:rsidR="00996AD7" w:rsidRDefault="00996AD7">
            <w:pPr>
              <w:rPr>
                <w:rFonts w:ascii="宋体"/>
                <w:vanish/>
              </w:rPr>
            </w:pPr>
          </w:p>
        </w:tc>
        <w:tc>
          <w:tcPr>
            <w:tcW w:w="0" w:type="auto"/>
            <w:gridSpan w:val="3"/>
            <w:shd w:val="clear" w:color="auto" w:fill="auto"/>
            <w:vAlign w:val="bottom"/>
          </w:tcPr>
          <w:p w14:paraId="39D970B3" w14:textId="77777777" w:rsidR="00996AD7" w:rsidRDefault="00996AD7">
            <w:pPr>
              <w:rPr>
                <w:rFonts w:ascii="宋体"/>
                <w:vanish/>
              </w:rPr>
            </w:pPr>
          </w:p>
        </w:tc>
        <w:tc>
          <w:tcPr>
            <w:tcW w:w="0" w:type="auto"/>
            <w:gridSpan w:val="3"/>
            <w:shd w:val="clear" w:color="auto" w:fill="auto"/>
            <w:vAlign w:val="bottom"/>
          </w:tcPr>
          <w:p w14:paraId="39D970B4" w14:textId="77777777" w:rsidR="00996AD7" w:rsidRDefault="00996AD7">
            <w:pPr>
              <w:rPr>
                <w:rFonts w:ascii="宋体"/>
                <w:vanish/>
              </w:rPr>
            </w:pPr>
          </w:p>
        </w:tc>
        <w:tc>
          <w:tcPr>
            <w:tcW w:w="0" w:type="auto"/>
            <w:gridSpan w:val="3"/>
            <w:shd w:val="clear" w:color="auto" w:fill="auto"/>
            <w:vAlign w:val="bottom"/>
          </w:tcPr>
          <w:p w14:paraId="39D970B5" w14:textId="77777777" w:rsidR="00996AD7" w:rsidRDefault="00996AD7">
            <w:pPr>
              <w:rPr>
                <w:rFonts w:ascii="宋体"/>
                <w:vanish/>
              </w:rPr>
            </w:pPr>
          </w:p>
        </w:tc>
      </w:tr>
      <w:tr w:rsidR="00996AD7" w14:paraId="39D970BA" w14:textId="77777777">
        <w:trPr>
          <w:jc w:val="center"/>
        </w:trPr>
        <w:tc>
          <w:tcPr>
            <w:tcW w:w="0" w:type="auto"/>
            <w:gridSpan w:val="3"/>
            <w:shd w:val="clear" w:color="auto" w:fill="auto"/>
            <w:tcMar>
              <w:top w:w="0" w:type="dxa"/>
              <w:left w:w="20" w:type="dxa"/>
              <w:bottom w:w="0" w:type="dxa"/>
              <w:right w:w="20" w:type="dxa"/>
            </w:tcMar>
            <w:vAlign w:val="bottom"/>
          </w:tcPr>
          <w:p w14:paraId="39D970B7"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B8" w14:textId="77777777" w:rsidR="00996AD7" w:rsidRDefault="00D96458">
            <w:pPr>
              <w:textAlignment w:val="bottom"/>
            </w:pPr>
            <w:r>
              <w:rPr>
                <w:rFonts w:ascii="Arial" w:eastAsia="宋体" w:hAnsi="Arial" w:cs="Arial"/>
                <w:color w:val="262626"/>
                <w:sz w:val="18"/>
                <w:szCs w:val="18"/>
              </w:rPr>
              <w:t>Consolidated Results of Operations</w:t>
            </w:r>
          </w:p>
        </w:tc>
        <w:tc>
          <w:tcPr>
            <w:tcW w:w="0" w:type="auto"/>
            <w:gridSpan w:val="3"/>
            <w:shd w:val="clear" w:color="auto" w:fill="auto"/>
            <w:tcMar>
              <w:top w:w="40" w:type="dxa"/>
              <w:left w:w="20" w:type="dxa"/>
              <w:bottom w:w="40" w:type="dxa"/>
              <w:right w:w="20" w:type="dxa"/>
            </w:tcMar>
            <w:vAlign w:val="bottom"/>
          </w:tcPr>
          <w:p w14:paraId="39D970B9" w14:textId="77777777" w:rsidR="00996AD7" w:rsidRDefault="00D96458">
            <w:pPr>
              <w:jc w:val="center"/>
              <w:textAlignment w:val="bottom"/>
            </w:pPr>
            <w:hyperlink r:id="rId17" w:anchor="i94e6cc3aa83643b8b968bd5bab038338_175" w:history="1">
              <w:r>
                <w:rPr>
                  <w:rStyle w:val="a5"/>
                  <w:rFonts w:ascii="Arial" w:eastAsia="宋体" w:hAnsi="Arial" w:cs="Arial"/>
                  <w:color w:val="262626"/>
                  <w:sz w:val="18"/>
                  <w:szCs w:val="18"/>
                  <w:u w:val="none"/>
                </w:rPr>
                <w:t>32</w:t>
              </w:r>
            </w:hyperlink>
          </w:p>
        </w:tc>
      </w:tr>
      <w:tr w:rsidR="00996AD7" w14:paraId="39D970BE" w14:textId="77777777">
        <w:trPr>
          <w:jc w:val="center"/>
        </w:trPr>
        <w:tc>
          <w:tcPr>
            <w:tcW w:w="0" w:type="auto"/>
            <w:gridSpan w:val="3"/>
            <w:shd w:val="clear" w:color="auto" w:fill="auto"/>
            <w:tcMar>
              <w:top w:w="0" w:type="dxa"/>
              <w:left w:w="20" w:type="dxa"/>
              <w:bottom w:w="0" w:type="dxa"/>
              <w:right w:w="20" w:type="dxa"/>
            </w:tcMar>
            <w:vAlign w:val="bottom"/>
          </w:tcPr>
          <w:p w14:paraId="39D970BB"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BC" w14:textId="77777777" w:rsidR="00996AD7" w:rsidRDefault="00D96458">
            <w:pPr>
              <w:textAlignment w:val="bottom"/>
            </w:pPr>
            <w:r>
              <w:rPr>
                <w:rFonts w:ascii="Arial" w:eastAsia="宋体" w:hAnsi="Arial" w:cs="Arial"/>
                <w:color w:val="262626"/>
                <w:sz w:val="18"/>
                <w:szCs w:val="18"/>
              </w:rPr>
              <w:t>Liquidity and Capital Resources</w:t>
            </w:r>
          </w:p>
        </w:tc>
        <w:tc>
          <w:tcPr>
            <w:tcW w:w="0" w:type="auto"/>
            <w:gridSpan w:val="3"/>
            <w:shd w:val="clear" w:color="auto" w:fill="auto"/>
            <w:tcMar>
              <w:top w:w="40" w:type="dxa"/>
              <w:left w:w="20" w:type="dxa"/>
              <w:bottom w:w="40" w:type="dxa"/>
              <w:right w:w="20" w:type="dxa"/>
            </w:tcMar>
            <w:vAlign w:val="bottom"/>
          </w:tcPr>
          <w:p w14:paraId="39D970BD" w14:textId="77777777" w:rsidR="00996AD7" w:rsidRDefault="00D96458">
            <w:pPr>
              <w:jc w:val="center"/>
              <w:textAlignment w:val="bottom"/>
            </w:pPr>
            <w:hyperlink r:id="rId18" w:anchor="i94e6cc3aa83643b8b968bd5bab038338_196" w:history="1">
              <w:r>
                <w:rPr>
                  <w:rStyle w:val="a5"/>
                  <w:rFonts w:ascii="Arial" w:eastAsia="宋体" w:hAnsi="Arial" w:cs="Arial"/>
                  <w:color w:val="262626"/>
                  <w:sz w:val="18"/>
                  <w:szCs w:val="18"/>
                  <w:u w:val="none"/>
                </w:rPr>
                <w:t>37</w:t>
              </w:r>
            </w:hyperlink>
          </w:p>
        </w:tc>
      </w:tr>
      <w:tr w:rsidR="00996AD7" w14:paraId="39D970C5" w14:textId="77777777">
        <w:trPr>
          <w:jc w:val="center"/>
          <w:hidden/>
        </w:trPr>
        <w:tc>
          <w:tcPr>
            <w:tcW w:w="0" w:type="auto"/>
            <w:gridSpan w:val="3"/>
            <w:shd w:val="clear" w:color="auto" w:fill="auto"/>
            <w:vAlign w:val="bottom"/>
          </w:tcPr>
          <w:p w14:paraId="39D970BF" w14:textId="77777777" w:rsidR="00996AD7" w:rsidRDefault="00996AD7">
            <w:pPr>
              <w:rPr>
                <w:rFonts w:ascii="宋体"/>
                <w:vanish/>
              </w:rPr>
            </w:pPr>
          </w:p>
        </w:tc>
        <w:tc>
          <w:tcPr>
            <w:tcW w:w="0" w:type="auto"/>
            <w:gridSpan w:val="3"/>
            <w:shd w:val="clear" w:color="auto" w:fill="auto"/>
            <w:vAlign w:val="bottom"/>
          </w:tcPr>
          <w:p w14:paraId="39D970C0" w14:textId="77777777" w:rsidR="00996AD7" w:rsidRDefault="00996AD7">
            <w:pPr>
              <w:rPr>
                <w:rFonts w:ascii="宋体"/>
                <w:vanish/>
              </w:rPr>
            </w:pPr>
          </w:p>
        </w:tc>
        <w:tc>
          <w:tcPr>
            <w:tcW w:w="0" w:type="auto"/>
            <w:gridSpan w:val="3"/>
            <w:shd w:val="clear" w:color="auto" w:fill="auto"/>
            <w:vAlign w:val="bottom"/>
          </w:tcPr>
          <w:p w14:paraId="39D970C1" w14:textId="77777777" w:rsidR="00996AD7" w:rsidRDefault="00996AD7">
            <w:pPr>
              <w:rPr>
                <w:rFonts w:ascii="宋体"/>
                <w:vanish/>
              </w:rPr>
            </w:pPr>
          </w:p>
        </w:tc>
        <w:tc>
          <w:tcPr>
            <w:tcW w:w="0" w:type="auto"/>
            <w:shd w:val="clear" w:color="auto" w:fill="auto"/>
            <w:vAlign w:val="bottom"/>
          </w:tcPr>
          <w:p w14:paraId="39D970C2" w14:textId="77777777" w:rsidR="00996AD7" w:rsidRDefault="00996AD7">
            <w:pPr>
              <w:rPr>
                <w:rFonts w:ascii="宋体"/>
              </w:rPr>
            </w:pPr>
          </w:p>
        </w:tc>
        <w:tc>
          <w:tcPr>
            <w:tcW w:w="0" w:type="auto"/>
            <w:shd w:val="clear" w:color="auto" w:fill="auto"/>
            <w:vAlign w:val="bottom"/>
          </w:tcPr>
          <w:p w14:paraId="39D970C3" w14:textId="77777777" w:rsidR="00996AD7" w:rsidRDefault="00996AD7">
            <w:pPr>
              <w:rPr>
                <w:rFonts w:ascii="宋体"/>
              </w:rPr>
            </w:pPr>
          </w:p>
        </w:tc>
        <w:tc>
          <w:tcPr>
            <w:tcW w:w="0" w:type="auto"/>
            <w:shd w:val="clear" w:color="auto" w:fill="auto"/>
            <w:vAlign w:val="bottom"/>
          </w:tcPr>
          <w:p w14:paraId="39D970C4" w14:textId="77777777" w:rsidR="00996AD7" w:rsidRDefault="00996AD7">
            <w:pPr>
              <w:rPr>
                <w:rFonts w:ascii="宋体"/>
              </w:rPr>
            </w:pPr>
          </w:p>
        </w:tc>
      </w:tr>
      <w:tr w:rsidR="00996AD7" w14:paraId="39D970CC" w14:textId="77777777">
        <w:trPr>
          <w:jc w:val="center"/>
          <w:hidden/>
        </w:trPr>
        <w:tc>
          <w:tcPr>
            <w:tcW w:w="0" w:type="auto"/>
            <w:gridSpan w:val="3"/>
            <w:shd w:val="clear" w:color="auto" w:fill="auto"/>
            <w:vAlign w:val="bottom"/>
          </w:tcPr>
          <w:p w14:paraId="39D970C6" w14:textId="77777777" w:rsidR="00996AD7" w:rsidRDefault="00996AD7">
            <w:pPr>
              <w:rPr>
                <w:rFonts w:ascii="宋体"/>
                <w:vanish/>
              </w:rPr>
            </w:pPr>
          </w:p>
        </w:tc>
        <w:tc>
          <w:tcPr>
            <w:tcW w:w="0" w:type="auto"/>
            <w:gridSpan w:val="3"/>
            <w:shd w:val="clear" w:color="auto" w:fill="auto"/>
            <w:vAlign w:val="bottom"/>
          </w:tcPr>
          <w:p w14:paraId="39D970C7" w14:textId="77777777" w:rsidR="00996AD7" w:rsidRDefault="00996AD7">
            <w:pPr>
              <w:rPr>
                <w:rFonts w:ascii="宋体"/>
                <w:vanish/>
              </w:rPr>
            </w:pPr>
          </w:p>
        </w:tc>
        <w:tc>
          <w:tcPr>
            <w:tcW w:w="0" w:type="auto"/>
            <w:gridSpan w:val="3"/>
            <w:shd w:val="clear" w:color="auto" w:fill="auto"/>
            <w:vAlign w:val="bottom"/>
          </w:tcPr>
          <w:p w14:paraId="39D970C8" w14:textId="77777777" w:rsidR="00996AD7" w:rsidRDefault="00996AD7">
            <w:pPr>
              <w:rPr>
                <w:rFonts w:ascii="宋体"/>
                <w:vanish/>
              </w:rPr>
            </w:pPr>
          </w:p>
        </w:tc>
        <w:tc>
          <w:tcPr>
            <w:tcW w:w="0" w:type="auto"/>
            <w:shd w:val="clear" w:color="auto" w:fill="auto"/>
            <w:vAlign w:val="bottom"/>
          </w:tcPr>
          <w:p w14:paraId="39D970C9" w14:textId="77777777" w:rsidR="00996AD7" w:rsidRDefault="00996AD7">
            <w:pPr>
              <w:rPr>
                <w:rFonts w:ascii="宋体"/>
              </w:rPr>
            </w:pPr>
          </w:p>
        </w:tc>
        <w:tc>
          <w:tcPr>
            <w:tcW w:w="0" w:type="auto"/>
            <w:shd w:val="clear" w:color="auto" w:fill="auto"/>
            <w:vAlign w:val="bottom"/>
          </w:tcPr>
          <w:p w14:paraId="39D970CA" w14:textId="77777777" w:rsidR="00996AD7" w:rsidRDefault="00996AD7">
            <w:pPr>
              <w:rPr>
                <w:rFonts w:ascii="宋体"/>
              </w:rPr>
            </w:pPr>
          </w:p>
        </w:tc>
        <w:tc>
          <w:tcPr>
            <w:tcW w:w="0" w:type="auto"/>
            <w:shd w:val="clear" w:color="auto" w:fill="auto"/>
            <w:vAlign w:val="bottom"/>
          </w:tcPr>
          <w:p w14:paraId="39D970CB" w14:textId="77777777" w:rsidR="00996AD7" w:rsidRDefault="00996AD7">
            <w:pPr>
              <w:rPr>
                <w:rFonts w:ascii="宋体"/>
              </w:rPr>
            </w:pPr>
          </w:p>
        </w:tc>
      </w:tr>
      <w:tr w:rsidR="00996AD7" w14:paraId="39D970D0" w14:textId="77777777">
        <w:trPr>
          <w:jc w:val="center"/>
        </w:trPr>
        <w:tc>
          <w:tcPr>
            <w:tcW w:w="0" w:type="auto"/>
            <w:gridSpan w:val="3"/>
            <w:shd w:val="clear" w:color="auto" w:fill="auto"/>
            <w:tcMar>
              <w:top w:w="0" w:type="dxa"/>
              <w:left w:w="20" w:type="dxa"/>
              <w:bottom w:w="0" w:type="dxa"/>
              <w:right w:w="20" w:type="dxa"/>
            </w:tcMar>
            <w:vAlign w:val="bottom"/>
          </w:tcPr>
          <w:p w14:paraId="39D970CD"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CE" w14:textId="77777777" w:rsidR="00996AD7" w:rsidRDefault="00D96458">
            <w:pPr>
              <w:textAlignment w:val="bottom"/>
            </w:pPr>
            <w:r>
              <w:rPr>
                <w:rFonts w:ascii="Arial" w:eastAsia="宋体" w:hAnsi="Arial" w:cs="Arial"/>
                <w:color w:val="262626"/>
                <w:sz w:val="18"/>
                <w:szCs w:val="18"/>
              </w:rPr>
              <w:t>Non-GAAP Financial Measures</w:t>
            </w:r>
          </w:p>
        </w:tc>
        <w:tc>
          <w:tcPr>
            <w:tcW w:w="0" w:type="auto"/>
            <w:gridSpan w:val="3"/>
            <w:shd w:val="clear" w:color="auto" w:fill="auto"/>
            <w:tcMar>
              <w:top w:w="40" w:type="dxa"/>
              <w:left w:w="20" w:type="dxa"/>
              <w:bottom w:w="40" w:type="dxa"/>
              <w:right w:w="20" w:type="dxa"/>
            </w:tcMar>
            <w:vAlign w:val="bottom"/>
          </w:tcPr>
          <w:p w14:paraId="39D970CF" w14:textId="77777777" w:rsidR="00996AD7" w:rsidRDefault="00D96458">
            <w:pPr>
              <w:jc w:val="center"/>
              <w:textAlignment w:val="bottom"/>
            </w:pPr>
            <w:hyperlink r:id="rId19" w:anchor="i94e6cc3aa83643b8b968bd5bab038338_208" w:history="1">
              <w:r>
                <w:rPr>
                  <w:rStyle w:val="a5"/>
                  <w:rFonts w:ascii="Arial" w:eastAsia="宋体" w:hAnsi="Arial" w:cs="Arial"/>
                  <w:color w:val="262626"/>
                  <w:sz w:val="18"/>
                  <w:szCs w:val="18"/>
                  <w:u w:val="none"/>
                </w:rPr>
                <w:t>38</w:t>
              </w:r>
            </w:hyperlink>
          </w:p>
        </w:tc>
      </w:tr>
      <w:tr w:rsidR="00996AD7" w14:paraId="39D970D5" w14:textId="77777777">
        <w:trPr>
          <w:trHeight w:val="60"/>
          <w:jc w:val="center"/>
        </w:trPr>
        <w:tc>
          <w:tcPr>
            <w:tcW w:w="0" w:type="auto"/>
            <w:gridSpan w:val="3"/>
            <w:shd w:val="clear" w:color="auto" w:fill="auto"/>
            <w:tcMar>
              <w:top w:w="0" w:type="dxa"/>
              <w:left w:w="20" w:type="dxa"/>
              <w:bottom w:w="0" w:type="dxa"/>
              <w:right w:w="20" w:type="dxa"/>
            </w:tcMar>
            <w:vAlign w:val="bottom"/>
          </w:tcPr>
          <w:p w14:paraId="39D970D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0D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0D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0D4" w14:textId="77777777" w:rsidR="00996AD7" w:rsidRDefault="00996AD7">
            <w:pPr>
              <w:rPr>
                <w:rFonts w:ascii="宋体"/>
              </w:rPr>
            </w:pPr>
          </w:p>
        </w:tc>
      </w:tr>
      <w:tr w:rsidR="00996AD7" w14:paraId="39D970D8" w14:textId="77777777">
        <w:trPr>
          <w:jc w:val="center"/>
        </w:trPr>
        <w:tc>
          <w:tcPr>
            <w:tcW w:w="0" w:type="auto"/>
            <w:gridSpan w:val="9"/>
            <w:tcBorders>
              <w:bottom w:val="single" w:sz="4" w:space="0" w:color="262626"/>
            </w:tcBorders>
            <w:shd w:val="clear" w:color="auto" w:fill="auto"/>
            <w:tcMar>
              <w:top w:w="40" w:type="dxa"/>
              <w:left w:w="20" w:type="dxa"/>
              <w:bottom w:w="40" w:type="dxa"/>
              <w:right w:w="20" w:type="dxa"/>
            </w:tcMar>
            <w:vAlign w:val="bottom"/>
          </w:tcPr>
          <w:p w14:paraId="39D970D6" w14:textId="77777777" w:rsidR="00996AD7" w:rsidRDefault="00D96458">
            <w:pPr>
              <w:textAlignment w:val="bottom"/>
            </w:pPr>
            <w:r>
              <w:rPr>
                <w:rFonts w:ascii="Arial" w:eastAsia="宋体" w:hAnsi="Arial" w:cs="Arial"/>
                <w:color w:val="0068B5"/>
                <w:sz w:val="20"/>
                <w:szCs w:val="20"/>
              </w:rPr>
              <w:t>Other Key Information</w:t>
            </w:r>
          </w:p>
        </w:tc>
        <w:tc>
          <w:tcPr>
            <w:tcW w:w="0" w:type="auto"/>
            <w:gridSpan w:val="3"/>
            <w:shd w:val="clear" w:color="auto" w:fill="auto"/>
            <w:tcMar>
              <w:top w:w="0" w:type="dxa"/>
              <w:left w:w="20" w:type="dxa"/>
              <w:bottom w:w="0" w:type="dxa"/>
              <w:right w:w="20" w:type="dxa"/>
            </w:tcMar>
            <w:vAlign w:val="bottom"/>
          </w:tcPr>
          <w:p w14:paraId="39D970D7" w14:textId="77777777" w:rsidR="00996AD7" w:rsidRDefault="00996AD7">
            <w:pPr>
              <w:rPr>
                <w:rFonts w:ascii="宋体"/>
              </w:rPr>
            </w:pPr>
          </w:p>
        </w:tc>
      </w:tr>
      <w:tr w:rsidR="00996AD7" w14:paraId="39D970DC"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70D9" w14:textId="77777777" w:rsidR="00996AD7" w:rsidRDefault="00996AD7">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39D970DA" w14:textId="77777777" w:rsidR="00996AD7" w:rsidRDefault="00D96458">
            <w:pPr>
              <w:textAlignment w:val="bottom"/>
            </w:pPr>
            <w:r>
              <w:rPr>
                <w:rFonts w:ascii="Arial" w:eastAsia="宋体" w:hAnsi="Arial" w:cs="Arial"/>
                <w:color w:val="262626"/>
                <w:sz w:val="18"/>
                <w:szCs w:val="18"/>
              </w:rPr>
              <w:t>Quantitative and Qualitative Disclosures about Market Risk</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39D970DB" w14:textId="77777777" w:rsidR="00996AD7" w:rsidRDefault="00D96458">
            <w:pPr>
              <w:jc w:val="center"/>
              <w:textAlignment w:val="bottom"/>
            </w:pPr>
            <w:hyperlink r:id="rId20" w:anchor="i94e6cc3aa83643b8b968bd5bab038338_214" w:history="1">
              <w:r>
                <w:rPr>
                  <w:rStyle w:val="a5"/>
                  <w:rFonts w:ascii="Arial" w:eastAsia="宋体" w:hAnsi="Arial" w:cs="Arial"/>
                  <w:color w:val="262626"/>
                  <w:sz w:val="18"/>
                  <w:szCs w:val="18"/>
                  <w:u w:val="none"/>
                </w:rPr>
                <w:t>41</w:t>
              </w:r>
            </w:hyperlink>
          </w:p>
        </w:tc>
      </w:tr>
      <w:tr w:rsidR="00996AD7" w14:paraId="39D970E0" w14:textId="77777777">
        <w:trPr>
          <w:jc w:val="center"/>
        </w:trPr>
        <w:tc>
          <w:tcPr>
            <w:tcW w:w="0" w:type="auto"/>
            <w:gridSpan w:val="3"/>
            <w:shd w:val="clear" w:color="auto" w:fill="auto"/>
            <w:tcMar>
              <w:top w:w="0" w:type="dxa"/>
              <w:left w:w="20" w:type="dxa"/>
              <w:bottom w:w="0" w:type="dxa"/>
              <w:right w:w="20" w:type="dxa"/>
            </w:tcMar>
            <w:vAlign w:val="bottom"/>
          </w:tcPr>
          <w:p w14:paraId="39D970DD"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DE" w14:textId="77777777" w:rsidR="00996AD7" w:rsidRDefault="00D96458">
            <w:pPr>
              <w:textAlignment w:val="bottom"/>
            </w:pPr>
            <w:r>
              <w:rPr>
                <w:rFonts w:ascii="Arial" w:eastAsia="宋体" w:hAnsi="Arial" w:cs="Arial"/>
                <w:color w:val="262626"/>
                <w:sz w:val="18"/>
                <w:szCs w:val="18"/>
              </w:rPr>
              <w:t>Risk Factors</w:t>
            </w:r>
          </w:p>
        </w:tc>
        <w:tc>
          <w:tcPr>
            <w:tcW w:w="0" w:type="auto"/>
            <w:gridSpan w:val="3"/>
            <w:shd w:val="clear" w:color="auto" w:fill="auto"/>
            <w:tcMar>
              <w:top w:w="40" w:type="dxa"/>
              <w:left w:w="20" w:type="dxa"/>
              <w:bottom w:w="40" w:type="dxa"/>
              <w:right w:w="20" w:type="dxa"/>
            </w:tcMar>
            <w:vAlign w:val="bottom"/>
          </w:tcPr>
          <w:p w14:paraId="39D970DF" w14:textId="77777777" w:rsidR="00996AD7" w:rsidRDefault="00D96458">
            <w:pPr>
              <w:jc w:val="center"/>
              <w:textAlignment w:val="bottom"/>
            </w:pPr>
            <w:hyperlink r:id="rId21" w:anchor="i94e6cc3aa83643b8b968bd5bab038338_220" w:history="1">
              <w:r>
                <w:rPr>
                  <w:rStyle w:val="a5"/>
                  <w:rFonts w:ascii="Arial" w:eastAsia="宋体" w:hAnsi="Arial" w:cs="Arial"/>
                  <w:color w:val="262626"/>
                  <w:sz w:val="18"/>
                  <w:szCs w:val="18"/>
                  <w:u w:val="none"/>
                </w:rPr>
                <w:t>41</w:t>
              </w:r>
            </w:hyperlink>
          </w:p>
        </w:tc>
      </w:tr>
      <w:tr w:rsidR="00996AD7" w14:paraId="39D970E4" w14:textId="77777777">
        <w:trPr>
          <w:jc w:val="center"/>
        </w:trPr>
        <w:tc>
          <w:tcPr>
            <w:tcW w:w="0" w:type="auto"/>
            <w:gridSpan w:val="3"/>
            <w:shd w:val="clear" w:color="auto" w:fill="auto"/>
            <w:tcMar>
              <w:top w:w="0" w:type="dxa"/>
              <w:left w:w="20" w:type="dxa"/>
              <w:bottom w:w="0" w:type="dxa"/>
              <w:right w:w="20" w:type="dxa"/>
            </w:tcMar>
            <w:vAlign w:val="bottom"/>
          </w:tcPr>
          <w:p w14:paraId="39D970E1"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E2" w14:textId="77777777" w:rsidR="00996AD7" w:rsidRDefault="00D96458">
            <w:pPr>
              <w:textAlignment w:val="bottom"/>
            </w:pPr>
            <w:r>
              <w:rPr>
                <w:rFonts w:ascii="Arial" w:eastAsia="宋体" w:hAnsi="Arial" w:cs="Arial"/>
                <w:color w:val="262626"/>
                <w:sz w:val="18"/>
                <w:szCs w:val="18"/>
              </w:rPr>
              <w:t>Controls and Procedures</w:t>
            </w:r>
          </w:p>
        </w:tc>
        <w:tc>
          <w:tcPr>
            <w:tcW w:w="0" w:type="auto"/>
            <w:gridSpan w:val="3"/>
            <w:shd w:val="clear" w:color="auto" w:fill="auto"/>
            <w:tcMar>
              <w:top w:w="40" w:type="dxa"/>
              <w:left w:w="20" w:type="dxa"/>
              <w:bottom w:w="40" w:type="dxa"/>
              <w:right w:w="20" w:type="dxa"/>
            </w:tcMar>
            <w:vAlign w:val="bottom"/>
          </w:tcPr>
          <w:p w14:paraId="39D970E3" w14:textId="77777777" w:rsidR="00996AD7" w:rsidRDefault="00D96458">
            <w:pPr>
              <w:jc w:val="center"/>
              <w:textAlignment w:val="bottom"/>
            </w:pPr>
            <w:hyperlink r:id="rId22" w:anchor="i94e6cc3aa83643b8b968bd5bab038338_226" w:history="1">
              <w:r>
                <w:rPr>
                  <w:rStyle w:val="a5"/>
                  <w:rFonts w:ascii="Arial" w:eastAsia="宋体" w:hAnsi="Arial" w:cs="Arial"/>
                  <w:color w:val="262626"/>
                  <w:sz w:val="18"/>
                  <w:szCs w:val="18"/>
                  <w:u w:val="none"/>
                </w:rPr>
                <w:t>41</w:t>
              </w:r>
            </w:hyperlink>
          </w:p>
        </w:tc>
      </w:tr>
      <w:tr w:rsidR="00996AD7" w14:paraId="39D970EB" w14:textId="77777777">
        <w:trPr>
          <w:jc w:val="center"/>
          <w:hidden/>
        </w:trPr>
        <w:tc>
          <w:tcPr>
            <w:tcW w:w="0" w:type="auto"/>
            <w:gridSpan w:val="3"/>
            <w:shd w:val="clear" w:color="auto" w:fill="auto"/>
            <w:vAlign w:val="bottom"/>
          </w:tcPr>
          <w:p w14:paraId="39D970E5" w14:textId="77777777" w:rsidR="00996AD7" w:rsidRDefault="00996AD7">
            <w:pPr>
              <w:rPr>
                <w:rFonts w:ascii="宋体"/>
                <w:vanish/>
              </w:rPr>
            </w:pPr>
          </w:p>
        </w:tc>
        <w:tc>
          <w:tcPr>
            <w:tcW w:w="0" w:type="auto"/>
            <w:gridSpan w:val="3"/>
            <w:shd w:val="clear" w:color="auto" w:fill="auto"/>
            <w:vAlign w:val="bottom"/>
          </w:tcPr>
          <w:p w14:paraId="39D970E6" w14:textId="77777777" w:rsidR="00996AD7" w:rsidRDefault="00996AD7">
            <w:pPr>
              <w:rPr>
                <w:rFonts w:ascii="宋体"/>
                <w:vanish/>
              </w:rPr>
            </w:pPr>
          </w:p>
        </w:tc>
        <w:tc>
          <w:tcPr>
            <w:tcW w:w="0" w:type="auto"/>
            <w:gridSpan w:val="3"/>
            <w:shd w:val="clear" w:color="auto" w:fill="auto"/>
            <w:vAlign w:val="bottom"/>
          </w:tcPr>
          <w:p w14:paraId="39D970E7" w14:textId="77777777" w:rsidR="00996AD7" w:rsidRDefault="00996AD7">
            <w:pPr>
              <w:rPr>
                <w:rFonts w:ascii="宋体"/>
                <w:vanish/>
              </w:rPr>
            </w:pPr>
          </w:p>
        </w:tc>
        <w:tc>
          <w:tcPr>
            <w:tcW w:w="0" w:type="auto"/>
            <w:shd w:val="clear" w:color="auto" w:fill="auto"/>
            <w:vAlign w:val="bottom"/>
          </w:tcPr>
          <w:p w14:paraId="39D970E8" w14:textId="77777777" w:rsidR="00996AD7" w:rsidRDefault="00996AD7">
            <w:pPr>
              <w:rPr>
                <w:rFonts w:ascii="宋体"/>
              </w:rPr>
            </w:pPr>
          </w:p>
        </w:tc>
        <w:tc>
          <w:tcPr>
            <w:tcW w:w="0" w:type="auto"/>
            <w:shd w:val="clear" w:color="auto" w:fill="auto"/>
            <w:vAlign w:val="bottom"/>
          </w:tcPr>
          <w:p w14:paraId="39D970E9" w14:textId="77777777" w:rsidR="00996AD7" w:rsidRDefault="00996AD7">
            <w:pPr>
              <w:rPr>
                <w:rFonts w:ascii="宋体"/>
              </w:rPr>
            </w:pPr>
          </w:p>
        </w:tc>
        <w:tc>
          <w:tcPr>
            <w:tcW w:w="0" w:type="auto"/>
            <w:shd w:val="clear" w:color="auto" w:fill="auto"/>
            <w:vAlign w:val="bottom"/>
          </w:tcPr>
          <w:p w14:paraId="39D970EA" w14:textId="77777777" w:rsidR="00996AD7" w:rsidRDefault="00996AD7">
            <w:pPr>
              <w:rPr>
                <w:rFonts w:ascii="宋体"/>
              </w:rPr>
            </w:pPr>
          </w:p>
        </w:tc>
      </w:tr>
      <w:tr w:rsidR="00996AD7" w14:paraId="39D970EF" w14:textId="77777777">
        <w:trPr>
          <w:jc w:val="center"/>
        </w:trPr>
        <w:tc>
          <w:tcPr>
            <w:tcW w:w="0" w:type="auto"/>
            <w:gridSpan w:val="3"/>
            <w:shd w:val="clear" w:color="auto" w:fill="auto"/>
            <w:tcMar>
              <w:top w:w="0" w:type="dxa"/>
              <w:left w:w="20" w:type="dxa"/>
              <w:bottom w:w="0" w:type="dxa"/>
              <w:right w:w="20" w:type="dxa"/>
            </w:tcMar>
            <w:vAlign w:val="bottom"/>
          </w:tcPr>
          <w:p w14:paraId="39D970EC"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ED" w14:textId="77777777" w:rsidR="00996AD7" w:rsidRDefault="00D96458">
            <w:pPr>
              <w:textAlignment w:val="bottom"/>
            </w:pPr>
            <w:r>
              <w:rPr>
                <w:rFonts w:ascii="Arial" w:eastAsia="宋体" w:hAnsi="Arial" w:cs="Arial"/>
                <w:color w:val="262626"/>
                <w:sz w:val="18"/>
                <w:szCs w:val="18"/>
              </w:rPr>
              <w:t>Issuer Purchases of Equity Securities</w:t>
            </w:r>
          </w:p>
        </w:tc>
        <w:tc>
          <w:tcPr>
            <w:tcW w:w="0" w:type="auto"/>
            <w:gridSpan w:val="3"/>
            <w:shd w:val="clear" w:color="auto" w:fill="auto"/>
            <w:tcMar>
              <w:top w:w="40" w:type="dxa"/>
              <w:left w:w="20" w:type="dxa"/>
              <w:bottom w:w="40" w:type="dxa"/>
              <w:right w:w="20" w:type="dxa"/>
            </w:tcMar>
            <w:vAlign w:val="bottom"/>
          </w:tcPr>
          <w:p w14:paraId="39D970EE" w14:textId="77777777" w:rsidR="00996AD7" w:rsidRDefault="00D96458">
            <w:pPr>
              <w:jc w:val="center"/>
              <w:textAlignment w:val="bottom"/>
            </w:pPr>
            <w:hyperlink r:id="rId23" w:anchor="i94e6cc3aa83643b8b968bd5bab038338_229" w:history="1">
              <w:r>
                <w:rPr>
                  <w:rStyle w:val="a5"/>
                  <w:rFonts w:ascii="Arial" w:eastAsia="宋体" w:hAnsi="Arial" w:cs="Arial"/>
                  <w:color w:val="262626"/>
                  <w:sz w:val="18"/>
                  <w:szCs w:val="18"/>
                  <w:u w:val="none"/>
                </w:rPr>
                <w:t>41</w:t>
              </w:r>
            </w:hyperlink>
          </w:p>
        </w:tc>
      </w:tr>
      <w:tr w:rsidR="00996AD7" w14:paraId="39D970F3" w14:textId="77777777">
        <w:trPr>
          <w:jc w:val="center"/>
        </w:trPr>
        <w:tc>
          <w:tcPr>
            <w:tcW w:w="0" w:type="auto"/>
            <w:gridSpan w:val="3"/>
            <w:shd w:val="clear" w:color="auto" w:fill="auto"/>
            <w:tcMar>
              <w:top w:w="0" w:type="dxa"/>
              <w:left w:w="20" w:type="dxa"/>
              <w:bottom w:w="0" w:type="dxa"/>
              <w:right w:w="20" w:type="dxa"/>
            </w:tcMar>
            <w:vAlign w:val="bottom"/>
          </w:tcPr>
          <w:p w14:paraId="39D970F0"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F1" w14:textId="77777777" w:rsidR="00996AD7" w:rsidRDefault="00D96458">
            <w:pPr>
              <w:textAlignment w:val="bottom"/>
            </w:pPr>
            <w:r>
              <w:rPr>
                <w:rFonts w:ascii="Arial" w:eastAsia="宋体" w:hAnsi="Arial" w:cs="Arial"/>
                <w:color w:val="262626"/>
                <w:sz w:val="18"/>
                <w:szCs w:val="18"/>
              </w:rPr>
              <w:t xml:space="preserve">Disclosure Pursuant to Section 13(r) of the Securities Exchange Act of 1934 </w:t>
            </w:r>
          </w:p>
        </w:tc>
        <w:tc>
          <w:tcPr>
            <w:tcW w:w="0" w:type="auto"/>
            <w:gridSpan w:val="3"/>
            <w:shd w:val="clear" w:color="auto" w:fill="auto"/>
            <w:tcMar>
              <w:top w:w="40" w:type="dxa"/>
              <w:left w:w="20" w:type="dxa"/>
              <w:bottom w:w="40" w:type="dxa"/>
              <w:right w:w="20" w:type="dxa"/>
            </w:tcMar>
            <w:vAlign w:val="bottom"/>
          </w:tcPr>
          <w:p w14:paraId="39D970F2" w14:textId="77777777" w:rsidR="00996AD7" w:rsidRDefault="00D96458">
            <w:pPr>
              <w:jc w:val="center"/>
              <w:textAlignment w:val="bottom"/>
            </w:pPr>
            <w:hyperlink r:id="rId24" w:anchor="i94e6cc3aa83643b8b968bd5bab038338_232" w:history="1">
              <w:r>
                <w:rPr>
                  <w:rStyle w:val="a5"/>
                  <w:rFonts w:ascii="Arial" w:eastAsia="宋体" w:hAnsi="Arial" w:cs="Arial"/>
                  <w:color w:val="262626"/>
                  <w:sz w:val="18"/>
                  <w:szCs w:val="18"/>
                  <w:u w:val="none"/>
                </w:rPr>
                <w:t>42</w:t>
              </w:r>
            </w:hyperlink>
          </w:p>
        </w:tc>
      </w:tr>
      <w:tr w:rsidR="00996AD7" w14:paraId="39D970F7" w14:textId="77777777">
        <w:trPr>
          <w:jc w:val="center"/>
        </w:trPr>
        <w:tc>
          <w:tcPr>
            <w:tcW w:w="0" w:type="auto"/>
            <w:gridSpan w:val="3"/>
            <w:shd w:val="clear" w:color="auto" w:fill="auto"/>
            <w:tcMar>
              <w:top w:w="0" w:type="dxa"/>
              <w:left w:w="20" w:type="dxa"/>
              <w:bottom w:w="0" w:type="dxa"/>
              <w:right w:w="20" w:type="dxa"/>
            </w:tcMar>
            <w:vAlign w:val="bottom"/>
          </w:tcPr>
          <w:p w14:paraId="39D970F4"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F5" w14:textId="77777777" w:rsidR="00996AD7" w:rsidRDefault="00D96458">
            <w:pPr>
              <w:textAlignment w:val="bottom"/>
            </w:pPr>
            <w:r>
              <w:rPr>
                <w:rFonts w:ascii="Arial" w:eastAsia="宋体" w:hAnsi="Arial" w:cs="Arial"/>
                <w:color w:val="262626"/>
                <w:sz w:val="18"/>
                <w:szCs w:val="18"/>
              </w:rPr>
              <w:t>Exhibits</w:t>
            </w:r>
          </w:p>
        </w:tc>
        <w:tc>
          <w:tcPr>
            <w:tcW w:w="0" w:type="auto"/>
            <w:gridSpan w:val="3"/>
            <w:shd w:val="clear" w:color="auto" w:fill="auto"/>
            <w:tcMar>
              <w:top w:w="40" w:type="dxa"/>
              <w:left w:w="20" w:type="dxa"/>
              <w:bottom w:w="40" w:type="dxa"/>
              <w:right w:w="20" w:type="dxa"/>
            </w:tcMar>
            <w:vAlign w:val="bottom"/>
          </w:tcPr>
          <w:p w14:paraId="39D970F6" w14:textId="77777777" w:rsidR="00996AD7" w:rsidRDefault="00D96458">
            <w:pPr>
              <w:jc w:val="center"/>
              <w:textAlignment w:val="bottom"/>
            </w:pPr>
            <w:hyperlink r:id="rId25" w:anchor="i94e6cc3aa83643b8b968bd5bab038338_235" w:history="1">
              <w:r>
                <w:rPr>
                  <w:rStyle w:val="a5"/>
                  <w:rFonts w:ascii="Arial" w:eastAsia="宋体" w:hAnsi="Arial" w:cs="Arial"/>
                  <w:color w:val="262626"/>
                  <w:sz w:val="18"/>
                  <w:szCs w:val="18"/>
                  <w:u w:val="none"/>
                </w:rPr>
                <w:t>43</w:t>
              </w:r>
            </w:hyperlink>
          </w:p>
        </w:tc>
      </w:tr>
      <w:tr w:rsidR="00996AD7" w14:paraId="39D970FB" w14:textId="77777777">
        <w:trPr>
          <w:jc w:val="center"/>
        </w:trPr>
        <w:tc>
          <w:tcPr>
            <w:tcW w:w="0" w:type="auto"/>
            <w:gridSpan w:val="3"/>
            <w:shd w:val="clear" w:color="auto" w:fill="auto"/>
            <w:tcMar>
              <w:top w:w="0" w:type="dxa"/>
              <w:left w:w="20" w:type="dxa"/>
              <w:bottom w:w="0" w:type="dxa"/>
              <w:right w:w="20" w:type="dxa"/>
            </w:tcMar>
            <w:vAlign w:val="bottom"/>
          </w:tcPr>
          <w:p w14:paraId="39D970F8" w14:textId="77777777" w:rsidR="00996AD7" w:rsidRDefault="00996AD7">
            <w:pPr>
              <w:rPr>
                <w:rFonts w:ascii="宋体"/>
              </w:rPr>
            </w:pPr>
          </w:p>
        </w:tc>
        <w:tc>
          <w:tcPr>
            <w:tcW w:w="0" w:type="auto"/>
            <w:gridSpan w:val="6"/>
            <w:shd w:val="clear" w:color="auto" w:fill="auto"/>
            <w:tcMar>
              <w:top w:w="40" w:type="dxa"/>
              <w:left w:w="20" w:type="dxa"/>
              <w:bottom w:w="40" w:type="dxa"/>
              <w:right w:w="20" w:type="dxa"/>
            </w:tcMar>
            <w:vAlign w:val="bottom"/>
          </w:tcPr>
          <w:p w14:paraId="39D970F9" w14:textId="77777777" w:rsidR="00996AD7" w:rsidRDefault="00D96458">
            <w:pPr>
              <w:textAlignment w:val="bottom"/>
            </w:pPr>
            <w:r>
              <w:rPr>
                <w:rFonts w:ascii="Arial" w:eastAsia="宋体" w:hAnsi="Arial" w:cs="Arial"/>
                <w:color w:val="262626"/>
                <w:sz w:val="18"/>
                <w:szCs w:val="18"/>
              </w:rPr>
              <w:t>Form 10-Q Cross-Reference Index</w:t>
            </w:r>
          </w:p>
        </w:tc>
        <w:tc>
          <w:tcPr>
            <w:tcW w:w="0" w:type="auto"/>
            <w:gridSpan w:val="3"/>
            <w:shd w:val="clear" w:color="auto" w:fill="auto"/>
            <w:tcMar>
              <w:top w:w="40" w:type="dxa"/>
              <w:left w:w="20" w:type="dxa"/>
              <w:bottom w:w="40" w:type="dxa"/>
              <w:right w:w="20" w:type="dxa"/>
            </w:tcMar>
            <w:vAlign w:val="bottom"/>
          </w:tcPr>
          <w:p w14:paraId="39D970FA" w14:textId="77777777" w:rsidR="00996AD7" w:rsidRDefault="00D96458">
            <w:pPr>
              <w:jc w:val="center"/>
              <w:textAlignment w:val="bottom"/>
            </w:pPr>
            <w:hyperlink r:id="rId26" w:anchor="i94e6cc3aa83643b8b968bd5bab038338_241" w:history="1">
              <w:r>
                <w:rPr>
                  <w:rStyle w:val="a5"/>
                  <w:rFonts w:ascii="Arial" w:eastAsia="宋体" w:hAnsi="Arial" w:cs="Arial"/>
                  <w:color w:val="262626"/>
                  <w:sz w:val="18"/>
                  <w:szCs w:val="18"/>
                  <w:u w:val="none"/>
                </w:rPr>
                <w:t>44</w:t>
              </w:r>
            </w:hyperlink>
          </w:p>
        </w:tc>
      </w:tr>
    </w:tbl>
    <w:p w14:paraId="39D970FC" w14:textId="77777777" w:rsidR="00996AD7" w:rsidRDefault="00996AD7">
      <w:pPr>
        <w:spacing w:after="180"/>
        <w:jc w:val="center"/>
      </w:pPr>
    </w:p>
    <w:p w14:paraId="39D970FD" w14:textId="77777777" w:rsidR="00996AD7" w:rsidRDefault="00996AD7">
      <w:pPr>
        <w:spacing w:after="180"/>
        <w:jc w:val="center"/>
      </w:pPr>
    </w:p>
    <w:p w14:paraId="39D970FE" w14:textId="77777777" w:rsidR="00996AD7" w:rsidRDefault="00996AD7">
      <w:pPr>
        <w:spacing w:after="180"/>
        <w:jc w:val="center"/>
      </w:pPr>
    </w:p>
    <w:p w14:paraId="39D970FF" w14:textId="77777777" w:rsidR="00996AD7" w:rsidRDefault="00996AD7">
      <w:pPr>
        <w:spacing w:after="180"/>
        <w:jc w:val="center"/>
      </w:pPr>
    </w:p>
    <w:p w14:paraId="39D97100" w14:textId="77777777" w:rsidR="00996AD7" w:rsidRDefault="00996AD7">
      <w:pPr>
        <w:spacing w:after="180"/>
        <w:jc w:val="center"/>
      </w:pPr>
    </w:p>
    <w:p w14:paraId="39D97101" w14:textId="77777777" w:rsidR="00996AD7" w:rsidRDefault="00996AD7">
      <w:pPr>
        <w:spacing w:after="180"/>
        <w:jc w:val="center"/>
      </w:pPr>
    </w:p>
    <w:p w14:paraId="39D97102" w14:textId="77777777" w:rsidR="00996AD7" w:rsidRDefault="00996AD7">
      <w:pPr>
        <w:spacing w:after="180"/>
      </w:pPr>
    </w:p>
    <w:p w14:paraId="39D97103" w14:textId="77777777" w:rsidR="00996AD7" w:rsidRDefault="00996AD7">
      <w:pPr>
        <w:spacing w:after="180"/>
        <w:ind w:hanging="180"/>
      </w:pPr>
    </w:p>
    <w:p w14:paraId="39D97104" w14:textId="77777777" w:rsidR="00996AD7" w:rsidRDefault="00996AD7">
      <w:pPr>
        <w:spacing w:after="180"/>
      </w:pPr>
    </w:p>
    <w:p w14:paraId="39D97105" w14:textId="77777777" w:rsidR="00996AD7" w:rsidRDefault="00D96458">
      <w:r>
        <w:pict w14:anchorId="39D9A38D">
          <v:rect id="_x0000_i1026" style="width:415.3pt;height:1.5pt" o:hralign="center" o:hrstd="t" o:hr="t" fillcolor="#a0a0a0" stroked="f"/>
        </w:pict>
      </w:r>
    </w:p>
    <w:p w14:paraId="39D97106" w14:textId="77777777" w:rsidR="00996AD7" w:rsidRDefault="00D96458">
      <w:pPr>
        <w:spacing w:after="180"/>
        <w:jc w:val="right"/>
      </w:pPr>
      <w:hyperlink r:id="rId27" w:anchor="i94e6cc3aa83643b8b968bd5bab038338_7" w:history="1">
        <w:r>
          <w:rPr>
            <w:rStyle w:val="a5"/>
            <w:rFonts w:ascii="Arial" w:eastAsia="宋体" w:hAnsi="Arial" w:cs="Arial"/>
            <w:b/>
            <w:bCs/>
            <w:color w:val="0068B5"/>
            <w:sz w:val="16"/>
            <w:szCs w:val="16"/>
          </w:rPr>
          <w:t>Table of Contents</w:t>
        </w:r>
      </w:hyperlink>
    </w:p>
    <w:p w14:paraId="39D97107" w14:textId="77777777" w:rsidR="00996AD7" w:rsidRDefault="00996AD7">
      <w:pPr>
        <w:spacing w:after="180"/>
        <w:jc w:val="right"/>
      </w:pPr>
    </w:p>
    <w:p w14:paraId="39D97108" w14:textId="77777777" w:rsidR="00996AD7" w:rsidRDefault="00D96458">
      <w:pPr>
        <w:spacing w:after="180"/>
      </w:pPr>
      <w:r>
        <w:rPr>
          <w:rFonts w:ascii="Arial" w:eastAsia="宋体" w:hAnsi="Arial" w:cs="Arial"/>
          <w:color w:val="0068B5"/>
          <w:sz w:val="28"/>
          <w:szCs w:val="28"/>
        </w:rPr>
        <w:t>Forward-Looking Statements</w:t>
      </w:r>
    </w:p>
    <w:p w14:paraId="39D97109" w14:textId="77777777" w:rsidR="00996AD7" w:rsidRDefault="00D96458">
      <w:pPr>
        <w:spacing w:after="180"/>
      </w:pPr>
      <w:r>
        <w:rPr>
          <w:rFonts w:ascii="Arial" w:eastAsia="宋体" w:hAnsi="Arial" w:cs="Arial"/>
          <w:color w:val="262626"/>
          <w:sz w:val="18"/>
          <w:szCs w:val="18"/>
        </w:rPr>
        <w:t>This Form 10-Q contains forward-looking statements that involve a number of risks and uncertainties. Words such as "anticipate," "expect," "intend," "plan," "goal," "forecast," "opportunity," "future," "scheduled," "pending," "to be," "believes," "estimate</w:t>
      </w:r>
      <w:r>
        <w:rPr>
          <w:rFonts w:ascii="Arial" w:eastAsia="宋体" w:hAnsi="Arial" w:cs="Arial"/>
          <w:color w:val="262626"/>
          <w:sz w:val="18"/>
          <w:szCs w:val="18"/>
        </w:rPr>
        <w:t>d," "continue," "likely," "may," "might," "potentially," "will," "would," "should," "could," “accelerate,” "upcoming," "next-generation," "roadmap," "position," and variations of such words and similar expressions are intended to identify such forward-look</w:t>
      </w:r>
      <w:r>
        <w:rPr>
          <w:rFonts w:ascii="Arial" w:eastAsia="宋体" w:hAnsi="Arial" w:cs="Arial"/>
          <w:color w:val="262626"/>
          <w:sz w:val="18"/>
          <w:szCs w:val="18"/>
        </w:rPr>
        <w:t>ing statements. In addition, any statements that refer to Intel’s strategy; manufacturing expansion plans; investment plans, and impacts of investment plans; future responses to and effects of COVID-19; projections of our future financial performance, incl</w:t>
      </w:r>
      <w:r>
        <w:rPr>
          <w:rFonts w:ascii="Arial" w:eastAsia="宋体" w:hAnsi="Arial" w:cs="Arial"/>
          <w:color w:val="262626"/>
          <w:sz w:val="18"/>
          <w:szCs w:val="18"/>
        </w:rPr>
        <w:t>uding future gross margins, capital expenditures, and cash flows; projections of future demand, including the impact of regulatory changes and conditions; our anticipated growth and trends in our businesses or operations; projected growth and trends in mar</w:t>
      </w:r>
      <w:r>
        <w:rPr>
          <w:rFonts w:ascii="Arial" w:eastAsia="宋体" w:hAnsi="Arial" w:cs="Arial"/>
          <w:color w:val="262626"/>
          <w:sz w:val="18"/>
          <w:szCs w:val="18"/>
        </w:rPr>
        <w:t xml:space="preserve">kets relevant to our businesses; business plans; future products and technology and the expected availability and benefits of such products and technology, including future process nodes and technologies, future product architectures, our announcements at </w:t>
      </w:r>
      <w:r>
        <w:rPr>
          <w:rFonts w:ascii="Arial" w:eastAsia="宋体" w:hAnsi="Arial" w:cs="Arial"/>
          <w:color w:val="262626"/>
          <w:sz w:val="18"/>
          <w:szCs w:val="18"/>
        </w:rPr>
        <w:t>our Intel Accelerated and Architecture Day events, and process technology and product leadership goals; expected timing and impact of acquisitions, divestitures, and other significant transactions, including statements relating to the pending divestiture o</w:t>
      </w:r>
      <w:r>
        <w:rPr>
          <w:rFonts w:ascii="Arial" w:eastAsia="宋体" w:hAnsi="Arial" w:cs="Arial"/>
          <w:color w:val="262626"/>
          <w:sz w:val="18"/>
          <w:szCs w:val="18"/>
        </w:rPr>
        <w:t>f our NAND memory business to SK hynix Inc. (SK hynix), NAND manufacturing and supply arrangements between Intel and SK hynix, and expected additions to held for sale NAND property, plant and equipment; availability, uses, sufficiency, and cost of capital,</w:t>
      </w:r>
      <w:r>
        <w:rPr>
          <w:rFonts w:ascii="Arial" w:eastAsia="宋体" w:hAnsi="Arial" w:cs="Arial"/>
          <w:color w:val="262626"/>
          <w:sz w:val="18"/>
          <w:szCs w:val="18"/>
        </w:rPr>
        <w:t xml:space="preserve"> capital resources, and funding sources, including expected returns to stockholders such as dividends; accounting estimates and judgments regarding reported matters, events, and contingencies and our intentions with respect to such matters, events, and con</w:t>
      </w:r>
      <w:r>
        <w:rPr>
          <w:rFonts w:ascii="Arial" w:eastAsia="宋体" w:hAnsi="Arial" w:cs="Arial"/>
          <w:color w:val="262626"/>
          <w:sz w:val="18"/>
          <w:szCs w:val="18"/>
        </w:rPr>
        <w:t>tingencies, and the actual results thereof; future production capacity and product supply; anticipated trends and impacts related to industry component and substrate shortages; the future purchase, use, and availability of, and payment for, products, compo</w:t>
      </w:r>
      <w:r>
        <w:rPr>
          <w:rFonts w:ascii="Arial" w:eastAsia="宋体" w:hAnsi="Arial" w:cs="Arial"/>
          <w:color w:val="262626"/>
          <w:sz w:val="18"/>
          <w:szCs w:val="18"/>
        </w:rPr>
        <w:t>nents and services supplied by third parties; tax-related expectations; our role in the Rapid Assured Microelectronics Prototypes - Commercial program; expectations regarding our relationships with certain sanctioned parties; uncertain events or assumption</w:t>
      </w:r>
      <w:r>
        <w:rPr>
          <w:rFonts w:ascii="Arial" w:eastAsia="宋体" w:hAnsi="Arial" w:cs="Arial"/>
          <w:color w:val="262626"/>
          <w:sz w:val="18"/>
          <w:szCs w:val="18"/>
        </w:rPr>
        <w:t>s; and other characterizations of future events or circumstances are forward-looking statements. Such statements are based on management's expectations as of the date of this filing, unless an earlier date is specified, and involve many risks and uncertain</w:t>
      </w:r>
      <w:r>
        <w:rPr>
          <w:rFonts w:ascii="Arial" w:eastAsia="宋体" w:hAnsi="Arial" w:cs="Arial"/>
          <w:color w:val="262626"/>
          <w:sz w:val="18"/>
          <w:szCs w:val="18"/>
        </w:rPr>
        <w:t>ties that could cause our actual results to differ materially from those expressed or implied in our forward-looking statements. Such risks and uncertainties include those described throughout this report, our 2020 Form 10-K and subsequent Form 10-Qs, part</w:t>
      </w:r>
      <w:r>
        <w:rPr>
          <w:rFonts w:ascii="Arial" w:eastAsia="宋体" w:hAnsi="Arial" w:cs="Arial"/>
          <w:color w:val="262626"/>
          <w:sz w:val="18"/>
          <w:szCs w:val="18"/>
        </w:rPr>
        <w:t>icularly the "Risk Factors" sections of such reports, and our other SEC filings. Given these risks and uncertainties, readers are cautioned not to place undue reliance on such forward-looking statements. Readers are urged to carefully review and consider t</w:t>
      </w:r>
      <w:r>
        <w:rPr>
          <w:rFonts w:ascii="Arial" w:eastAsia="宋体" w:hAnsi="Arial" w:cs="Arial"/>
          <w:color w:val="262626"/>
          <w:sz w:val="18"/>
          <w:szCs w:val="18"/>
        </w:rPr>
        <w:t xml:space="preserve">he various disclosures made in this Form 10-Q and in other documents we file from time to time with the SEC that disclose risks and uncertainties that may affect our business. Unless specifically indicated otherwise, the forward-looking statements in this </w:t>
      </w:r>
      <w:r>
        <w:rPr>
          <w:rFonts w:ascii="Arial" w:eastAsia="宋体" w:hAnsi="Arial" w:cs="Arial"/>
          <w:color w:val="262626"/>
          <w:sz w:val="18"/>
          <w:szCs w:val="18"/>
        </w:rPr>
        <w:t>Form 10-Q do not reflect the potential impact of any divestitures, mergers, acquisitions, or other business combinations that have not been completed as of the date of this filing. In addition, the forward-looking statements in this Form 10-Q are made as o</w:t>
      </w:r>
      <w:r>
        <w:rPr>
          <w:rFonts w:ascii="Arial" w:eastAsia="宋体" w:hAnsi="Arial" w:cs="Arial"/>
          <w:color w:val="262626"/>
          <w:sz w:val="18"/>
          <w:szCs w:val="18"/>
        </w:rPr>
        <w:t>f the date of this filing, unless an earlier date is specified, including expectations based on third-party information and projections that management believes to be reputable, and Intel does not undertake, and expressly disclaims any duty, to update such</w:t>
      </w:r>
      <w:r>
        <w:rPr>
          <w:rFonts w:ascii="Arial" w:eastAsia="宋体" w:hAnsi="Arial" w:cs="Arial"/>
          <w:color w:val="262626"/>
          <w:sz w:val="18"/>
          <w:szCs w:val="18"/>
        </w:rPr>
        <w:t xml:space="preserve"> statements, whether as a result of new information, new developments, or otherwise, except to the extent that disclosure may be required by law.</w:t>
      </w:r>
    </w:p>
    <w:p w14:paraId="39D9710A" w14:textId="77777777" w:rsidR="00996AD7" w:rsidRDefault="00996AD7">
      <w:pPr>
        <w:spacing w:after="180"/>
      </w:pPr>
    </w:p>
    <w:p w14:paraId="39D9710B" w14:textId="77777777" w:rsidR="00996AD7" w:rsidRDefault="00996AD7">
      <w:pPr>
        <w:spacing w:after="180"/>
      </w:pPr>
    </w:p>
    <w:p w14:paraId="39D9710C" w14:textId="77777777" w:rsidR="00996AD7" w:rsidRDefault="00996AD7">
      <w:pPr>
        <w:spacing w:after="180"/>
      </w:pPr>
    </w:p>
    <w:p w14:paraId="39D9710D" w14:textId="77777777" w:rsidR="00996AD7" w:rsidRDefault="00996AD7">
      <w:pPr>
        <w:spacing w:before="120" w:after="180"/>
        <w:jc w:val="center"/>
      </w:pPr>
    </w:p>
    <w:p w14:paraId="39D9710E" w14:textId="77777777" w:rsidR="00996AD7" w:rsidRDefault="00996AD7">
      <w:pPr>
        <w:spacing w:after="180"/>
      </w:pPr>
    </w:p>
    <w:p w14:paraId="39D9710F" w14:textId="77777777" w:rsidR="00996AD7" w:rsidRDefault="00996AD7">
      <w:pPr>
        <w:spacing w:after="180"/>
      </w:pPr>
    </w:p>
    <w:p w14:paraId="39D97110" w14:textId="77777777" w:rsidR="00996AD7" w:rsidRDefault="00996AD7">
      <w:pPr>
        <w:spacing w:after="180"/>
      </w:pPr>
    </w:p>
    <w:p w14:paraId="39D97111" w14:textId="77777777" w:rsidR="00996AD7" w:rsidRDefault="00996AD7">
      <w:pPr>
        <w:spacing w:after="180"/>
      </w:pPr>
    </w:p>
    <w:p w14:paraId="39D97112" w14:textId="77777777" w:rsidR="00996AD7" w:rsidRDefault="00996AD7">
      <w:pPr>
        <w:spacing w:after="180"/>
      </w:pPr>
    </w:p>
    <w:p w14:paraId="39D97113" w14:textId="77777777" w:rsidR="00996AD7" w:rsidRDefault="00996AD7">
      <w:pPr>
        <w:spacing w:after="180"/>
      </w:pPr>
    </w:p>
    <w:p w14:paraId="39D97114" w14:textId="77777777" w:rsidR="00996AD7" w:rsidRDefault="00996AD7">
      <w:pPr>
        <w:spacing w:after="180"/>
      </w:pPr>
    </w:p>
    <w:p w14:paraId="39D97115" w14:textId="77777777" w:rsidR="00996AD7" w:rsidRDefault="00996AD7">
      <w:pPr>
        <w:spacing w:after="180"/>
      </w:pPr>
    </w:p>
    <w:p w14:paraId="39D97116" w14:textId="77777777" w:rsidR="00996AD7" w:rsidRDefault="00996AD7">
      <w:pPr>
        <w:spacing w:after="180"/>
      </w:pPr>
    </w:p>
    <w:p w14:paraId="39D97117" w14:textId="77777777" w:rsidR="00996AD7" w:rsidRDefault="00996AD7">
      <w:pPr>
        <w:spacing w:after="180"/>
      </w:pPr>
    </w:p>
    <w:p w14:paraId="39D97118" w14:textId="77777777" w:rsidR="00996AD7" w:rsidRDefault="00996AD7">
      <w:pPr>
        <w:spacing w:after="180"/>
      </w:pPr>
    </w:p>
    <w:p w14:paraId="39D97119" w14:textId="77777777" w:rsidR="00996AD7" w:rsidRDefault="00D96458">
      <w:pPr>
        <w:spacing w:after="180"/>
      </w:pPr>
      <w:r>
        <w:rPr>
          <w:rFonts w:ascii="Arial" w:eastAsia="宋体" w:hAnsi="Arial" w:cs="Arial"/>
          <w:i/>
          <w:iCs/>
          <w:color w:val="262626"/>
          <w:sz w:val="16"/>
          <w:szCs w:val="16"/>
        </w:rPr>
        <w:t xml:space="preserve">Intel, the Intel logo, Intel Core, Intel Evo, Intel Optane, and Xeon are trademarks of Intel Corporation or its subsidiaries in the U.S. and/or other countries. </w:t>
      </w:r>
    </w:p>
    <w:p w14:paraId="39D9711A" w14:textId="77777777" w:rsidR="00996AD7" w:rsidRDefault="00D96458">
      <w:pPr>
        <w:spacing w:after="180"/>
      </w:pPr>
      <w:r>
        <w:rPr>
          <w:rFonts w:ascii="Arial" w:eastAsia="宋体" w:hAnsi="Arial" w:cs="Arial"/>
          <w:i/>
          <w:iCs/>
          <w:color w:val="262626"/>
          <w:sz w:val="16"/>
          <w:szCs w:val="16"/>
        </w:rPr>
        <w:t>* Other names and brands may be claimed as the property of others.</w:t>
      </w:r>
    </w:p>
    <w:tbl>
      <w:tblPr>
        <w:tblW w:w="5000" w:type="pct"/>
        <w:tblCellMar>
          <w:top w:w="15" w:type="dxa"/>
          <w:left w:w="15" w:type="dxa"/>
          <w:bottom w:w="15" w:type="dxa"/>
          <w:right w:w="15" w:type="dxa"/>
        </w:tblCellMar>
        <w:tblLook w:val="04A0" w:firstRow="1" w:lastRow="0" w:firstColumn="1" w:lastColumn="0" w:noHBand="0" w:noVBand="1"/>
      </w:tblPr>
      <w:tblGrid>
        <w:gridCol w:w="69"/>
        <w:gridCol w:w="2478"/>
        <w:gridCol w:w="36"/>
        <w:gridCol w:w="70"/>
        <w:gridCol w:w="2491"/>
        <w:gridCol w:w="36"/>
        <w:gridCol w:w="70"/>
        <w:gridCol w:w="3050"/>
        <w:gridCol w:w="36"/>
      </w:tblGrid>
      <w:tr w:rsidR="00996AD7" w14:paraId="39D97124" w14:textId="77777777">
        <w:tc>
          <w:tcPr>
            <w:tcW w:w="50" w:type="pct"/>
            <w:shd w:val="clear" w:color="auto" w:fill="auto"/>
            <w:vAlign w:val="bottom"/>
          </w:tcPr>
          <w:p w14:paraId="39D9711B" w14:textId="77777777" w:rsidR="00996AD7" w:rsidRDefault="00996AD7">
            <w:pPr>
              <w:rPr>
                <w:rFonts w:ascii="宋体"/>
              </w:rPr>
            </w:pPr>
          </w:p>
        </w:tc>
        <w:tc>
          <w:tcPr>
            <w:tcW w:w="1495" w:type="pct"/>
            <w:shd w:val="clear" w:color="auto" w:fill="auto"/>
            <w:vAlign w:val="bottom"/>
          </w:tcPr>
          <w:p w14:paraId="39D9711C" w14:textId="77777777" w:rsidR="00996AD7" w:rsidRDefault="00996AD7">
            <w:pPr>
              <w:rPr>
                <w:rFonts w:ascii="宋体"/>
              </w:rPr>
            </w:pPr>
          </w:p>
        </w:tc>
        <w:tc>
          <w:tcPr>
            <w:tcW w:w="5" w:type="pct"/>
            <w:shd w:val="clear" w:color="auto" w:fill="auto"/>
            <w:vAlign w:val="bottom"/>
          </w:tcPr>
          <w:p w14:paraId="39D9711D" w14:textId="77777777" w:rsidR="00996AD7" w:rsidRDefault="00996AD7">
            <w:pPr>
              <w:rPr>
                <w:rFonts w:ascii="宋体"/>
              </w:rPr>
            </w:pPr>
          </w:p>
        </w:tc>
        <w:tc>
          <w:tcPr>
            <w:tcW w:w="50" w:type="pct"/>
            <w:shd w:val="clear" w:color="auto" w:fill="auto"/>
            <w:vAlign w:val="bottom"/>
          </w:tcPr>
          <w:p w14:paraId="39D9711E" w14:textId="77777777" w:rsidR="00996AD7" w:rsidRDefault="00996AD7">
            <w:pPr>
              <w:rPr>
                <w:rFonts w:ascii="宋体"/>
              </w:rPr>
            </w:pPr>
          </w:p>
        </w:tc>
        <w:tc>
          <w:tcPr>
            <w:tcW w:w="1502" w:type="pct"/>
            <w:shd w:val="clear" w:color="auto" w:fill="auto"/>
            <w:vAlign w:val="bottom"/>
          </w:tcPr>
          <w:p w14:paraId="39D9711F" w14:textId="77777777" w:rsidR="00996AD7" w:rsidRDefault="00996AD7">
            <w:pPr>
              <w:rPr>
                <w:rFonts w:ascii="宋体"/>
              </w:rPr>
            </w:pPr>
          </w:p>
        </w:tc>
        <w:tc>
          <w:tcPr>
            <w:tcW w:w="5" w:type="pct"/>
            <w:shd w:val="clear" w:color="auto" w:fill="auto"/>
            <w:vAlign w:val="bottom"/>
          </w:tcPr>
          <w:p w14:paraId="39D97120" w14:textId="77777777" w:rsidR="00996AD7" w:rsidRDefault="00996AD7">
            <w:pPr>
              <w:rPr>
                <w:rFonts w:ascii="宋体"/>
              </w:rPr>
            </w:pPr>
          </w:p>
        </w:tc>
        <w:tc>
          <w:tcPr>
            <w:tcW w:w="50" w:type="pct"/>
            <w:shd w:val="clear" w:color="auto" w:fill="auto"/>
            <w:vAlign w:val="bottom"/>
          </w:tcPr>
          <w:p w14:paraId="39D97121" w14:textId="77777777" w:rsidR="00996AD7" w:rsidRDefault="00996AD7">
            <w:pPr>
              <w:rPr>
                <w:rFonts w:ascii="宋体"/>
              </w:rPr>
            </w:pPr>
          </w:p>
        </w:tc>
        <w:tc>
          <w:tcPr>
            <w:tcW w:w="1837" w:type="pct"/>
            <w:shd w:val="clear" w:color="auto" w:fill="auto"/>
            <w:vAlign w:val="bottom"/>
          </w:tcPr>
          <w:p w14:paraId="39D97122" w14:textId="77777777" w:rsidR="00996AD7" w:rsidRDefault="00996AD7">
            <w:pPr>
              <w:rPr>
                <w:rFonts w:ascii="宋体"/>
              </w:rPr>
            </w:pPr>
          </w:p>
        </w:tc>
        <w:tc>
          <w:tcPr>
            <w:tcW w:w="5" w:type="pct"/>
            <w:shd w:val="clear" w:color="auto" w:fill="auto"/>
            <w:vAlign w:val="bottom"/>
          </w:tcPr>
          <w:p w14:paraId="39D97123" w14:textId="77777777" w:rsidR="00996AD7" w:rsidRDefault="00996AD7">
            <w:pPr>
              <w:rPr>
                <w:rFonts w:ascii="宋体"/>
              </w:rPr>
            </w:pPr>
          </w:p>
        </w:tc>
      </w:tr>
      <w:tr w:rsidR="00996AD7" w14:paraId="39D9712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125"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8E" wp14:editId="39D9A38F">
                  <wp:extent cx="304800" cy="304800"/>
                  <wp:effectExtent l="0" t="0" r="0" b="0"/>
                  <wp:docPr id="44" name="图片 3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7"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126"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127" w14:textId="77777777" w:rsidR="00996AD7" w:rsidRDefault="00D96458">
            <w:pPr>
              <w:jc w:val="right"/>
              <w:textAlignment w:val="bottom"/>
            </w:pPr>
            <w:r>
              <w:rPr>
                <w:rFonts w:ascii="Arial" w:eastAsia="宋体" w:hAnsi="Arial" w:cs="Arial"/>
                <w:color w:val="262626"/>
                <w:sz w:val="16"/>
                <w:szCs w:val="16"/>
              </w:rPr>
              <w:t>1</w:t>
            </w:r>
          </w:p>
        </w:tc>
      </w:tr>
    </w:tbl>
    <w:p w14:paraId="39D97129" w14:textId="77777777" w:rsidR="00996AD7" w:rsidRDefault="00D96458">
      <w:r>
        <w:pict w14:anchorId="39D9A390">
          <v:rect id="_x0000_i1027" style="width:415.3pt;height:1.5pt" o:hralign="center" o:hrstd="t" o:hr="t" fillcolor="#a0a0a0" stroked="f"/>
        </w:pict>
      </w:r>
    </w:p>
    <w:p w14:paraId="39D9712A" w14:textId="77777777" w:rsidR="00996AD7" w:rsidRDefault="00D96458">
      <w:pPr>
        <w:spacing w:after="180"/>
        <w:jc w:val="right"/>
      </w:pPr>
      <w:hyperlink r:id="rId28" w:anchor="i94e6cc3aa83643b8b968bd5bab038338_7" w:history="1">
        <w:r>
          <w:rPr>
            <w:rStyle w:val="a5"/>
            <w:rFonts w:ascii="Arial" w:eastAsia="宋体" w:hAnsi="Arial" w:cs="Arial"/>
            <w:b/>
            <w:bCs/>
            <w:color w:val="0068B5"/>
            <w:sz w:val="16"/>
            <w:szCs w:val="16"/>
          </w:rPr>
          <w:t>Table of Contents</w:t>
        </w:r>
      </w:hyperlink>
    </w:p>
    <w:p w14:paraId="39D9712B"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96AD7" w14:paraId="39D97132" w14:textId="77777777">
        <w:tc>
          <w:tcPr>
            <w:tcW w:w="50" w:type="pct"/>
            <w:shd w:val="clear" w:color="auto" w:fill="auto"/>
            <w:vAlign w:val="bottom"/>
          </w:tcPr>
          <w:p w14:paraId="39D9712C" w14:textId="77777777" w:rsidR="00996AD7" w:rsidRDefault="00996AD7">
            <w:pPr>
              <w:rPr>
                <w:rFonts w:ascii="宋体"/>
              </w:rPr>
            </w:pPr>
          </w:p>
        </w:tc>
        <w:tc>
          <w:tcPr>
            <w:tcW w:w="4870" w:type="pct"/>
            <w:shd w:val="clear" w:color="auto" w:fill="auto"/>
            <w:vAlign w:val="bottom"/>
          </w:tcPr>
          <w:p w14:paraId="39D9712D" w14:textId="77777777" w:rsidR="00996AD7" w:rsidRDefault="00996AD7">
            <w:pPr>
              <w:rPr>
                <w:rFonts w:ascii="宋体"/>
              </w:rPr>
            </w:pPr>
          </w:p>
        </w:tc>
        <w:tc>
          <w:tcPr>
            <w:tcW w:w="5" w:type="pct"/>
            <w:shd w:val="clear" w:color="auto" w:fill="auto"/>
            <w:vAlign w:val="bottom"/>
          </w:tcPr>
          <w:p w14:paraId="39D9712E" w14:textId="77777777" w:rsidR="00996AD7" w:rsidRDefault="00996AD7">
            <w:pPr>
              <w:rPr>
                <w:rFonts w:ascii="宋体"/>
              </w:rPr>
            </w:pPr>
          </w:p>
        </w:tc>
        <w:tc>
          <w:tcPr>
            <w:tcW w:w="5" w:type="pct"/>
            <w:shd w:val="clear" w:color="auto" w:fill="auto"/>
            <w:vAlign w:val="bottom"/>
          </w:tcPr>
          <w:p w14:paraId="39D9712F" w14:textId="77777777" w:rsidR="00996AD7" w:rsidRDefault="00996AD7">
            <w:pPr>
              <w:rPr>
                <w:rFonts w:ascii="宋体"/>
              </w:rPr>
            </w:pPr>
          </w:p>
        </w:tc>
        <w:tc>
          <w:tcPr>
            <w:tcW w:w="64" w:type="pct"/>
            <w:shd w:val="clear" w:color="auto" w:fill="auto"/>
            <w:vAlign w:val="bottom"/>
          </w:tcPr>
          <w:p w14:paraId="39D97130" w14:textId="77777777" w:rsidR="00996AD7" w:rsidRDefault="00996AD7">
            <w:pPr>
              <w:rPr>
                <w:rFonts w:ascii="宋体"/>
              </w:rPr>
            </w:pPr>
          </w:p>
        </w:tc>
        <w:tc>
          <w:tcPr>
            <w:tcW w:w="5" w:type="pct"/>
            <w:shd w:val="clear" w:color="auto" w:fill="auto"/>
            <w:vAlign w:val="bottom"/>
          </w:tcPr>
          <w:p w14:paraId="39D97131" w14:textId="77777777" w:rsidR="00996AD7" w:rsidRDefault="00996AD7">
            <w:pPr>
              <w:rPr>
                <w:rFonts w:ascii="宋体"/>
              </w:rPr>
            </w:pPr>
          </w:p>
        </w:tc>
      </w:tr>
      <w:tr w:rsidR="00996AD7" w14:paraId="39D97135" w14:textId="77777777">
        <w:tc>
          <w:tcPr>
            <w:tcW w:w="0" w:type="auto"/>
            <w:gridSpan w:val="3"/>
            <w:shd w:val="clear" w:color="auto" w:fill="004A86"/>
            <w:tcMar>
              <w:top w:w="40" w:type="dxa"/>
              <w:left w:w="20" w:type="dxa"/>
              <w:bottom w:w="40" w:type="dxa"/>
              <w:right w:w="20" w:type="dxa"/>
            </w:tcMar>
            <w:vAlign w:val="center"/>
          </w:tcPr>
          <w:p w14:paraId="39D97133" w14:textId="77777777" w:rsidR="00996AD7" w:rsidRDefault="00D96458">
            <w:pPr>
              <w:textAlignment w:val="center"/>
            </w:pPr>
            <w:r>
              <w:rPr>
                <w:rFonts w:ascii="Arial" w:eastAsia="宋体" w:hAnsi="Arial" w:cs="Arial"/>
                <w:color w:val="FFFFFF"/>
                <w:sz w:val="36"/>
                <w:szCs w:val="36"/>
              </w:rPr>
              <w:t>A Quarter in Review</w:t>
            </w:r>
          </w:p>
        </w:tc>
        <w:tc>
          <w:tcPr>
            <w:tcW w:w="0" w:type="auto"/>
            <w:gridSpan w:val="3"/>
            <w:shd w:val="clear" w:color="auto" w:fill="auto"/>
            <w:tcMar>
              <w:top w:w="0" w:type="dxa"/>
              <w:left w:w="20" w:type="dxa"/>
              <w:bottom w:w="0" w:type="dxa"/>
              <w:right w:w="20" w:type="dxa"/>
            </w:tcMar>
            <w:vAlign w:val="bottom"/>
          </w:tcPr>
          <w:p w14:paraId="39D97134" w14:textId="77777777" w:rsidR="00996AD7" w:rsidRDefault="00996AD7">
            <w:pPr>
              <w:rPr>
                <w:rFonts w:ascii="宋体"/>
              </w:rPr>
            </w:pPr>
          </w:p>
        </w:tc>
      </w:tr>
      <w:tr w:rsidR="00996AD7" w14:paraId="39D97138" w14:textId="77777777">
        <w:trPr>
          <w:trHeight w:val="160"/>
        </w:trPr>
        <w:tc>
          <w:tcPr>
            <w:tcW w:w="0" w:type="auto"/>
            <w:gridSpan w:val="3"/>
            <w:shd w:val="clear" w:color="auto" w:fill="auto"/>
            <w:tcMar>
              <w:top w:w="0" w:type="dxa"/>
              <w:left w:w="20" w:type="dxa"/>
              <w:bottom w:w="0" w:type="dxa"/>
              <w:right w:w="20" w:type="dxa"/>
            </w:tcMar>
            <w:vAlign w:val="bottom"/>
          </w:tcPr>
          <w:p w14:paraId="39D97136" w14:textId="77777777" w:rsidR="00996AD7" w:rsidRDefault="00996AD7">
            <w:pPr>
              <w:rPr>
                <w:rFonts w:ascii="宋体"/>
              </w:rPr>
            </w:pPr>
          </w:p>
        </w:tc>
        <w:tc>
          <w:tcPr>
            <w:tcW w:w="0" w:type="auto"/>
            <w:gridSpan w:val="3"/>
            <w:shd w:val="clear" w:color="auto" w:fill="00A3F6"/>
            <w:tcMar>
              <w:top w:w="0" w:type="dxa"/>
              <w:left w:w="20" w:type="dxa"/>
              <w:bottom w:w="0" w:type="dxa"/>
              <w:right w:w="20" w:type="dxa"/>
            </w:tcMar>
            <w:vAlign w:val="bottom"/>
          </w:tcPr>
          <w:p w14:paraId="39D97137" w14:textId="77777777" w:rsidR="00996AD7" w:rsidRDefault="00996AD7">
            <w:pPr>
              <w:rPr>
                <w:rFonts w:ascii="宋体"/>
              </w:rPr>
            </w:pPr>
          </w:p>
        </w:tc>
      </w:tr>
    </w:tbl>
    <w:p w14:paraId="39D97139" w14:textId="77777777" w:rsidR="00996AD7" w:rsidRDefault="00D96458">
      <w:pPr>
        <w:spacing w:after="180"/>
      </w:pPr>
      <w:r>
        <w:rPr>
          <w:rFonts w:ascii="Arial" w:eastAsia="宋体" w:hAnsi="Arial" w:cs="Arial"/>
          <w:color w:val="262626"/>
          <w:sz w:val="18"/>
          <w:szCs w:val="18"/>
        </w:rPr>
        <w:t>Total revenue of $19.2 billion was up $859 million year over year as DCG grew 10% and CCG decreased 2%. DCG revenue increased on higher platform volume and higher platform ASPs due to strong recovery in enterprise and government, and stronger core mix, par</w:t>
      </w:r>
      <w:r>
        <w:rPr>
          <w:rFonts w:ascii="Arial" w:eastAsia="宋体" w:hAnsi="Arial" w:cs="Arial"/>
          <w:color w:val="262626"/>
          <w:sz w:val="18"/>
          <w:szCs w:val="18"/>
        </w:rPr>
        <w:t>tially offset by lower revenue in the cloud service providers market segment compared to a strong, COVID-driven Q3 2020. CCG revenue was down due to lower notebook volume in consumer and education due to industry-wide component shortages, and down on adjac</w:t>
      </w:r>
      <w:r>
        <w:rPr>
          <w:rFonts w:ascii="Arial" w:eastAsia="宋体" w:hAnsi="Arial" w:cs="Arial"/>
          <w:color w:val="262626"/>
          <w:sz w:val="18"/>
          <w:szCs w:val="18"/>
        </w:rPr>
        <w:t>ent revenue primarily driven by continued ramp down of our 5G smartphone modem business, partially offset by higher platform ASPs and by increased desktop volume. IOTG and Mobileye were both up primarily on higher demand amid recovery from the economic imp</w:t>
      </w:r>
      <w:r>
        <w:rPr>
          <w:rFonts w:ascii="Arial" w:eastAsia="宋体" w:hAnsi="Arial" w:cs="Arial"/>
          <w:color w:val="262626"/>
          <w:sz w:val="18"/>
          <w:szCs w:val="18"/>
        </w:rPr>
        <w:t xml:space="preserve">acts of COVID-19. </w:t>
      </w:r>
    </w:p>
    <w:tbl>
      <w:tblPr>
        <w:tblW w:w="10965" w:type="dxa"/>
        <w:tblCellMar>
          <w:top w:w="15" w:type="dxa"/>
          <w:left w:w="15" w:type="dxa"/>
          <w:bottom w:w="15" w:type="dxa"/>
          <w:right w:w="15" w:type="dxa"/>
        </w:tblCellMar>
        <w:tblLook w:val="04A0" w:firstRow="1" w:lastRow="0" w:firstColumn="1" w:lastColumn="0" w:noHBand="0" w:noVBand="1"/>
      </w:tblPr>
      <w:tblGrid>
        <w:gridCol w:w="36"/>
        <w:gridCol w:w="2588"/>
        <w:gridCol w:w="36"/>
        <w:gridCol w:w="36"/>
        <w:gridCol w:w="36"/>
        <w:gridCol w:w="36"/>
        <w:gridCol w:w="36"/>
        <w:gridCol w:w="2591"/>
        <w:gridCol w:w="36"/>
        <w:gridCol w:w="36"/>
        <w:gridCol w:w="36"/>
        <w:gridCol w:w="36"/>
        <w:gridCol w:w="36"/>
        <w:gridCol w:w="2588"/>
        <w:gridCol w:w="36"/>
        <w:gridCol w:w="36"/>
        <w:gridCol w:w="36"/>
        <w:gridCol w:w="36"/>
        <w:gridCol w:w="36"/>
        <w:gridCol w:w="2586"/>
        <w:gridCol w:w="36"/>
      </w:tblGrid>
      <w:tr w:rsidR="00996AD7" w14:paraId="39D9714F" w14:textId="77777777">
        <w:tc>
          <w:tcPr>
            <w:tcW w:w="20" w:type="dxa"/>
            <w:shd w:val="clear" w:color="auto" w:fill="auto"/>
            <w:vAlign w:val="bottom"/>
          </w:tcPr>
          <w:p w14:paraId="39D9713A" w14:textId="77777777" w:rsidR="00996AD7" w:rsidRDefault="00996AD7">
            <w:pPr>
              <w:rPr>
                <w:rFonts w:ascii="宋体"/>
              </w:rPr>
            </w:pPr>
          </w:p>
        </w:tc>
        <w:tc>
          <w:tcPr>
            <w:tcW w:w="2645" w:type="dxa"/>
            <w:shd w:val="clear" w:color="auto" w:fill="auto"/>
            <w:vAlign w:val="bottom"/>
          </w:tcPr>
          <w:p w14:paraId="39D9713B" w14:textId="77777777" w:rsidR="00996AD7" w:rsidRDefault="00996AD7">
            <w:pPr>
              <w:rPr>
                <w:rFonts w:ascii="宋体"/>
              </w:rPr>
            </w:pPr>
          </w:p>
        </w:tc>
        <w:tc>
          <w:tcPr>
            <w:tcW w:w="20" w:type="dxa"/>
            <w:shd w:val="clear" w:color="auto" w:fill="auto"/>
            <w:vAlign w:val="bottom"/>
          </w:tcPr>
          <w:p w14:paraId="39D9713C" w14:textId="77777777" w:rsidR="00996AD7" w:rsidRDefault="00996AD7">
            <w:pPr>
              <w:rPr>
                <w:rFonts w:ascii="宋体"/>
              </w:rPr>
            </w:pPr>
          </w:p>
        </w:tc>
        <w:tc>
          <w:tcPr>
            <w:tcW w:w="20" w:type="dxa"/>
            <w:shd w:val="clear" w:color="auto" w:fill="auto"/>
            <w:vAlign w:val="bottom"/>
          </w:tcPr>
          <w:p w14:paraId="39D9713D" w14:textId="77777777" w:rsidR="00996AD7" w:rsidRDefault="00996AD7">
            <w:pPr>
              <w:rPr>
                <w:rFonts w:ascii="宋体"/>
              </w:rPr>
            </w:pPr>
          </w:p>
        </w:tc>
        <w:tc>
          <w:tcPr>
            <w:tcW w:w="35" w:type="dxa"/>
            <w:shd w:val="clear" w:color="auto" w:fill="auto"/>
            <w:vAlign w:val="bottom"/>
          </w:tcPr>
          <w:p w14:paraId="39D9713E" w14:textId="77777777" w:rsidR="00996AD7" w:rsidRDefault="00996AD7">
            <w:pPr>
              <w:rPr>
                <w:rFonts w:ascii="宋体"/>
              </w:rPr>
            </w:pPr>
          </w:p>
        </w:tc>
        <w:tc>
          <w:tcPr>
            <w:tcW w:w="20" w:type="dxa"/>
            <w:shd w:val="clear" w:color="auto" w:fill="auto"/>
            <w:vAlign w:val="bottom"/>
          </w:tcPr>
          <w:p w14:paraId="39D9713F" w14:textId="77777777" w:rsidR="00996AD7" w:rsidRDefault="00996AD7">
            <w:pPr>
              <w:rPr>
                <w:rFonts w:ascii="宋体"/>
              </w:rPr>
            </w:pPr>
          </w:p>
        </w:tc>
        <w:tc>
          <w:tcPr>
            <w:tcW w:w="20" w:type="dxa"/>
            <w:shd w:val="clear" w:color="auto" w:fill="auto"/>
            <w:vAlign w:val="bottom"/>
          </w:tcPr>
          <w:p w14:paraId="39D97140" w14:textId="77777777" w:rsidR="00996AD7" w:rsidRDefault="00996AD7">
            <w:pPr>
              <w:rPr>
                <w:rFonts w:ascii="宋体"/>
              </w:rPr>
            </w:pPr>
          </w:p>
        </w:tc>
        <w:tc>
          <w:tcPr>
            <w:tcW w:w="2645" w:type="dxa"/>
            <w:shd w:val="clear" w:color="auto" w:fill="auto"/>
            <w:vAlign w:val="bottom"/>
          </w:tcPr>
          <w:p w14:paraId="39D97141" w14:textId="77777777" w:rsidR="00996AD7" w:rsidRDefault="00996AD7">
            <w:pPr>
              <w:rPr>
                <w:rFonts w:ascii="宋体"/>
              </w:rPr>
            </w:pPr>
          </w:p>
        </w:tc>
        <w:tc>
          <w:tcPr>
            <w:tcW w:w="20" w:type="dxa"/>
            <w:shd w:val="clear" w:color="auto" w:fill="auto"/>
            <w:vAlign w:val="bottom"/>
          </w:tcPr>
          <w:p w14:paraId="39D97142" w14:textId="77777777" w:rsidR="00996AD7" w:rsidRDefault="00996AD7">
            <w:pPr>
              <w:rPr>
                <w:rFonts w:ascii="宋体"/>
              </w:rPr>
            </w:pPr>
          </w:p>
        </w:tc>
        <w:tc>
          <w:tcPr>
            <w:tcW w:w="20" w:type="dxa"/>
            <w:shd w:val="clear" w:color="auto" w:fill="auto"/>
            <w:vAlign w:val="bottom"/>
          </w:tcPr>
          <w:p w14:paraId="39D97143" w14:textId="77777777" w:rsidR="00996AD7" w:rsidRDefault="00996AD7">
            <w:pPr>
              <w:rPr>
                <w:rFonts w:ascii="宋体"/>
              </w:rPr>
            </w:pPr>
          </w:p>
        </w:tc>
        <w:tc>
          <w:tcPr>
            <w:tcW w:w="35" w:type="dxa"/>
            <w:shd w:val="clear" w:color="auto" w:fill="auto"/>
            <w:vAlign w:val="bottom"/>
          </w:tcPr>
          <w:p w14:paraId="39D97144" w14:textId="77777777" w:rsidR="00996AD7" w:rsidRDefault="00996AD7">
            <w:pPr>
              <w:rPr>
                <w:rFonts w:ascii="宋体"/>
              </w:rPr>
            </w:pPr>
          </w:p>
        </w:tc>
        <w:tc>
          <w:tcPr>
            <w:tcW w:w="20" w:type="dxa"/>
            <w:shd w:val="clear" w:color="auto" w:fill="auto"/>
            <w:vAlign w:val="bottom"/>
          </w:tcPr>
          <w:p w14:paraId="39D97145" w14:textId="77777777" w:rsidR="00996AD7" w:rsidRDefault="00996AD7">
            <w:pPr>
              <w:rPr>
                <w:rFonts w:ascii="宋体"/>
              </w:rPr>
            </w:pPr>
          </w:p>
        </w:tc>
        <w:tc>
          <w:tcPr>
            <w:tcW w:w="20" w:type="dxa"/>
            <w:shd w:val="clear" w:color="auto" w:fill="auto"/>
            <w:vAlign w:val="bottom"/>
          </w:tcPr>
          <w:p w14:paraId="39D97146" w14:textId="77777777" w:rsidR="00996AD7" w:rsidRDefault="00996AD7">
            <w:pPr>
              <w:rPr>
                <w:rFonts w:ascii="宋体"/>
              </w:rPr>
            </w:pPr>
          </w:p>
        </w:tc>
        <w:tc>
          <w:tcPr>
            <w:tcW w:w="2645" w:type="dxa"/>
            <w:shd w:val="clear" w:color="auto" w:fill="auto"/>
            <w:vAlign w:val="bottom"/>
          </w:tcPr>
          <w:p w14:paraId="39D97147" w14:textId="77777777" w:rsidR="00996AD7" w:rsidRDefault="00996AD7">
            <w:pPr>
              <w:rPr>
                <w:rFonts w:ascii="宋体"/>
              </w:rPr>
            </w:pPr>
          </w:p>
        </w:tc>
        <w:tc>
          <w:tcPr>
            <w:tcW w:w="20" w:type="dxa"/>
            <w:shd w:val="clear" w:color="auto" w:fill="auto"/>
            <w:vAlign w:val="bottom"/>
          </w:tcPr>
          <w:p w14:paraId="39D97148" w14:textId="77777777" w:rsidR="00996AD7" w:rsidRDefault="00996AD7">
            <w:pPr>
              <w:rPr>
                <w:rFonts w:ascii="宋体"/>
              </w:rPr>
            </w:pPr>
          </w:p>
        </w:tc>
        <w:tc>
          <w:tcPr>
            <w:tcW w:w="20" w:type="dxa"/>
            <w:shd w:val="clear" w:color="auto" w:fill="auto"/>
            <w:vAlign w:val="bottom"/>
          </w:tcPr>
          <w:p w14:paraId="39D97149" w14:textId="77777777" w:rsidR="00996AD7" w:rsidRDefault="00996AD7">
            <w:pPr>
              <w:rPr>
                <w:rFonts w:ascii="宋体"/>
              </w:rPr>
            </w:pPr>
          </w:p>
        </w:tc>
        <w:tc>
          <w:tcPr>
            <w:tcW w:w="35" w:type="dxa"/>
            <w:shd w:val="clear" w:color="auto" w:fill="auto"/>
            <w:vAlign w:val="bottom"/>
          </w:tcPr>
          <w:p w14:paraId="39D9714A" w14:textId="77777777" w:rsidR="00996AD7" w:rsidRDefault="00996AD7">
            <w:pPr>
              <w:rPr>
                <w:rFonts w:ascii="宋体"/>
              </w:rPr>
            </w:pPr>
          </w:p>
        </w:tc>
        <w:tc>
          <w:tcPr>
            <w:tcW w:w="20" w:type="dxa"/>
            <w:shd w:val="clear" w:color="auto" w:fill="auto"/>
            <w:vAlign w:val="bottom"/>
          </w:tcPr>
          <w:p w14:paraId="39D9714B" w14:textId="77777777" w:rsidR="00996AD7" w:rsidRDefault="00996AD7">
            <w:pPr>
              <w:rPr>
                <w:rFonts w:ascii="宋体"/>
              </w:rPr>
            </w:pPr>
          </w:p>
        </w:tc>
        <w:tc>
          <w:tcPr>
            <w:tcW w:w="20" w:type="dxa"/>
            <w:shd w:val="clear" w:color="auto" w:fill="auto"/>
            <w:vAlign w:val="bottom"/>
          </w:tcPr>
          <w:p w14:paraId="39D9714C" w14:textId="77777777" w:rsidR="00996AD7" w:rsidRDefault="00996AD7">
            <w:pPr>
              <w:rPr>
                <w:rFonts w:ascii="宋体"/>
              </w:rPr>
            </w:pPr>
          </w:p>
        </w:tc>
        <w:tc>
          <w:tcPr>
            <w:tcW w:w="2645" w:type="dxa"/>
            <w:shd w:val="clear" w:color="auto" w:fill="auto"/>
            <w:vAlign w:val="bottom"/>
          </w:tcPr>
          <w:p w14:paraId="39D9714D" w14:textId="77777777" w:rsidR="00996AD7" w:rsidRDefault="00996AD7">
            <w:pPr>
              <w:rPr>
                <w:rFonts w:ascii="宋体"/>
              </w:rPr>
            </w:pPr>
          </w:p>
        </w:tc>
        <w:tc>
          <w:tcPr>
            <w:tcW w:w="20" w:type="dxa"/>
            <w:shd w:val="clear" w:color="auto" w:fill="auto"/>
            <w:vAlign w:val="bottom"/>
          </w:tcPr>
          <w:p w14:paraId="39D9714E" w14:textId="77777777" w:rsidR="00996AD7" w:rsidRDefault="00996AD7">
            <w:pPr>
              <w:rPr>
                <w:rFonts w:ascii="宋体"/>
              </w:rPr>
            </w:pPr>
          </w:p>
        </w:tc>
      </w:tr>
      <w:tr w:rsidR="00996AD7" w14:paraId="39D97157" w14:textId="77777777">
        <w:trPr>
          <w:trHeight w:val="300"/>
        </w:trPr>
        <w:tc>
          <w:tcPr>
            <w:tcW w:w="0" w:type="auto"/>
            <w:gridSpan w:val="3"/>
            <w:shd w:val="clear" w:color="auto" w:fill="004A86"/>
            <w:tcMar>
              <w:top w:w="40" w:type="dxa"/>
              <w:left w:w="20" w:type="dxa"/>
              <w:bottom w:w="40" w:type="dxa"/>
              <w:right w:w="20" w:type="dxa"/>
            </w:tcMar>
            <w:vAlign w:val="bottom"/>
          </w:tcPr>
          <w:p w14:paraId="39D97150" w14:textId="77777777" w:rsidR="00996AD7" w:rsidRDefault="00D96458">
            <w:pPr>
              <w:textAlignment w:val="bottom"/>
            </w:pPr>
            <w:r>
              <w:rPr>
                <w:rFonts w:ascii="Arial" w:eastAsia="宋体" w:hAnsi="Arial" w:cs="Arial"/>
                <w:color w:val="FFFFFF"/>
                <w:sz w:val="20"/>
                <w:szCs w:val="20"/>
              </w:rPr>
              <w:t>Revenue</w:t>
            </w:r>
          </w:p>
        </w:tc>
        <w:tc>
          <w:tcPr>
            <w:tcW w:w="0" w:type="auto"/>
            <w:gridSpan w:val="3"/>
            <w:shd w:val="clear" w:color="auto" w:fill="auto"/>
            <w:tcMar>
              <w:top w:w="0" w:type="dxa"/>
              <w:left w:w="20" w:type="dxa"/>
              <w:bottom w:w="0" w:type="dxa"/>
              <w:right w:w="20" w:type="dxa"/>
            </w:tcMar>
            <w:vAlign w:val="bottom"/>
          </w:tcPr>
          <w:p w14:paraId="39D97151" w14:textId="77777777" w:rsidR="00996AD7" w:rsidRDefault="00996AD7">
            <w:pPr>
              <w:rPr>
                <w:rFonts w:ascii="宋体"/>
              </w:rPr>
            </w:pPr>
          </w:p>
        </w:tc>
        <w:tc>
          <w:tcPr>
            <w:tcW w:w="0" w:type="auto"/>
            <w:gridSpan w:val="3"/>
            <w:shd w:val="clear" w:color="auto" w:fill="0068B5"/>
            <w:tcMar>
              <w:top w:w="40" w:type="dxa"/>
              <w:left w:w="20" w:type="dxa"/>
              <w:bottom w:w="40" w:type="dxa"/>
              <w:right w:w="20" w:type="dxa"/>
            </w:tcMar>
            <w:vAlign w:val="bottom"/>
          </w:tcPr>
          <w:p w14:paraId="39D97152" w14:textId="77777777" w:rsidR="00996AD7" w:rsidRDefault="00D96458">
            <w:pPr>
              <w:textAlignment w:val="bottom"/>
            </w:pPr>
            <w:r>
              <w:rPr>
                <w:rFonts w:ascii="Arial" w:eastAsia="宋体" w:hAnsi="Arial" w:cs="Arial"/>
                <w:color w:val="FFFFFF"/>
                <w:sz w:val="20"/>
                <w:szCs w:val="20"/>
              </w:rPr>
              <w:t>Operating Income</w:t>
            </w:r>
          </w:p>
        </w:tc>
        <w:tc>
          <w:tcPr>
            <w:tcW w:w="0" w:type="auto"/>
            <w:gridSpan w:val="3"/>
            <w:shd w:val="clear" w:color="auto" w:fill="auto"/>
            <w:tcMar>
              <w:top w:w="0" w:type="dxa"/>
              <w:left w:w="20" w:type="dxa"/>
              <w:bottom w:w="0" w:type="dxa"/>
              <w:right w:w="20" w:type="dxa"/>
            </w:tcMar>
            <w:vAlign w:val="bottom"/>
          </w:tcPr>
          <w:p w14:paraId="39D97153" w14:textId="77777777" w:rsidR="00996AD7" w:rsidRDefault="00996AD7">
            <w:pPr>
              <w:rPr>
                <w:rFonts w:ascii="宋体"/>
              </w:rPr>
            </w:pPr>
          </w:p>
        </w:tc>
        <w:tc>
          <w:tcPr>
            <w:tcW w:w="0" w:type="auto"/>
            <w:gridSpan w:val="3"/>
            <w:shd w:val="clear" w:color="auto" w:fill="00A3F6"/>
            <w:tcMar>
              <w:top w:w="40" w:type="dxa"/>
              <w:left w:w="20" w:type="dxa"/>
              <w:bottom w:w="40" w:type="dxa"/>
              <w:right w:w="20" w:type="dxa"/>
            </w:tcMar>
            <w:vAlign w:val="bottom"/>
          </w:tcPr>
          <w:p w14:paraId="39D97154" w14:textId="77777777" w:rsidR="00996AD7" w:rsidRDefault="00D96458">
            <w:pPr>
              <w:textAlignment w:val="bottom"/>
            </w:pPr>
            <w:r>
              <w:rPr>
                <w:rFonts w:ascii="Arial" w:eastAsia="宋体" w:hAnsi="Arial" w:cs="Arial"/>
                <w:color w:val="FFFFFF"/>
                <w:sz w:val="20"/>
                <w:szCs w:val="20"/>
              </w:rPr>
              <w:t>Diluted EPS</w:t>
            </w:r>
          </w:p>
        </w:tc>
        <w:tc>
          <w:tcPr>
            <w:tcW w:w="0" w:type="auto"/>
            <w:gridSpan w:val="3"/>
            <w:shd w:val="clear" w:color="auto" w:fill="auto"/>
            <w:tcMar>
              <w:top w:w="0" w:type="dxa"/>
              <w:left w:w="20" w:type="dxa"/>
              <w:bottom w:w="0" w:type="dxa"/>
              <w:right w:w="20" w:type="dxa"/>
            </w:tcMar>
            <w:vAlign w:val="bottom"/>
          </w:tcPr>
          <w:p w14:paraId="39D97155" w14:textId="77777777" w:rsidR="00996AD7" w:rsidRDefault="00996AD7">
            <w:pPr>
              <w:rPr>
                <w:rFonts w:ascii="宋体"/>
              </w:rPr>
            </w:pPr>
          </w:p>
        </w:tc>
        <w:tc>
          <w:tcPr>
            <w:tcW w:w="0" w:type="auto"/>
            <w:gridSpan w:val="3"/>
            <w:shd w:val="clear" w:color="auto" w:fill="AEAEAE"/>
            <w:tcMar>
              <w:top w:w="40" w:type="dxa"/>
              <w:left w:w="20" w:type="dxa"/>
              <w:bottom w:w="40" w:type="dxa"/>
              <w:right w:w="20" w:type="dxa"/>
            </w:tcMar>
            <w:vAlign w:val="bottom"/>
          </w:tcPr>
          <w:p w14:paraId="39D97156" w14:textId="77777777" w:rsidR="00996AD7" w:rsidRDefault="00D96458">
            <w:pPr>
              <w:textAlignment w:val="bottom"/>
            </w:pPr>
            <w:r>
              <w:rPr>
                <w:rFonts w:ascii="Arial" w:eastAsia="宋体" w:hAnsi="Arial" w:cs="Arial"/>
                <w:color w:val="FFFFFF"/>
                <w:sz w:val="20"/>
                <w:szCs w:val="20"/>
              </w:rPr>
              <w:t>Cash Flows</w:t>
            </w:r>
          </w:p>
        </w:tc>
      </w:tr>
      <w:tr w:rsidR="00996AD7" w14:paraId="39D97160" w14:textId="77777777">
        <w:trPr>
          <w:trHeight w:val="420"/>
        </w:trPr>
        <w:tc>
          <w:tcPr>
            <w:tcW w:w="0" w:type="auto"/>
            <w:gridSpan w:val="3"/>
            <w:shd w:val="clear" w:color="auto" w:fill="auto"/>
            <w:tcMar>
              <w:top w:w="40" w:type="dxa"/>
              <w:left w:w="20" w:type="dxa"/>
              <w:bottom w:w="40" w:type="dxa"/>
              <w:right w:w="20" w:type="dxa"/>
            </w:tcMar>
            <w:vAlign w:val="center"/>
          </w:tcPr>
          <w:p w14:paraId="39D97158" w14:textId="77777777" w:rsidR="00996AD7" w:rsidRDefault="00D9645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 xml:space="preserve">GAAP $B </w:t>
            </w:r>
            <w:r>
              <w:rPr>
                <w:rFonts w:ascii="Arial" w:eastAsia="宋体" w:hAnsi="Arial" w:cs="Arial"/>
                <w:color w:val="00A3F6"/>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Non-GAAP $B</w:t>
            </w:r>
          </w:p>
        </w:tc>
        <w:tc>
          <w:tcPr>
            <w:tcW w:w="0" w:type="auto"/>
            <w:gridSpan w:val="3"/>
            <w:shd w:val="clear" w:color="auto" w:fill="auto"/>
            <w:tcMar>
              <w:top w:w="0" w:type="dxa"/>
              <w:left w:w="20" w:type="dxa"/>
              <w:bottom w:w="0" w:type="dxa"/>
              <w:right w:w="20" w:type="dxa"/>
            </w:tcMar>
            <w:vAlign w:val="bottom"/>
          </w:tcPr>
          <w:p w14:paraId="39D97159"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center"/>
          </w:tcPr>
          <w:p w14:paraId="39D9715A" w14:textId="77777777" w:rsidR="00996AD7" w:rsidRDefault="00D9645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GAAP $B</w:t>
            </w:r>
            <w:r>
              <w:rPr>
                <w:rFonts w:ascii="Arial" w:eastAsia="宋体" w:hAnsi="Arial" w:cs="Arial"/>
                <w:color w:val="333333"/>
                <w:sz w:val="18"/>
                <w:szCs w:val="18"/>
              </w:rPr>
              <w:t xml:space="preserve"> </w:t>
            </w: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Non-GAAP $B</w:t>
            </w:r>
          </w:p>
        </w:tc>
        <w:tc>
          <w:tcPr>
            <w:tcW w:w="0" w:type="auto"/>
            <w:gridSpan w:val="3"/>
            <w:shd w:val="clear" w:color="auto" w:fill="auto"/>
            <w:tcMar>
              <w:top w:w="0" w:type="dxa"/>
              <w:left w:w="20" w:type="dxa"/>
              <w:bottom w:w="0" w:type="dxa"/>
              <w:right w:w="20" w:type="dxa"/>
            </w:tcMar>
            <w:vAlign w:val="bottom"/>
          </w:tcPr>
          <w:p w14:paraId="39D9715B"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center"/>
          </w:tcPr>
          <w:p w14:paraId="39D9715C" w14:textId="77777777" w:rsidR="00996AD7" w:rsidRDefault="00D9645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GAAP</w:t>
            </w:r>
            <w:r>
              <w:rPr>
                <w:rFonts w:ascii="Arial" w:eastAsia="宋体" w:hAnsi="Arial" w:cs="Arial"/>
                <w:color w:val="333333"/>
                <w:sz w:val="18"/>
                <w:szCs w:val="18"/>
              </w:rPr>
              <w:t xml:space="preserve"> </w:t>
            </w:r>
            <w:r>
              <w:rPr>
                <w:rFonts w:ascii="Arial" w:eastAsia="宋体" w:hAnsi="Arial" w:cs="Arial"/>
                <w:color w:val="00A3F6"/>
                <w:sz w:val="18"/>
                <w:szCs w:val="18"/>
              </w:rPr>
              <w:t xml:space="preserve">■ </w:t>
            </w:r>
            <w:r>
              <w:rPr>
                <w:rFonts w:ascii="Arial" w:eastAsia="宋体" w:hAnsi="Arial" w:cs="Arial"/>
                <w:color w:val="333333"/>
                <w:sz w:val="16"/>
                <w:szCs w:val="16"/>
              </w:rPr>
              <w:t>Non-GAAP</w:t>
            </w:r>
          </w:p>
        </w:tc>
        <w:tc>
          <w:tcPr>
            <w:tcW w:w="0" w:type="auto"/>
            <w:gridSpan w:val="3"/>
            <w:shd w:val="clear" w:color="auto" w:fill="auto"/>
            <w:tcMar>
              <w:top w:w="0" w:type="dxa"/>
              <w:left w:w="20" w:type="dxa"/>
              <w:bottom w:w="0" w:type="dxa"/>
              <w:right w:w="20" w:type="dxa"/>
            </w:tcMar>
            <w:vAlign w:val="bottom"/>
          </w:tcPr>
          <w:p w14:paraId="39D9715D"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center"/>
          </w:tcPr>
          <w:p w14:paraId="39D9715E" w14:textId="77777777" w:rsidR="00996AD7" w:rsidRDefault="00D9645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Operating Cash Flow $B</w:t>
            </w:r>
          </w:p>
          <w:p w14:paraId="39D9715F" w14:textId="77777777" w:rsidR="00996AD7" w:rsidRDefault="00D96458">
            <w:pPr>
              <w:textAlignment w:val="center"/>
            </w:pP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Free Cash Flow $B</w:t>
            </w:r>
          </w:p>
        </w:tc>
      </w:tr>
    </w:tbl>
    <w:p w14:paraId="39D97161"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91" wp14:editId="39D9A392">
            <wp:extent cx="304800" cy="304800"/>
            <wp:effectExtent l="0" t="0" r="0" b="0"/>
            <wp:docPr id="33" name="图片 3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9"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Viewer5_files/intc-202109</w:instrText>
      </w:r>
      <w:r>
        <w:rPr>
          <w:rFonts w:ascii="宋体" w:eastAsia="宋体" w:hAnsi="宋体" w:cs="宋体"/>
        </w:rPr>
        <w:instrText xml:space="preserve">25_g4.jpg"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93" wp14:editId="39D9A394">
            <wp:extent cx="304800" cy="304800"/>
            <wp:effectExtent l="0" t="0" r="0" b="0"/>
            <wp:docPr id="26" name="图片 4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0"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95" wp14:editId="39D9A396">
            <wp:extent cx="304800" cy="304800"/>
            <wp:effectExtent l="0" t="0" r="0" b="0"/>
            <wp:docPr id="27" name="图片 4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1"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97" wp14:editId="39D9A398">
            <wp:extent cx="304800" cy="304800"/>
            <wp:effectExtent l="0" t="0" r="0" b="0"/>
            <wp:docPr id="28" name="图片 4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39"/>
        <w:gridCol w:w="1191"/>
        <w:gridCol w:w="39"/>
        <w:gridCol w:w="37"/>
        <w:gridCol w:w="36"/>
        <w:gridCol w:w="36"/>
        <w:gridCol w:w="38"/>
        <w:gridCol w:w="1190"/>
        <w:gridCol w:w="38"/>
        <w:gridCol w:w="36"/>
        <w:gridCol w:w="36"/>
        <w:gridCol w:w="36"/>
        <w:gridCol w:w="44"/>
        <w:gridCol w:w="1203"/>
        <w:gridCol w:w="44"/>
        <w:gridCol w:w="37"/>
        <w:gridCol w:w="37"/>
        <w:gridCol w:w="37"/>
        <w:gridCol w:w="44"/>
        <w:gridCol w:w="1209"/>
        <w:gridCol w:w="44"/>
        <w:gridCol w:w="36"/>
        <w:gridCol w:w="36"/>
        <w:gridCol w:w="36"/>
        <w:gridCol w:w="40"/>
        <w:gridCol w:w="1022"/>
        <w:gridCol w:w="40"/>
        <w:gridCol w:w="37"/>
        <w:gridCol w:w="37"/>
        <w:gridCol w:w="37"/>
        <w:gridCol w:w="40"/>
        <w:gridCol w:w="1043"/>
        <w:gridCol w:w="40"/>
        <w:gridCol w:w="36"/>
        <w:gridCol w:w="36"/>
        <w:gridCol w:w="36"/>
        <w:gridCol w:w="43"/>
        <w:gridCol w:w="1342"/>
        <w:gridCol w:w="43"/>
        <w:gridCol w:w="37"/>
        <w:gridCol w:w="37"/>
        <w:gridCol w:w="37"/>
        <w:gridCol w:w="42"/>
        <w:gridCol w:w="1324"/>
        <w:gridCol w:w="42"/>
      </w:tblGrid>
      <w:tr w:rsidR="00996AD7" w14:paraId="39D9718F" w14:textId="77777777">
        <w:tc>
          <w:tcPr>
            <w:tcW w:w="20" w:type="dxa"/>
            <w:shd w:val="clear" w:color="auto" w:fill="auto"/>
            <w:vAlign w:val="bottom"/>
          </w:tcPr>
          <w:p w14:paraId="39D97162" w14:textId="77777777" w:rsidR="00996AD7" w:rsidRDefault="00996AD7">
            <w:pPr>
              <w:rPr>
                <w:rFonts w:ascii="宋体"/>
              </w:rPr>
            </w:pPr>
          </w:p>
        </w:tc>
        <w:tc>
          <w:tcPr>
            <w:tcW w:w="1295" w:type="dxa"/>
            <w:shd w:val="clear" w:color="auto" w:fill="auto"/>
            <w:vAlign w:val="bottom"/>
          </w:tcPr>
          <w:p w14:paraId="39D97163" w14:textId="77777777" w:rsidR="00996AD7" w:rsidRDefault="00996AD7">
            <w:pPr>
              <w:rPr>
                <w:rFonts w:ascii="宋体"/>
              </w:rPr>
            </w:pPr>
          </w:p>
        </w:tc>
        <w:tc>
          <w:tcPr>
            <w:tcW w:w="20" w:type="dxa"/>
            <w:shd w:val="clear" w:color="auto" w:fill="auto"/>
            <w:vAlign w:val="bottom"/>
          </w:tcPr>
          <w:p w14:paraId="39D97164" w14:textId="77777777" w:rsidR="00996AD7" w:rsidRDefault="00996AD7">
            <w:pPr>
              <w:rPr>
                <w:rFonts w:ascii="宋体"/>
              </w:rPr>
            </w:pPr>
          </w:p>
        </w:tc>
        <w:tc>
          <w:tcPr>
            <w:tcW w:w="20" w:type="dxa"/>
            <w:shd w:val="clear" w:color="auto" w:fill="auto"/>
            <w:vAlign w:val="bottom"/>
          </w:tcPr>
          <w:p w14:paraId="39D97165" w14:textId="77777777" w:rsidR="00996AD7" w:rsidRDefault="00996AD7">
            <w:pPr>
              <w:rPr>
                <w:rFonts w:ascii="宋体"/>
              </w:rPr>
            </w:pPr>
          </w:p>
        </w:tc>
        <w:tc>
          <w:tcPr>
            <w:tcW w:w="35" w:type="dxa"/>
            <w:shd w:val="clear" w:color="auto" w:fill="auto"/>
            <w:vAlign w:val="bottom"/>
          </w:tcPr>
          <w:p w14:paraId="39D97166" w14:textId="77777777" w:rsidR="00996AD7" w:rsidRDefault="00996AD7">
            <w:pPr>
              <w:rPr>
                <w:rFonts w:ascii="宋体"/>
              </w:rPr>
            </w:pPr>
          </w:p>
        </w:tc>
        <w:tc>
          <w:tcPr>
            <w:tcW w:w="20" w:type="dxa"/>
            <w:shd w:val="clear" w:color="auto" w:fill="auto"/>
            <w:vAlign w:val="bottom"/>
          </w:tcPr>
          <w:p w14:paraId="39D97167" w14:textId="77777777" w:rsidR="00996AD7" w:rsidRDefault="00996AD7">
            <w:pPr>
              <w:rPr>
                <w:rFonts w:ascii="宋体"/>
              </w:rPr>
            </w:pPr>
          </w:p>
        </w:tc>
        <w:tc>
          <w:tcPr>
            <w:tcW w:w="20" w:type="dxa"/>
            <w:shd w:val="clear" w:color="auto" w:fill="auto"/>
            <w:vAlign w:val="bottom"/>
          </w:tcPr>
          <w:p w14:paraId="39D97168" w14:textId="77777777" w:rsidR="00996AD7" w:rsidRDefault="00996AD7">
            <w:pPr>
              <w:rPr>
                <w:rFonts w:ascii="宋体"/>
              </w:rPr>
            </w:pPr>
          </w:p>
        </w:tc>
        <w:tc>
          <w:tcPr>
            <w:tcW w:w="1160" w:type="dxa"/>
            <w:shd w:val="clear" w:color="auto" w:fill="auto"/>
            <w:vAlign w:val="bottom"/>
          </w:tcPr>
          <w:p w14:paraId="39D97169" w14:textId="77777777" w:rsidR="00996AD7" w:rsidRDefault="00996AD7">
            <w:pPr>
              <w:rPr>
                <w:rFonts w:ascii="宋体"/>
              </w:rPr>
            </w:pPr>
          </w:p>
        </w:tc>
        <w:tc>
          <w:tcPr>
            <w:tcW w:w="20" w:type="dxa"/>
            <w:shd w:val="clear" w:color="auto" w:fill="auto"/>
            <w:vAlign w:val="bottom"/>
          </w:tcPr>
          <w:p w14:paraId="39D9716A" w14:textId="77777777" w:rsidR="00996AD7" w:rsidRDefault="00996AD7">
            <w:pPr>
              <w:rPr>
                <w:rFonts w:ascii="宋体"/>
              </w:rPr>
            </w:pPr>
          </w:p>
        </w:tc>
        <w:tc>
          <w:tcPr>
            <w:tcW w:w="20" w:type="dxa"/>
            <w:shd w:val="clear" w:color="auto" w:fill="auto"/>
            <w:vAlign w:val="bottom"/>
          </w:tcPr>
          <w:p w14:paraId="39D9716B" w14:textId="77777777" w:rsidR="00996AD7" w:rsidRDefault="00996AD7">
            <w:pPr>
              <w:rPr>
                <w:rFonts w:ascii="宋体"/>
              </w:rPr>
            </w:pPr>
          </w:p>
        </w:tc>
        <w:tc>
          <w:tcPr>
            <w:tcW w:w="35" w:type="dxa"/>
            <w:shd w:val="clear" w:color="auto" w:fill="auto"/>
            <w:vAlign w:val="bottom"/>
          </w:tcPr>
          <w:p w14:paraId="39D9716C" w14:textId="77777777" w:rsidR="00996AD7" w:rsidRDefault="00996AD7">
            <w:pPr>
              <w:rPr>
                <w:rFonts w:ascii="宋体"/>
              </w:rPr>
            </w:pPr>
          </w:p>
        </w:tc>
        <w:tc>
          <w:tcPr>
            <w:tcW w:w="20" w:type="dxa"/>
            <w:shd w:val="clear" w:color="auto" w:fill="auto"/>
            <w:vAlign w:val="bottom"/>
          </w:tcPr>
          <w:p w14:paraId="39D9716D" w14:textId="77777777" w:rsidR="00996AD7" w:rsidRDefault="00996AD7">
            <w:pPr>
              <w:rPr>
                <w:rFonts w:ascii="宋体"/>
              </w:rPr>
            </w:pPr>
          </w:p>
        </w:tc>
        <w:tc>
          <w:tcPr>
            <w:tcW w:w="20" w:type="dxa"/>
            <w:shd w:val="clear" w:color="auto" w:fill="auto"/>
            <w:vAlign w:val="bottom"/>
          </w:tcPr>
          <w:p w14:paraId="39D9716E" w14:textId="77777777" w:rsidR="00996AD7" w:rsidRDefault="00996AD7">
            <w:pPr>
              <w:rPr>
                <w:rFonts w:ascii="宋体"/>
              </w:rPr>
            </w:pPr>
          </w:p>
        </w:tc>
        <w:tc>
          <w:tcPr>
            <w:tcW w:w="1295" w:type="dxa"/>
            <w:shd w:val="clear" w:color="auto" w:fill="auto"/>
            <w:vAlign w:val="bottom"/>
          </w:tcPr>
          <w:p w14:paraId="39D9716F" w14:textId="77777777" w:rsidR="00996AD7" w:rsidRDefault="00996AD7">
            <w:pPr>
              <w:rPr>
                <w:rFonts w:ascii="宋体"/>
              </w:rPr>
            </w:pPr>
          </w:p>
        </w:tc>
        <w:tc>
          <w:tcPr>
            <w:tcW w:w="20" w:type="dxa"/>
            <w:shd w:val="clear" w:color="auto" w:fill="auto"/>
            <w:vAlign w:val="bottom"/>
          </w:tcPr>
          <w:p w14:paraId="39D97170" w14:textId="77777777" w:rsidR="00996AD7" w:rsidRDefault="00996AD7">
            <w:pPr>
              <w:rPr>
                <w:rFonts w:ascii="宋体"/>
              </w:rPr>
            </w:pPr>
          </w:p>
        </w:tc>
        <w:tc>
          <w:tcPr>
            <w:tcW w:w="20" w:type="dxa"/>
            <w:shd w:val="clear" w:color="auto" w:fill="auto"/>
            <w:vAlign w:val="bottom"/>
          </w:tcPr>
          <w:p w14:paraId="39D97171" w14:textId="77777777" w:rsidR="00996AD7" w:rsidRDefault="00996AD7">
            <w:pPr>
              <w:rPr>
                <w:rFonts w:ascii="宋体"/>
              </w:rPr>
            </w:pPr>
          </w:p>
        </w:tc>
        <w:tc>
          <w:tcPr>
            <w:tcW w:w="35" w:type="dxa"/>
            <w:shd w:val="clear" w:color="auto" w:fill="auto"/>
            <w:vAlign w:val="bottom"/>
          </w:tcPr>
          <w:p w14:paraId="39D97172" w14:textId="77777777" w:rsidR="00996AD7" w:rsidRDefault="00996AD7">
            <w:pPr>
              <w:rPr>
                <w:rFonts w:ascii="宋体"/>
              </w:rPr>
            </w:pPr>
          </w:p>
        </w:tc>
        <w:tc>
          <w:tcPr>
            <w:tcW w:w="20" w:type="dxa"/>
            <w:shd w:val="clear" w:color="auto" w:fill="auto"/>
            <w:vAlign w:val="bottom"/>
          </w:tcPr>
          <w:p w14:paraId="39D97173" w14:textId="77777777" w:rsidR="00996AD7" w:rsidRDefault="00996AD7">
            <w:pPr>
              <w:rPr>
                <w:rFonts w:ascii="宋体"/>
              </w:rPr>
            </w:pPr>
          </w:p>
        </w:tc>
        <w:tc>
          <w:tcPr>
            <w:tcW w:w="20" w:type="dxa"/>
            <w:shd w:val="clear" w:color="auto" w:fill="auto"/>
            <w:vAlign w:val="bottom"/>
          </w:tcPr>
          <w:p w14:paraId="39D97174" w14:textId="77777777" w:rsidR="00996AD7" w:rsidRDefault="00996AD7">
            <w:pPr>
              <w:rPr>
                <w:rFonts w:ascii="宋体"/>
              </w:rPr>
            </w:pPr>
          </w:p>
        </w:tc>
        <w:tc>
          <w:tcPr>
            <w:tcW w:w="1295" w:type="dxa"/>
            <w:shd w:val="clear" w:color="auto" w:fill="auto"/>
            <w:vAlign w:val="bottom"/>
          </w:tcPr>
          <w:p w14:paraId="39D97175" w14:textId="77777777" w:rsidR="00996AD7" w:rsidRDefault="00996AD7">
            <w:pPr>
              <w:rPr>
                <w:rFonts w:ascii="宋体"/>
              </w:rPr>
            </w:pPr>
          </w:p>
        </w:tc>
        <w:tc>
          <w:tcPr>
            <w:tcW w:w="20" w:type="dxa"/>
            <w:shd w:val="clear" w:color="auto" w:fill="auto"/>
            <w:vAlign w:val="bottom"/>
          </w:tcPr>
          <w:p w14:paraId="39D97176" w14:textId="77777777" w:rsidR="00996AD7" w:rsidRDefault="00996AD7">
            <w:pPr>
              <w:rPr>
                <w:rFonts w:ascii="宋体"/>
              </w:rPr>
            </w:pPr>
          </w:p>
        </w:tc>
        <w:tc>
          <w:tcPr>
            <w:tcW w:w="20" w:type="dxa"/>
            <w:shd w:val="clear" w:color="auto" w:fill="auto"/>
            <w:vAlign w:val="bottom"/>
          </w:tcPr>
          <w:p w14:paraId="39D97177" w14:textId="77777777" w:rsidR="00996AD7" w:rsidRDefault="00996AD7">
            <w:pPr>
              <w:rPr>
                <w:rFonts w:ascii="宋体"/>
              </w:rPr>
            </w:pPr>
          </w:p>
        </w:tc>
        <w:tc>
          <w:tcPr>
            <w:tcW w:w="35" w:type="dxa"/>
            <w:shd w:val="clear" w:color="auto" w:fill="auto"/>
            <w:vAlign w:val="bottom"/>
          </w:tcPr>
          <w:p w14:paraId="39D97178" w14:textId="77777777" w:rsidR="00996AD7" w:rsidRDefault="00996AD7">
            <w:pPr>
              <w:rPr>
                <w:rFonts w:ascii="宋体"/>
              </w:rPr>
            </w:pPr>
          </w:p>
        </w:tc>
        <w:tc>
          <w:tcPr>
            <w:tcW w:w="20" w:type="dxa"/>
            <w:shd w:val="clear" w:color="auto" w:fill="auto"/>
            <w:vAlign w:val="bottom"/>
          </w:tcPr>
          <w:p w14:paraId="39D97179" w14:textId="77777777" w:rsidR="00996AD7" w:rsidRDefault="00996AD7">
            <w:pPr>
              <w:rPr>
                <w:rFonts w:ascii="宋体"/>
              </w:rPr>
            </w:pPr>
          </w:p>
        </w:tc>
        <w:tc>
          <w:tcPr>
            <w:tcW w:w="20" w:type="dxa"/>
            <w:shd w:val="clear" w:color="auto" w:fill="auto"/>
            <w:vAlign w:val="bottom"/>
          </w:tcPr>
          <w:p w14:paraId="39D9717A" w14:textId="77777777" w:rsidR="00996AD7" w:rsidRDefault="00996AD7">
            <w:pPr>
              <w:rPr>
                <w:rFonts w:ascii="宋体"/>
              </w:rPr>
            </w:pPr>
          </w:p>
        </w:tc>
        <w:tc>
          <w:tcPr>
            <w:tcW w:w="1265" w:type="dxa"/>
            <w:shd w:val="clear" w:color="auto" w:fill="auto"/>
            <w:vAlign w:val="bottom"/>
          </w:tcPr>
          <w:p w14:paraId="39D9717B" w14:textId="77777777" w:rsidR="00996AD7" w:rsidRDefault="00996AD7">
            <w:pPr>
              <w:rPr>
                <w:rFonts w:ascii="宋体"/>
              </w:rPr>
            </w:pPr>
          </w:p>
        </w:tc>
        <w:tc>
          <w:tcPr>
            <w:tcW w:w="20" w:type="dxa"/>
            <w:shd w:val="clear" w:color="auto" w:fill="auto"/>
            <w:vAlign w:val="bottom"/>
          </w:tcPr>
          <w:p w14:paraId="39D9717C" w14:textId="77777777" w:rsidR="00996AD7" w:rsidRDefault="00996AD7">
            <w:pPr>
              <w:rPr>
                <w:rFonts w:ascii="宋体"/>
              </w:rPr>
            </w:pPr>
          </w:p>
        </w:tc>
        <w:tc>
          <w:tcPr>
            <w:tcW w:w="20" w:type="dxa"/>
            <w:shd w:val="clear" w:color="auto" w:fill="auto"/>
            <w:vAlign w:val="bottom"/>
          </w:tcPr>
          <w:p w14:paraId="39D9717D" w14:textId="77777777" w:rsidR="00996AD7" w:rsidRDefault="00996AD7">
            <w:pPr>
              <w:rPr>
                <w:rFonts w:ascii="宋体"/>
              </w:rPr>
            </w:pPr>
          </w:p>
        </w:tc>
        <w:tc>
          <w:tcPr>
            <w:tcW w:w="35" w:type="dxa"/>
            <w:shd w:val="clear" w:color="auto" w:fill="auto"/>
            <w:vAlign w:val="bottom"/>
          </w:tcPr>
          <w:p w14:paraId="39D9717E" w14:textId="77777777" w:rsidR="00996AD7" w:rsidRDefault="00996AD7">
            <w:pPr>
              <w:rPr>
                <w:rFonts w:ascii="宋体"/>
              </w:rPr>
            </w:pPr>
          </w:p>
        </w:tc>
        <w:tc>
          <w:tcPr>
            <w:tcW w:w="20" w:type="dxa"/>
            <w:shd w:val="clear" w:color="auto" w:fill="auto"/>
            <w:vAlign w:val="bottom"/>
          </w:tcPr>
          <w:p w14:paraId="39D9717F" w14:textId="77777777" w:rsidR="00996AD7" w:rsidRDefault="00996AD7">
            <w:pPr>
              <w:rPr>
                <w:rFonts w:ascii="宋体"/>
              </w:rPr>
            </w:pPr>
          </w:p>
        </w:tc>
        <w:tc>
          <w:tcPr>
            <w:tcW w:w="20" w:type="dxa"/>
            <w:shd w:val="clear" w:color="auto" w:fill="auto"/>
            <w:vAlign w:val="bottom"/>
          </w:tcPr>
          <w:p w14:paraId="39D97180" w14:textId="77777777" w:rsidR="00996AD7" w:rsidRDefault="00996AD7">
            <w:pPr>
              <w:rPr>
                <w:rFonts w:ascii="宋体"/>
              </w:rPr>
            </w:pPr>
          </w:p>
        </w:tc>
        <w:tc>
          <w:tcPr>
            <w:tcW w:w="1265" w:type="dxa"/>
            <w:shd w:val="clear" w:color="auto" w:fill="auto"/>
            <w:vAlign w:val="bottom"/>
          </w:tcPr>
          <w:p w14:paraId="39D97181" w14:textId="77777777" w:rsidR="00996AD7" w:rsidRDefault="00996AD7">
            <w:pPr>
              <w:rPr>
                <w:rFonts w:ascii="宋体"/>
              </w:rPr>
            </w:pPr>
          </w:p>
        </w:tc>
        <w:tc>
          <w:tcPr>
            <w:tcW w:w="20" w:type="dxa"/>
            <w:shd w:val="clear" w:color="auto" w:fill="auto"/>
            <w:vAlign w:val="bottom"/>
          </w:tcPr>
          <w:p w14:paraId="39D97182" w14:textId="77777777" w:rsidR="00996AD7" w:rsidRDefault="00996AD7">
            <w:pPr>
              <w:rPr>
                <w:rFonts w:ascii="宋体"/>
              </w:rPr>
            </w:pPr>
          </w:p>
        </w:tc>
        <w:tc>
          <w:tcPr>
            <w:tcW w:w="20" w:type="dxa"/>
            <w:shd w:val="clear" w:color="auto" w:fill="auto"/>
            <w:vAlign w:val="bottom"/>
          </w:tcPr>
          <w:p w14:paraId="39D97183" w14:textId="77777777" w:rsidR="00996AD7" w:rsidRDefault="00996AD7">
            <w:pPr>
              <w:rPr>
                <w:rFonts w:ascii="宋体"/>
              </w:rPr>
            </w:pPr>
          </w:p>
        </w:tc>
        <w:tc>
          <w:tcPr>
            <w:tcW w:w="35" w:type="dxa"/>
            <w:shd w:val="clear" w:color="auto" w:fill="auto"/>
            <w:vAlign w:val="bottom"/>
          </w:tcPr>
          <w:p w14:paraId="39D97184" w14:textId="77777777" w:rsidR="00996AD7" w:rsidRDefault="00996AD7">
            <w:pPr>
              <w:rPr>
                <w:rFonts w:ascii="宋体"/>
              </w:rPr>
            </w:pPr>
          </w:p>
        </w:tc>
        <w:tc>
          <w:tcPr>
            <w:tcW w:w="20" w:type="dxa"/>
            <w:shd w:val="clear" w:color="auto" w:fill="auto"/>
            <w:vAlign w:val="bottom"/>
          </w:tcPr>
          <w:p w14:paraId="39D97185" w14:textId="77777777" w:rsidR="00996AD7" w:rsidRDefault="00996AD7">
            <w:pPr>
              <w:rPr>
                <w:rFonts w:ascii="宋体"/>
              </w:rPr>
            </w:pPr>
          </w:p>
        </w:tc>
        <w:tc>
          <w:tcPr>
            <w:tcW w:w="20" w:type="dxa"/>
            <w:shd w:val="clear" w:color="auto" w:fill="auto"/>
            <w:vAlign w:val="bottom"/>
          </w:tcPr>
          <w:p w14:paraId="39D97186" w14:textId="77777777" w:rsidR="00996AD7" w:rsidRDefault="00996AD7">
            <w:pPr>
              <w:rPr>
                <w:rFonts w:ascii="宋体"/>
              </w:rPr>
            </w:pPr>
          </w:p>
        </w:tc>
        <w:tc>
          <w:tcPr>
            <w:tcW w:w="1265" w:type="dxa"/>
            <w:shd w:val="clear" w:color="auto" w:fill="auto"/>
            <w:vAlign w:val="bottom"/>
          </w:tcPr>
          <w:p w14:paraId="39D97187" w14:textId="77777777" w:rsidR="00996AD7" w:rsidRDefault="00996AD7">
            <w:pPr>
              <w:rPr>
                <w:rFonts w:ascii="宋体"/>
              </w:rPr>
            </w:pPr>
          </w:p>
        </w:tc>
        <w:tc>
          <w:tcPr>
            <w:tcW w:w="20" w:type="dxa"/>
            <w:shd w:val="clear" w:color="auto" w:fill="auto"/>
            <w:vAlign w:val="bottom"/>
          </w:tcPr>
          <w:p w14:paraId="39D97188" w14:textId="77777777" w:rsidR="00996AD7" w:rsidRDefault="00996AD7">
            <w:pPr>
              <w:rPr>
                <w:rFonts w:ascii="宋体"/>
              </w:rPr>
            </w:pPr>
          </w:p>
        </w:tc>
        <w:tc>
          <w:tcPr>
            <w:tcW w:w="20" w:type="dxa"/>
            <w:shd w:val="clear" w:color="auto" w:fill="auto"/>
            <w:vAlign w:val="bottom"/>
          </w:tcPr>
          <w:p w14:paraId="39D97189" w14:textId="77777777" w:rsidR="00996AD7" w:rsidRDefault="00996AD7">
            <w:pPr>
              <w:rPr>
                <w:rFonts w:ascii="宋体"/>
              </w:rPr>
            </w:pPr>
          </w:p>
        </w:tc>
        <w:tc>
          <w:tcPr>
            <w:tcW w:w="35" w:type="dxa"/>
            <w:shd w:val="clear" w:color="auto" w:fill="auto"/>
            <w:vAlign w:val="bottom"/>
          </w:tcPr>
          <w:p w14:paraId="39D9718A" w14:textId="77777777" w:rsidR="00996AD7" w:rsidRDefault="00996AD7">
            <w:pPr>
              <w:rPr>
                <w:rFonts w:ascii="宋体"/>
              </w:rPr>
            </w:pPr>
          </w:p>
        </w:tc>
        <w:tc>
          <w:tcPr>
            <w:tcW w:w="20" w:type="dxa"/>
            <w:shd w:val="clear" w:color="auto" w:fill="auto"/>
            <w:vAlign w:val="bottom"/>
          </w:tcPr>
          <w:p w14:paraId="39D9718B" w14:textId="77777777" w:rsidR="00996AD7" w:rsidRDefault="00996AD7">
            <w:pPr>
              <w:rPr>
                <w:rFonts w:ascii="宋体"/>
              </w:rPr>
            </w:pPr>
          </w:p>
        </w:tc>
        <w:tc>
          <w:tcPr>
            <w:tcW w:w="20" w:type="dxa"/>
            <w:shd w:val="clear" w:color="auto" w:fill="auto"/>
            <w:vAlign w:val="bottom"/>
          </w:tcPr>
          <w:p w14:paraId="39D9718C" w14:textId="77777777" w:rsidR="00996AD7" w:rsidRDefault="00996AD7">
            <w:pPr>
              <w:rPr>
                <w:rFonts w:ascii="宋体"/>
              </w:rPr>
            </w:pPr>
          </w:p>
        </w:tc>
        <w:tc>
          <w:tcPr>
            <w:tcW w:w="1265" w:type="dxa"/>
            <w:shd w:val="clear" w:color="auto" w:fill="auto"/>
            <w:vAlign w:val="bottom"/>
          </w:tcPr>
          <w:p w14:paraId="39D9718D" w14:textId="77777777" w:rsidR="00996AD7" w:rsidRDefault="00996AD7">
            <w:pPr>
              <w:rPr>
                <w:rFonts w:ascii="宋体"/>
              </w:rPr>
            </w:pPr>
          </w:p>
        </w:tc>
        <w:tc>
          <w:tcPr>
            <w:tcW w:w="20" w:type="dxa"/>
            <w:shd w:val="clear" w:color="auto" w:fill="auto"/>
            <w:vAlign w:val="bottom"/>
          </w:tcPr>
          <w:p w14:paraId="39D9718E" w14:textId="77777777" w:rsidR="00996AD7" w:rsidRDefault="00996AD7">
            <w:pPr>
              <w:rPr>
                <w:rFonts w:ascii="宋体"/>
              </w:rPr>
            </w:pPr>
          </w:p>
        </w:tc>
      </w:tr>
      <w:tr w:rsidR="00996AD7" w14:paraId="39D97197" w14:textId="77777777">
        <w:trPr>
          <w:trHeight w:val="60"/>
        </w:trPr>
        <w:tc>
          <w:tcPr>
            <w:tcW w:w="0" w:type="auto"/>
            <w:gridSpan w:val="9"/>
            <w:shd w:val="clear" w:color="auto" w:fill="004A86"/>
            <w:tcMar>
              <w:top w:w="0" w:type="dxa"/>
              <w:left w:w="20" w:type="dxa"/>
              <w:bottom w:w="0" w:type="dxa"/>
              <w:right w:w="20" w:type="dxa"/>
            </w:tcMar>
            <w:vAlign w:val="bottom"/>
          </w:tcPr>
          <w:p w14:paraId="39D9719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91" w14:textId="77777777" w:rsidR="00996AD7" w:rsidRDefault="00996AD7">
            <w:pPr>
              <w:rPr>
                <w:rFonts w:ascii="宋体"/>
              </w:rPr>
            </w:pPr>
          </w:p>
        </w:tc>
        <w:tc>
          <w:tcPr>
            <w:tcW w:w="0" w:type="auto"/>
            <w:gridSpan w:val="9"/>
            <w:shd w:val="clear" w:color="auto" w:fill="0068B5"/>
            <w:tcMar>
              <w:top w:w="0" w:type="dxa"/>
              <w:left w:w="20" w:type="dxa"/>
              <w:bottom w:w="0" w:type="dxa"/>
              <w:right w:w="20" w:type="dxa"/>
            </w:tcMar>
            <w:vAlign w:val="bottom"/>
          </w:tcPr>
          <w:p w14:paraId="39D9719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93" w14:textId="77777777" w:rsidR="00996AD7" w:rsidRDefault="00996AD7">
            <w:pPr>
              <w:rPr>
                <w:rFonts w:ascii="宋体"/>
              </w:rPr>
            </w:pPr>
          </w:p>
        </w:tc>
        <w:tc>
          <w:tcPr>
            <w:tcW w:w="0" w:type="auto"/>
            <w:gridSpan w:val="9"/>
            <w:shd w:val="clear" w:color="auto" w:fill="00A3F6"/>
            <w:tcMar>
              <w:top w:w="0" w:type="dxa"/>
              <w:left w:w="20" w:type="dxa"/>
              <w:bottom w:w="0" w:type="dxa"/>
              <w:right w:w="20" w:type="dxa"/>
            </w:tcMar>
            <w:vAlign w:val="bottom"/>
          </w:tcPr>
          <w:p w14:paraId="39D9719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95" w14:textId="77777777" w:rsidR="00996AD7" w:rsidRDefault="00996AD7">
            <w:pPr>
              <w:rPr>
                <w:rFonts w:ascii="宋体"/>
              </w:rPr>
            </w:pPr>
          </w:p>
        </w:tc>
        <w:tc>
          <w:tcPr>
            <w:tcW w:w="0" w:type="auto"/>
            <w:gridSpan w:val="9"/>
            <w:shd w:val="clear" w:color="auto" w:fill="AEAEAE"/>
            <w:tcMar>
              <w:top w:w="0" w:type="dxa"/>
              <w:left w:w="20" w:type="dxa"/>
              <w:bottom w:w="0" w:type="dxa"/>
              <w:right w:w="20" w:type="dxa"/>
            </w:tcMar>
            <w:vAlign w:val="bottom"/>
          </w:tcPr>
          <w:p w14:paraId="39D97196" w14:textId="77777777" w:rsidR="00996AD7" w:rsidRDefault="00996AD7">
            <w:pPr>
              <w:rPr>
                <w:rFonts w:ascii="宋体"/>
              </w:rPr>
            </w:pPr>
          </w:p>
        </w:tc>
      </w:tr>
      <w:tr w:rsidR="00996AD7" w14:paraId="39D971A7" w14:textId="77777777">
        <w:trPr>
          <w:trHeight w:val="400"/>
        </w:trPr>
        <w:tc>
          <w:tcPr>
            <w:tcW w:w="0" w:type="auto"/>
            <w:gridSpan w:val="3"/>
            <w:shd w:val="clear" w:color="auto" w:fill="auto"/>
            <w:tcMar>
              <w:top w:w="40" w:type="dxa"/>
              <w:left w:w="20" w:type="dxa"/>
              <w:bottom w:w="40" w:type="dxa"/>
              <w:right w:w="20" w:type="dxa"/>
            </w:tcMar>
          </w:tcPr>
          <w:p w14:paraId="39D97198" w14:textId="77777777" w:rsidR="00996AD7" w:rsidRDefault="00D96458">
            <w:pPr>
              <w:textAlignment w:val="top"/>
            </w:pPr>
            <w:r>
              <w:rPr>
                <w:rFonts w:ascii="Arial" w:eastAsia="宋体" w:hAnsi="Arial" w:cs="Arial"/>
                <w:color w:val="004A86"/>
                <w:sz w:val="36"/>
                <w:szCs w:val="36"/>
              </w:rPr>
              <w:t>$19.2B</w:t>
            </w:r>
          </w:p>
        </w:tc>
        <w:tc>
          <w:tcPr>
            <w:tcW w:w="0" w:type="auto"/>
            <w:gridSpan w:val="3"/>
            <w:shd w:val="clear" w:color="auto" w:fill="auto"/>
            <w:tcMar>
              <w:top w:w="0" w:type="dxa"/>
              <w:left w:w="20" w:type="dxa"/>
              <w:bottom w:w="0" w:type="dxa"/>
              <w:right w:w="20" w:type="dxa"/>
            </w:tcMar>
            <w:vAlign w:val="bottom"/>
          </w:tcPr>
          <w:p w14:paraId="39D97199"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719A" w14:textId="77777777" w:rsidR="00996AD7" w:rsidRDefault="00D96458">
            <w:pPr>
              <w:textAlignment w:val="top"/>
            </w:pPr>
            <w:r>
              <w:rPr>
                <w:rFonts w:ascii="Arial" w:eastAsia="宋体" w:hAnsi="Arial" w:cs="Arial"/>
                <w:color w:val="0068B5"/>
                <w:sz w:val="36"/>
                <w:szCs w:val="36"/>
              </w:rPr>
              <w:t>$18.1B</w:t>
            </w:r>
          </w:p>
        </w:tc>
        <w:tc>
          <w:tcPr>
            <w:tcW w:w="0" w:type="auto"/>
            <w:gridSpan w:val="3"/>
            <w:shd w:val="clear" w:color="auto" w:fill="auto"/>
            <w:tcMar>
              <w:top w:w="0" w:type="dxa"/>
              <w:left w:w="20" w:type="dxa"/>
              <w:bottom w:w="0" w:type="dxa"/>
              <w:right w:w="20" w:type="dxa"/>
            </w:tcMar>
            <w:vAlign w:val="bottom"/>
          </w:tcPr>
          <w:p w14:paraId="39D9719B"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719C" w14:textId="77777777" w:rsidR="00996AD7" w:rsidRDefault="00D96458">
            <w:pPr>
              <w:textAlignment w:val="top"/>
            </w:pPr>
            <w:r>
              <w:rPr>
                <w:rFonts w:ascii="Arial" w:eastAsia="宋体" w:hAnsi="Arial" w:cs="Arial"/>
                <w:color w:val="004A86"/>
                <w:sz w:val="36"/>
                <w:szCs w:val="36"/>
              </w:rPr>
              <w:t>$5.2B</w:t>
            </w:r>
          </w:p>
        </w:tc>
        <w:tc>
          <w:tcPr>
            <w:tcW w:w="0" w:type="auto"/>
            <w:gridSpan w:val="3"/>
            <w:shd w:val="clear" w:color="auto" w:fill="auto"/>
            <w:tcMar>
              <w:top w:w="0" w:type="dxa"/>
              <w:left w:w="20" w:type="dxa"/>
              <w:bottom w:w="0" w:type="dxa"/>
              <w:right w:w="20" w:type="dxa"/>
            </w:tcMar>
            <w:vAlign w:val="bottom"/>
          </w:tcPr>
          <w:p w14:paraId="39D9719D"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719E" w14:textId="77777777" w:rsidR="00996AD7" w:rsidRDefault="00D96458">
            <w:pPr>
              <w:textAlignment w:val="top"/>
            </w:pPr>
            <w:r>
              <w:rPr>
                <w:rFonts w:ascii="Arial" w:eastAsia="宋体" w:hAnsi="Arial" w:cs="Arial"/>
                <w:color w:val="0068B5"/>
                <w:sz w:val="36"/>
                <w:szCs w:val="36"/>
              </w:rPr>
              <w:t>$5.2B</w:t>
            </w:r>
          </w:p>
        </w:tc>
        <w:tc>
          <w:tcPr>
            <w:tcW w:w="0" w:type="auto"/>
            <w:gridSpan w:val="3"/>
            <w:shd w:val="clear" w:color="auto" w:fill="auto"/>
            <w:tcMar>
              <w:top w:w="0" w:type="dxa"/>
              <w:left w:w="20" w:type="dxa"/>
              <w:bottom w:w="0" w:type="dxa"/>
              <w:right w:w="20" w:type="dxa"/>
            </w:tcMar>
            <w:vAlign w:val="bottom"/>
          </w:tcPr>
          <w:p w14:paraId="39D9719F"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71A0" w14:textId="77777777" w:rsidR="00996AD7" w:rsidRDefault="00D96458">
            <w:pPr>
              <w:textAlignment w:val="top"/>
            </w:pPr>
            <w:r>
              <w:rPr>
                <w:rFonts w:ascii="Arial" w:eastAsia="宋体" w:hAnsi="Arial" w:cs="Arial"/>
                <w:color w:val="004A86"/>
                <w:sz w:val="36"/>
                <w:szCs w:val="36"/>
              </w:rPr>
              <w:t>$1.67</w:t>
            </w:r>
          </w:p>
        </w:tc>
        <w:tc>
          <w:tcPr>
            <w:tcW w:w="0" w:type="auto"/>
            <w:gridSpan w:val="3"/>
            <w:shd w:val="clear" w:color="auto" w:fill="auto"/>
            <w:tcMar>
              <w:top w:w="0" w:type="dxa"/>
              <w:left w:w="20" w:type="dxa"/>
              <w:bottom w:w="0" w:type="dxa"/>
              <w:right w:w="20" w:type="dxa"/>
            </w:tcMar>
            <w:vAlign w:val="bottom"/>
          </w:tcPr>
          <w:p w14:paraId="39D971A1"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71A2" w14:textId="77777777" w:rsidR="00996AD7" w:rsidRDefault="00D96458">
            <w:pPr>
              <w:textAlignment w:val="top"/>
            </w:pPr>
            <w:r>
              <w:rPr>
                <w:rFonts w:ascii="Arial" w:eastAsia="宋体" w:hAnsi="Arial" w:cs="Arial"/>
                <w:color w:val="0068B5"/>
                <w:sz w:val="36"/>
                <w:szCs w:val="36"/>
              </w:rPr>
              <w:t>$1.71</w:t>
            </w:r>
          </w:p>
        </w:tc>
        <w:tc>
          <w:tcPr>
            <w:tcW w:w="0" w:type="auto"/>
            <w:gridSpan w:val="3"/>
            <w:shd w:val="clear" w:color="auto" w:fill="auto"/>
            <w:tcMar>
              <w:top w:w="0" w:type="dxa"/>
              <w:left w:w="20" w:type="dxa"/>
              <w:bottom w:w="0" w:type="dxa"/>
              <w:right w:w="20" w:type="dxa"/>
            </w:tcMar>
            <w:vAlign w:val="bottom"/>
          </w:tcPr>
          <w:p w14:paraId="39D971A3"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71A4" w14:textId="77777777" w:rsidR="00996AD7" w:rsidRDefault="00D96458">
            <w:pPr>
              <w:textAlignment w:val="top"/>
            </w:pPr>
            <w:r>
              <w:rPr>
                <w:rFonts w:ascii="Arial" w:eastAsia="宋体" w:hAnsi="Arial" w:cs="Arial"/>
                <w:color w:val="0068B5"/>
                <w:sz w:val="36"/>
                <w:szCs w:val="36"/>
              </w:rPr>
              <w:t>$24.2B</w:t>
            </w:r>
          </w:p>
        </w:tc>
        <w:tc>
          <w:tcPr>
            <w:tcW w:w="0" w:type="auto"/>
            <w:gridSpan w:val="3"/>
            <w:shd w:val="clear" w:color="auto" w:fill="auto"/>
            <w:tcMar>
              <w:top w:w="0" w:type="dxa"/>
              <w:left w:w="20" w:type="dxa"/>
              <w:bottom w:w="0" w:type="dxa"/>
              <w:right w:w="20" w:type="dxa"/>
            </w:tcMar>
            <w:vAlign w:val="bottom"/>
          </w:tcPr>
          <w:p w14:paraId="39D971A5"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71A6" w14:textId="77777777" w:rsidR="00996AD7" w:rsidRDefault="00D96458">
            <w:pPr>
              <w:textAlignment w:val="top"/>
            </w:pPr>
            <w:r>
              <w:rPr>
                <w:rFonts w:ascii="Arial" w:eastAsia="宋体" w:hAnsi="Arial" w:cs="Arial"/>
                <w:color w:val="004A86"/>
                <w:sz w:val="36"/>
                <w:szCs w:val="36"/>
              </w:rPr>
              <w:t>$12.6B</w:t>
            </w:r>
          </w:p>
        </w:tc>
      </w:tr>
      <w:tr w:rsidR="00996AD7" w14:paraId="39D971B7" w14:textId="77777777">
        <w:trPr>
          <w:trHeight w:val="280"/>
        </w:trPr>
        <w:tc>
          <w:tcPr>
            <w:tcW w:w="0" w:type="auto"/>
            <w:gridSpan w:val="3"/>
            <w:shd w:val="clear" w:color="auto" w:fill="auto"/>
            <w:tcMar>
              <w:top w:w="40" w:type="dxa"/>
              <w:left w:w="20" w:type="dxa"/>
              <w:bottom w:w="40" w:type="dxa"/>
              <w:right w:w="20" w:type="dxa"/>
            </w:tcMar>
            <w:vAlign w:val="bottom"/>
          </w:tcPr>
          <w:p w14:paraId="39D971A8" w14:textId="77777777" w:rsidR="00996AD7" w:rsidRDefault="00D9645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39D971A9"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71AA" w14:textId="77777777" w:rsidR="00996AD7" w:rsidRDefault="00D96458">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39D971AB"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71AC" w14:textId="77777777" w:rsidR="00996AD7" w:rsidRDefault="00D9645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39D971AD"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71AE" w14:textId="77777777" w:rsidR="00996AD7" w:rsidRDefault="00D96458">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39D971AF"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71B0" w14:textId="77777777" w:rsidR="00996AD7" w:rsidRDefault="00D9645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39D971B1"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71B2" w14:textId="77777777" w:rsidR="00996AD7" w:rsidRDefault="00D96458">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39D971B3"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71B4" w14:textId="77777777" w:rsidR="00996AD7" w:rsidRDefault="00D9645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39D971B5"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71B6" w14:textId="77777777" w:rsidR="00996AD7" w:rsidRDefault="00D96458">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r>
      <w:tr w:rsidR="00996AD7" w14:paraId="39D971C7" w14:textId="77777777">
        <w:trPr>
          <w:trHeight w:val="1380"/>
        </w:trPr>
        <w:tc>
          <w:tcPr>
            <w:tcW w:w="0" w:type="auto"/>
            <w:gridSpan w:val="3"/>
            <w:tcBorders>
              <w:top w:val="single" w:sz="8" w:space="0" w:color="004A86"/>
            </w:tcBorders>
            <w:shd w:val="clear" w:color="auto" w:fill="auto"/>
            <w:tcMar>
              <w:top w:w="40" w:type="dxa"/>
              <w:left w:w="20" w:type="dxa"/>
              <w:bottom w:w="40" w:type="dxa"/>
              <w:right w:w="20" w:type="dxa"/>
            </w:tcMar>
          </w:tcPr>
          <w:p w14:paraId="39D971B8" w14:textId="77777777" w:rsidR="00996AD7" w:rsidRDefault="00D96458">
            <w:pPr>
              <w:textAlignment w:val="top"/>
            </w:pPr>
            <w:r>
              <w:rPr>
                <w:rFonts w:ascii="Arial" w:eastAsia="宋体" w:hAnsi="Arial" w:cs="Arial"/>
                <w:color w:val="262626"/>
                <w:sz w:val="16"/>
                <w:szCs w:val="16"/>
              </w:rPr>
              <w:t>Revenue up $859M or 4.7% from Q3 2020</w:t>
            </w:r>
          </w:p>
        </w:tc>
        <w:tc>
          <w:tcPr>
            <w:tcW w:w="0" w:type="auto"/>
            <w:gridSpan w:val="3"/>
            <w:shd w:val="clear" w:color="auto" w:fill="auto"/>
            <w:tcMar>
              <w:top w:w="0" w:type="dxa"/>
              <w:left w:w="20" w:type="dxa"/>
              <w:bottom w:w="0" w:type="dxa"/>
              <w:right w:w="20" w:type="dxa"/>
            </w:tcMar>
            <w:vAlign w:val="bottom"/>
          </w:tcPr>
          <w:p w14:paraId="39D971B9" w14:textId="77777777" w:rsidR="00996AD7" w:rsidRDefault="00996AD7">
            <w:pPr>
              <w:rPr>
                <w:rFonts w:ascii="宋体"/>
              </w:rPr>
            </w:pPr>
          </w:p>
        </w:tc>
        <w:tc>
          <w:tcPr>
            <w:tcW w:w="0" w:type="auto"/>
            <w:gridSpan w:val="3"/>
            <w:tcBorders>
              <w:top w:val="single" w:sz="8" w:space="0" w:color="004A86"/>
            </w:tcBorders>
            <w:shd w:val="clear" w:color="auto" w:fill="auto"/>
            <w:tcMar>
              <w:top w:w="40" w:type="dxa"/>
              <w:left w:w="20" w:type="dxa"/>
              <w:bottom w:w="40" w:type="dxa"/>
              <w:right w:w="20" w:type="dxa"/>
            </w:tcMar>
          </w:tcPr>
          <w:p w14:paraId="39D971BA" w14:textId="77777777" w:rsidR="00996AD7" w:rsidRDefault="00D96458">
            <w:pPr>
              <w:textAlignment w:val="top"/>
            </w:pPr>
            <w:r>
              <w:rPr>
                <w:rFonts w:ascii="Arial" w:eastAsia="宋体" w:hAnsi="Arial" w:cs="Arial"/>
                <w:color w:val="262626"/>
                <w:sz w:val="16"/>
                <w:szCs w:val="16"/>
              </w:rPr>
              <w:t>Revenue up $821M or 4.8% from Q3 2020</w:t>
            </w:r>
          </w:p>
        </w:tc>
        <w:tc>
          <w:tcPr>
            <w:tcW w:w="0" w:type="auto"/>
            <w:gridSpan w:val="3"/>
            <w:shd w:val="clear" w:color="auto" w:fill="auto"/>
            <w:tcMar>
              <w:top w:w="0" w:type="dxa"/>
              <w:left w:w="20" w:type="dxa"/>
              <w:bottom w:w="0" w:type="dxa"/>
              <w:right w:w="20" w:type="dxa"/>
            </w:tcMar>
            <w:vAlign w:val="bottom"/>
          </w:tcPr>
          <w:p w14:paraId="39D971BB"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39D971BC" w14:textId="77777777" w:rsidR="00996AD7" w:rsidRDefault="00D96458">
            <w:pPr>
              <w:textAlignment w:val="top"/>
            </w:pPr>
            <w:r>
              <w:rPr>
                <w:rFonts w:ascii="Arial" w:eastAsia="宋体" w:hAnsi="Arial" w:cs="Arial"/>
                <w:color w:val="262626"/>
                <w:sz w:val="16"/>
                <w:szCs w:val="16"/>
              </w:rPr>
              <w:t>Operating income up $168M or 3% from Q3 2020; Q3 2021 operating margin at 27%</w:t>
            </w:r>
          </w:p>
        </w:tc>
        <w:tc>
          <w:tcPr>
            <w:tcW w:w="0" w:type="auto"/>
            <w:gridSpan w:val="3"/>
            <w:shd w:val="clear" w:color="auto" w:fill="auto"/>
            <w:tcMar>
              <w:top w:w="0" w:type="dxa"/>
              <w:left w:w="20" w:type="dxa"/>
              <w:bottom w:w="0" w:type="dxa"/>
              <w:right w:w="20" w:type="dxa"/>
            </w:tcMar>
            <w:vAlign w:val="bottom"/>
          </w:tcPr>
          <w:p w14:paraId="39D971BD"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39D971BE" w14:textId="77777777" w:rsidR="00996AD7" w:rsidRDefault="00D96458">
            <w:pPr>
              <w:textAlignment w:val="top"/>
            </w:pPr>
            <w:r>
              <w:rPr>
                <w:rFonts w:ascii="Arial" w:eastAsia="宋体" w:hAnsi="Arial" w:cs="Arial"/>
                <w:color w:val="262626"/>
                <w:sz w:val="16"/>
                <w:szCs w:val="16"/>
              </w:rPr>
              <w:t xml:space="preserve">Operating income down $49M or 1% from Q3 2020; Q3 2021 </w:t>
            </w:r>
            <w:r>
              <w:rPr>
                <w:rFonts w:ascii="Arial" w:eastAsia="宋体" w:hAnsi="Arial" w:cs="Arial"/>
                <w:color w:val="262626"/>
                <w:sz w:val="16"/>
                <w:szCs w:val="16"/>
              </w:rPr>
              <w:t>operating margin at 29%</w:t>
            </w:r>
          </w:p>
        </w:tc>
        <w:tc>
          <w:tcPr>
            <w:tcW w:w="0" w:type="auto"/>
            <w:gridSpan w:val="3"/>
            <w:shd w:val="clear" w:color="auto" w:fill="auto"/>
            <w:tcMar>
              <w:top w:w="0" w:type="dxa"/>
              <w:left w:w="20" w:type="dxa"/>
              <w:bottom w:w="0" w:type="dxa"/>
              <w:right w:w="20" w:type="dxa"/>
            </w:tcMar>
            <w:vAlign w:val="bottom"/>
          </w:tcPr>
          <w:p w14:paraId="39D971BF" w14:textId="77777777" w:rsidR="00996AD7" w:rsidRDefault="00996AD7">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39D971C0" w14:textId="77777777" w:rsidR="00996AD7" w:rsidRDefault="00D96458">
            <w:pPr>
              <w:textAlignment w:val="top"/>
            </w:pPr>
            <w:r>
              <w:rPr>
                <w:rFonts w:ascii="Arial" w:eastAsia="宋体" w:hAnsi="Arial" w:cs="Arial"/>
                <w:color w:val="262626"/>
                <w:sz w:val="16"/>
                <w:szCs w:val="16"/>
              </w:rPr>
              <w:t>Diluted EPS up $0.65 or 64% from Q3 2020</w:t>
            </w:r>
          </w:p>
        </w:tc>
        <w:tc>
          <w:tcPr>
            <w:tcW w:w="0" w:type="auto"/>
            <w:gridSpan w:val="3"/>
            <w:shd w:val="clear" w:color="auto" w:fill="auto"/>
            <w:tcMar>
              <w:top w:w="0" w:type="dxa"/>
              <w:left w:w="20" w:type="dxa"/>
              <w:bottom w:w="0" w:type="dxa"/>
              <w:right w:w="20" w:type="dxa"/>
            </w:tcMar>
            <w:vAlign w:val="bottom"/>
          </w:tcPr>
          <w:p w14:paraId="39D971C1" w14:textId="77777777" w:rsidR="00996AD7" w:rsidRDefault="00996AD7">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39D971C2" w14:textId="77777777" w:rsidR="00996AD7" w:rsidRDefault="00D96458">
            <w:pPr>
              <w:textAlignment w:val="top"/>
            </w:pPr>
            <w:r>
              <w:rPr>
                <w:rFonts w:ascii="Arial" w:eastAsia="宋体" w:hAnsi="Arial" w:cs="Arial"/>
                <w:color w:val="262626"/>
                <w:sz w:val="16"/>
                <w:szCs w:val="16"/>
              </w:rPr>
              <w:t>Diluted EPS up $0.63 or 59% from Q3 2020</w:t>
            </w:r>
          </w:p>
        </w:tc>
        <w:tc>
          <w:tcPr>
            <w:tcW w:w="0" w:type="auto"/>
            <w:gridSpan w:val="3"/>
            <w:shd w:val="clear" w:color="auto" w:fill="auto"/>
            <w:tcMar>
              <w:top w:w="0" w:type="dxa"/>
              <w:left w:w="20" w:type="dxa"/>
              <w:bottom w:w="0" w:type="dxa"/>
              <w:right w:w="20" w:type="dxa"/>
            </w:tcMar>
            <w:vAlign w:val="bottom"/>
          </w:tcPr>
          <w:p w14:paraId="39D971C3" w14:textId="77777777" w:rsidR="00996AD7" w:rsidRDefault="00996AD7">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39D971C4" w14:textId="77777777" w:rsidR="00996AD7" w:rsidRDefault="00D96458">
            <w:pPr>
              <w:textAlignment w:val="top"/>
            </w:pPr>
            <w:r>
              <w:rPr>
                <w:rFonts w:ascii="Arial" w:eastAsia="宋体" w:hAnsi="Arial" w:cs="Arial"/>
                <w:color w:val="262626"/>
                <w:sz w:val="16"/>
                <w:szCs w:val="16"/>
              </w:rPr>
              <w:t>Operating cash flow down $1.3B or 5% from YTD Q3 2020</w:t>
            </w:r>
          </w:p>
        </w:tc>
        <w:tc>
          <w:tcPr>
            <w:tcW w:w="0" w:type="auto"/>
            <w:gridSpan w:val="3"/>
            <w:shd w:val="clear" w:color="auto" w:fill="auto"/>
            <w:tcMar>
              <w:top w:w="0" w:type="dxa"/>
              <w:left w:w="20" w:type="dxa"/>
              <w:bottom w:w="0" w:type="dxa"/>
              <w:right w:w="20" w:type="dxa"/>
            </w:tcMar>
            <w:vAlign w:val="bottom"/>
          </w:tcPr>
          <w:p w14:paraId="39D971C5" w14:textId="77777777" w:rsidR="00996AD7" w:rsidRDefault="00996AD7">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39D971C6" w14:textId="77777777" w:rsidR="00996AD7" w:rsidRDefault="00D96458">
            <w:pPr>
              <w:textAlignment w:val="top"/>
            </w:pPr>
            <w:r>
              <w:rPr>
                <w:rFonts w:ascii="Arial" w:eastAsia="宋体" w:hAnsi="Arial" w:cs="Arial"/>
                <w:color w:val="262626"/>
                <w:sz w:val="16"/>
                <w:szCs w:val="16"/>
              </w:rPr>
              <w:t>Free cash flow down $2.5B or 16% from YTD Q3 2020</w:t>
            </w:r>
          </w:p>
        </w:tc>
      </w:tr>
      <w:tr w:rsidR="00996AD7" w14:paraId="39D971D5" w14:textId="77777777">
        <w:trPr>
          <w:trHeight w:val="60"/>
        </w:trPr>
        <w:tc>
          <w:tcPr>
            <w:tcW w:w="0" w:type="auto"/>
            <w:gridSpan w:val="9"/>
            <w:shd w:val="clear" w:color="auto" w:fill="auto"/>
            <w:tcMar>
              <w:top w:w="0" w:type="dxa"/>
              <w:left w:w="20" w:type="dxa"/>
              <w:bottom w:w="0" w:type="dxa"/>
              <w:right w:w="20" w:type="dxa"/>
            </w:tcMar>
            <w:vAlign w:val="bottom"/>
          </w:tcPr>
          <w:p w14:paraId="39D971C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C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C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C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C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C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C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C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D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D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D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D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1D4" w14:textId="77777777" w:rsidR="00996AD7" w:rsidRDefault="00996AD7">
            <w:pPr>
              <w:rPr>
                <w:rFonts w:ascii="宋体"/>
              </w:rPr>
            </w:pPr>
          </w:p>
        </w:tc>
      </w:tr>
      <w:tr w:rsidR="00996AD7" w14:paraId="39D971DD" w14:textId="77777777">
        <w:trPr>
          <w:trHeight w:val="2400"/>
        </w:trPr>
        <w:tc>
          <w:tcPr>
            <w:tcW w:w="0" w:type="auto"/>
            <w:gridSpan w:val="9"/>
            <w:shd w:val="clear" w:color="auto" w:fill="auto"/>
            <w:tcMar>
              <w:top w:w="40" w:type="dxa"/>
              <w:left w:w="20" w:type="dxa"/>
              <w:bottom w:w="40" w:type="dxa"/>
              <w:right w:w="20" w:type="dxa"/>
            </w:tcMar>
          </w:tcPr>
          <w:p w14:paraId="39D971D6" w14:textId="77777777" w:rsidR="00996AD7" w:rsidRDefault="00D96458">
            <w:pPr>
              <w:textAlignment w:val="top"/>
            </w:pPr>
            <w:r>
              <w:rPr>
                <w:rFonts w:ascii="Arial" w:eastAsia="宋体" w:hAnsi="Arial" w:cs="Arial"/>
                <w:color w:val="262626"/>
                <w:sz w:val="16"/>
                <w:szCs w:val="16"/>
              </w:rPr>
              <w:t>Higher revenue in DCG, IOTG, Mobileye and PSG, partially offset by declines in CCG and NSG. Non-GAAP revenue excludes NSG.</w:t>
            </w:r>
          </w:p>
        </w:tc>
        <w:tc>
          <w:tcPr>
            <w:tcW w:w="0" w:type="auto"/>
            <w:gridSpan w:val="3"/>
            <w:shd w:val="clear" w:color="auto" w:fill="auto"/>
            <w:tcMar>
              <w:top w:w="0" w:type="dxa"/>
              <w:left w:w="20" w:type="dxa"/>
              <w:bottom w:w="0" w:type="dxa"/>
              <w:right w:w="20" w:type="dxa"/>
            </w:tcMar>
            <w:vAlign w:val="bottom"/>
          </w:tcPr>
          <w:p w14:paraId="39D971D7"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71D8" w14:textId="77777777" w:rsidR="00996AD7" w:rsidRDefault="00D96458">
            <w:pPr>
              <w:textAlignment w:val="top"/>
            </w:pPr>
            <w:r>
              <w:rPr>
                <w:rFonts w:ascii="Arial" w:eastAsia="宋体" w:hAnsi="Arial" w:cs="Arial"/>
                <w:color w:val="262626"/>
                <w:sz w:val="16"/>
                <w:szCs w:val="16"/>
              </w:rPr>
              <w:t>Higher gross margin from higher platform</w:t>
            </w:r>
            <w:r>
              <w:rPr>
                <w:rFonts w:ascii="Arial" w:eastAsia="宋体" w:hAnsi="Arial" w:cs="Arial"/>
                <w:color w:val="262626"/>
                <w:sz w:val="10"/>
                <w:szCs w:val="10"/>
              </w:rPr>
              <w:t>2</w:t>
            </w:r>
            <w:r>
              <w:rPr>
                <w:rFonts w:ascii="Arial" w:eastAsia="宋体" w:hAnsi="Arial" w:cs="Arial"/>
                <w:color w:val="262626"/>
                <w:sz w:val="16"/>
                <w:szCs w:val="16"/>
              </w:rPr>
              <w:t xml:space="preserve"> revenue partially offset by higher operating expenses from additional investment, higher period charges from ramp of process technology, and absence of sell-through on reserved non-qualified platform products compared to Q3 2020. Non-GAAP operating income</w:t>
            </w:r>
            <w:r>
              <w:rPr>
                <w:rFonts w:ascii="Arial" w:eastAsia="宋体" w:hAnsi="Arial" w:cs="Arial"/>
                <w:color w:val="262626"/>
                <w:sz w:val="16"/>
                <w:szCs w:val="16"/>
              </w:rPr>
              <w:t xml:space="preserve"> excludes NSG, amortization of acquisition-related intangibles, and restructuring.</w:t>
            </w:r>
          </w:p>
        </w:tc>
        <w:tc>
          <w:tcPr>
            <w:tcW w:w="0" w:type="auto"/>
            <w:gridSpan w:val="3"/>
            <w:shd w:val="clear" w:color="auto" w:fill="auto"/>
            <w:tcMar>
              <w:top w:w="0" w:type="dxa"/>
              <w:left w:w="20" w:type="dxa"/>
              <w:bottom w:w="0" w:type="dxa"/>
              <w:right w:w="20" w:type="dxa"/>
            </w:tcMar>
            <w:vAlign w:val="bottom"/>
          </w:tcPr>
          <w:p w14:paraId="39D971D9"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71DA" w14:textId="77777777" w:rsidR="00996AD7" w:rsidRDefault="00D96458">
            <w:pPr>
              <w:textAlignment w:val="top"/>
            </w:pPr>
            <w:r>
              <w:rPr>
                <w:rFonts w:ascii="Arial" w:eastAsia="宋体" w:hAnsi="Arial" w:cs="Arial"/>
                <w:color w:val="262626"/>
                <w:sz w:val="16"/>
                <w:szCs w:val="16"/>
              </w:rPr>
              <w:t>Higher EPS driven by McAfee special dividend, lower effective tax rate, and lower shares. Non-GAAP results incrementally exclude ongoing mark-to-market adjustments, and tax</w:t>
            </w:r>
            <w:r>
              <w:rPr>
                <w:rFonts w:ascii="Arial" w:eastAsia="宋体" w:hAnsi="Arial" w:cs="Arial"/>
                <w:color w:val="262626"/>
                <w:sz w:val="16"/>
                <w:szCs w:val="16"/>
              </w:rPr>
              <w:t xml:space="preserve"> impacts of non-GAAP adjustments.</w:t>
            </w:r>
          </w:p>
        </w:tc>
        <w:tc>
          <w:tcPr>
            <w:tcW w:w="0" w:type="auto"/>
            <w:gridSpan w:val="3"/>
            <w:shd w:val="clear" w:color="auto" w:fill="auto"/>
            <w:tcMar>
              <w:top w:w="0" w:type="dxa"/>
              <w:left w:w="20" w:type="dxa"/>
              <w:bottom w:w="0" w:type="dxa"/>
              <w:right w:w="20" w:type="dxa"/>
            </w:tcMar>
            <w:vAlign w:val="bottom"/>
          </w:tcPr>
          <w:p w14:paraId="39D971DB"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71DC" w14:textId="77777777" w:rsidR="00996AD7" w:rsidRDefault="00D96458">
            <w:pPr>
              <w:spacing w:after="180"/>
              <w:textAlignment w:val="top"/>
            </w:pPr>
            <w:r>
              <w:rPr>
                <w:rFonts w:ascii="Arial" w:eastAsia="宋体" w:hAnsi="Arial" w:cs="Arial"/>
                <w:color w:val="262626"/>
                <w:sz w:val="16"/>
                <w:szCs w:val="16"/>
              </w:rPr>
              <w:t xml:space="preserve">Lower operating cash flow driven by a decrease in net working capital contributions and cash paid to settle a prepaid supply agreement in Q1 2021, partially offset by a McAfee special dividend received in Q3 2021. </w:t>
            </w:r>
            <w:r>
              <w:rPr>
                <w:rFonts w:ascii="Arial" w:eastAsia="宋体" w:hAnsi="Arial" w:cs="Arial"/>
                <w:color w:val="262626"/>
                <w:sz w:val="16"/>
                <w:szCs w:val="16"/>
              </w:rPr>
              <w:t>Free cash flow decreased due to lower operating cash flow and higher capital expenditures.</w:t>
            </w:r>
          </w:p>
        </w:tc>
      </w:tr>
    </w:tbl>
    <w:p w14:paraId="39D971DE" w14:textId="77777777" w:rsidR="00996AD7" w:rsidRDefault="00D96458">
      <w:pPr>
        <w:spacing w:after="120"/>
      </w:pPr>
      <w:r>
        <w:rPr>
          <w:rFonts w:ascii="Arial" w:eastAsia="宋体" w:hAnsi="Arial" w:cs="Arial"/>
          <w:color w:val="0068B5"/>
        </w:rPr>
        <w:t>Key Developments</w:t>
      </w:r>
    </w:p>
    <w:p w14:paraId="39D971DF" w14:textId="77777777" w:rsidR="00996AD7" w:rsidRDefault="00D964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In July 2021, we provided an update on our manufacturing process and packaging technology roadmaps at our Intel Accelerated event. As part of </w:t>
      </w:r>
      <w:r>
        <w:rPr>
          <w:rFonts w:ascii="Arial" w:eastAsia="宋体" w:hAnsi="Arial" w:cs="Arial"/>
          <w:color w:val="262626"/>
          <w:sz w:val="18"/>
          <w:szCs w:val="18"/>
        </w:rPr>
        <w:t>the update, we also introduced a new naming structure for our manufacturing process nodes, which includes the name changes summarized in Key Terms</w:t>
      </w:r>
      <w:r>
        <w:rPr>
          <w:rFonts w:ascii="Arial" w:eastAsia="宋体" w:hAnsi="Arial" w:cs="Arial"/>
          <w:color w:val="262626"/>
          <w:sz w:val="11"/>
          <w:szCs w:val="11"/>
        </w:rPr>
        <w:t>2</w:t>
      </w:r>
      <w:r>
        <w:rPr>
          <w:rFonts w:ascii="Arial" w:eastAsia="宋体" w:hAnsi="Arial" w:cs="Arial"/>
          <w:color w:val="262626"/>
          <w:sz w:val="18"/>
          <w:szCs w:val="18"/>
        </w:rPr>
        <w:t>. We introduced additional future nodes, including Intel 3 and Intel 20A, and discussed future process and pa</w:t>
      </w:r>
      <w:r>
        <w:rPr>
          <w:rFonts w:ascii="Arial" w:eastAsia="宋体" w:hAnsi="Arial" w:cs="Arial"/>
          <w:color w:val="262626"/>
          <w:sz w:val="18"/>
          <w:szCs w:val="18"/>
        </w:rPr>
        <w:t>ckaging technologies, such as our PowerVia, RibbonFET, Foveros Omni, and Foveros Direct technologies.</w:t>
      </w:r>
    </w:p>
    <w:p w14:paraId="39D971E0" w14:textId="77777777" w:rsidR="00996AD7" w:rsidRDefault="00D964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At Intel Architecture Day 2021, we detailed our architectural innovations to meet increasing demand for computing performance and set the stage for new g</w:t>
      </w:r>
      <w:r>
        <w:rPr>
          <w:rFonts w:ascii="Arial" w:eastAsia="宋体" w:hAnsi="Arial" w:cs="Arial"/>
          <w:color w:val="262626"/>
          <w:sz w:val="18"/>
          <w:szCs w:val="18"/>
        </w:rPr>
        <w:t>enerations of leadership products. We provided details on two new x86 CPU architectures, our first performance hybrid architecture and our Intel</w:t>
      </w:r>
      <w:r>
        <w:rPr>
          <w:rFonts w:ascii="Arial" w:eastAsia="宋体" w:hAnsi="Arial" w:cs="Arial"/>
          <w:color w:val="262626"/>
          <w:sz w:val="11"/>
          <w:szCs w:val="11"/>
        </w:rPr>
        <w:t>®</w:t>
      </w:r>
      <w:r>
        <w:rPr>
          <w:rFonts w:ascii="Arial" w:eastAsia="宋体" w:hAnsi="Arial" w:cs="Arial"/>
          <w:color w:val="262626"/>
          <w:sz w:val="18"/>
          <w:szCs w:val="18"/>
        </w:rPr>
        <w:t xml:space="preserve"> Thread Director intelligent workload scheduler; our next-generation data center processor Sapphire Rapids; inf</w:t>
      </w:r>
      <w:r>
        <w:rPr>
          <w:rFonts w:ascii="Arial" w:eastAsia="宋体" w:hAnsi="Arial" w:cs="Arial"/>
          <w:color w:val="262626"/>
          <w:sz w:val="18"/>
          <w:szCs w:val="18"/>
        </w:rPr>
        <w:t xml:space="preserve">rastructure processing unit architecture; and upcoming graphics architectures, which will power our upcoming Alchemist SoC for client discrete graphics and Ponte Vecchio SoC for high-performance computing applications. </w:t>
      </w:r>
    </w:p>
    <w:p w14:paraId="39D971E1" w14:textId="77777777" w:rsidR="00996AD7" w:rsidRDefault="00D964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In August 2021 it was announced tha</w:t>
      </w:r>
      <w:r>
        <w:rPr>
          <w:rFonts w:ascii="Arial" w:eastAsia="宋体" w:hAnsi="Arial" w:cs="Arial"/>
          <w:color w:val="262626"/>
          <w:sz w:val="18"/>
          <w:szCs w:val="18"/>
        </w:rPr>
        <w:t xml:space="preserve">t Intel Foundry Services will lead the first phase of the U.S. Department of Defense's multi-phase Rapid Assured Microelectronics Prototypes - Commercial program to facilitate the use of a domestic commercial foundry infrastructure. </w:t>
      </w:r>
    </w:p>
    <w:p w14:paraId="39D971E2" w14:textId="77777777" w:rsidR="00996AD7" w:rsidRDefault="00D96458">
      <w:r>
        <w:rPr>
          <w:rFonts w:ascii="Arial" w:eastAsia="宋体" w:hAnsi="Arial" w:cs="Arial"/>
          <w:i/>
          <w:iCs/>
          <w:color w:val="262626"/>
          <w:sz w:val="10"/>
          <w:szCs w:val="10"/>
        </w:rPr>
        <w:t xml:space="preserve">1 </w:t>
      </w:r>
      <w:r>
        <w:rPr>
          <w:rFonts w:ascii="Arial" w:eastAsia="宋体" w:hAnsi="Arial" w:cs="Arial"/>
          <w:i/>
          <w:iCs/>
          <w:color w:val="262626"/>
          <w:sz w:val="16"/>
          <w:szCs w:val="16"/>
        </w:rPr>
        <w:t>See "Non-GAAP Financ</w:t>
      </w:r>
      <w:r>
        <w:rPr>
          <w:rFonts w:ascii="Arial" w:eastAsia="宋体" w:hAnsi="Arial" w:cs="Arial"/>
          <w:i/>
          <w:iCs/>
          <w:color w:val="262626"/>
          <w:sz w:val="16"/>
          <w:szCs w:val="16"/>
        </w:rPr>
        <w:t>ial Measures" within MD&amp;A.</w:t>
      </w:r>
    </w:p>
    <w:p w14:paraId="39D971E3" w14:textId="77777777" w:rsidR="00996AD7" w:rsidRDefault="00D96458">
      <w:r>
        <w:rPr>
          <w:rFonts w:ascii="Arial" w:eastAsia="宋体" w:hAnsi="Arial" w:cs="Arial"/>
          <w:i/>
          <w:iCs/>
          <w:color w:val="262626"/>
          <w:sz w:val="10"/>
          <w:szCs w:val="10"/>
        </w:rPr>
        <w:t xml:space="preserve">2 </w:t>
      </w:r>
      <w:r>
        <w:rPr>
          <w:rFonts w:ascii="Arial" w:eastAsia="宋体" w:hAnsi="Arial" w:cs="Arial"/>
          <w:i/>
          <w:iCs/>
          <w:color w:val="262626"/>
          <w:sz w:val="16"/>
          <w:szCs w:val="16"/>
        </w:rPr>
        <w:t xml:space="preserve">See "Key Terms" within Consolidated Condensed Financial Statements and Supplemental Details. </w:t>
      </w:r>
    </w:p>
    <w:p w14:paraId="39D971E4" w14:textId="77777777" w:rsidR="00996AD7" w:rsidRDefault="00996AD7"/>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5"/>
        <w:gridCol w:w="36"/>
        <w:gridCol w:w="44"/>
        <w:gridCol w:w="3525"/>
        <w:gridCol w:w="36"/>
      </w:tblGrid>
      <w:tr w:rsidR="00996AD7" w14:paraId="39D971EE" w14:textId="77777777">
        <w:tc>
          <w:tcPr>
            <w:tcW w:w="50" w:type="pct"/>
            <w:shd w:val="clear" w:color="auto" w:fill="auto"/>
            <w:vAlign w:val="bottom"/>
          </w:tcPr>
          <w:p w14:paraId="39D971E5" w14:textId="77777777" w:rsidR="00996AD7" w:rsidRDefault="00996AD7">
            <w:pPr>
              <w:rPr>
                <w:rFonts w:ascii="宋体"/>
              </w:rPr>
            </w:pPr>
          </w:p>
        </w:tc>
        <w:tc>
          <w:tcPr>
            <w:tcW w:w="211" w:type="pct"/>
            <w:shd w:val="clear" w:color="auto" w:fill="auto"/>
            <w:vAlign w:val="bottom"/>
          </w:tcPr>
          <w:p w14:paraId="39D971E6" w14:textId="77777777" w:rsidR="00996AD7" w:rsidRDefault="00996AD7">
            <w:pPr>
              <w:rPr>
                <w:rFonts w:ascii="宋体"/>
              </w:rPr>
            </w:pPr>
          </w:p>
        </w:tc>
        <w:tc>
          <w:tcPr>
            <w:tcW w:w="5" w:type="pct"/>
            <w:shd w:val="clear" w:color="auto" w:fill="auto"/>
            <w:vAlign w:val="bottom"/>
          </w:tcPr>
          <w:p w14:paraId="39D971E7" w14:textId="77777777" w:rsidR="00996AD7" w:rsidRDefault="00996AD7">
            <w:pPr>
              <w:rPr>
                <w:rFonts w:ascii="宋体"/>
              </w:rPr>
            </w:pPr>
          </w:p>
        </w:tc>
        <w:tc>
          <w:tcPr>
            <w:tcW w:w="50" w:type="pct"/>
            <w:shd w:val="clear" w:color="auto" w:fill="auto"/>
            <w:vAlign w:val="bottom"/>
          </w:tcPr>
          <w:p w14:paraId="39D971E8" w14:textId="77777777" w:rsidR="00996AD7" w:rsidRDefault="00996AD7">
            <w:pPr>
              <w:rPr>
                <w:rFonts w:ascii="宋体"/>
              </w:rPr>
            </w:pPr>
          </w:p>
        </w:tc>
        <w:tc>
          <w:tcPr>
            <w:tcW w:w="2485" w:type="pct"/>
            <w:shd w:val="clear" w:color="auto" w:fill="auto"/>
            <w:vAlign w:val="bottom"/>
          </w:tcPr>
          <w:p w14:paraId="39D971E9" w14:textId="77777777" w:rsidR="00996AD7" w:rsidRDefault="00996AD7">
            <w:pPr>
              <w:rPr>
                <w:rFonts w:ascii="宋体"/>
              </w:rPr>
            </w:pPr>
          </w:p>
        </w:tc>
        <w:tc>
          <w:tcPr>
            <w:tcW w:w="5" w:type="pct"/>
            <w:shd w:val="clear" w:color="auto" w:fill="auto"/>
            <w:vAlign w:val="bottom"/>
          </w:tcPr>
          <w:p w14:paraId="39D971EA" w14:textId="77777777" w:rsidR="00996AD7" w:rsidRDefault="00996AD7">
            <w:pPr>
              <w:rPr>
                <w:rFonts w:ascii="宋体"/>
              </w:rPr>
            </w:pPr>
          </w:p>
        </w:tc>
        <w:tc>
          <w:tcPr>
            <w:tcW w:w="50" w:type="pct"/>
            <w:shd w:val="clear" w:color="auto" w:fill="auto"/>
            <w:vAlign w:val="bottom"/>
          </w:tcPr>
          <w:p w14:paraId="39D971EB" w14:textId="77777777" w:rsidR="00996AD7" w:rsidRDefault="00996AD7">
            <w:pPr>
              <w:rPr>
                <w:rFonts w:ascii="宋体"/>
              </w:rPr>
            </w:pPr>
          </w:p>
        </w:tc>
        <w:tc>
          <w:tcPr>
            <w:tcW w:w="2137" w:type="pct"/>
            <w:shd w:val="clear" w:color="auto" w:fill="auto"/>
            <w:vAlign w:val="bottom"/>
          </w:tcPr>
          <w:p w14:paraId="39D971EC" w14:textId="77777777" w:rsidR="00996AD7" w:rsidRDefault="00996AD7">
            <w:pPr>
              <w:rPr>
                <w:rFonts w:ascii="宋体"/>
              </w:rPr>
            </w:pPr>
          </w:p>
        </w:tc>
        <w:tc>
          <w:tcPr>
            <w:tcW w:w="5" w:type="pct"/>
            <w:shd w:val="clear" w:color="auto" w:fill="auto"/>
            <w:vAlign w:val="bottom"/>
          </w:tcPr>
          <w:p w14:paraId="39D971ED" w14:textId="77777777" w:rsidR="00996AD7" w:rsidRDefault="00996AD7">
            <w:pPr>
              <w:rPr>
                <w:rFonts w:ascii="宋体"/>
              </w:rPr>
            </w:pPr>
          </w:p>
        </w:tc>
      </w:tr>
      <w:tr w:rsidR="00996AD7" w14:paraId="39D971F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1EF"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99" wp14:editId="39D9A39A">
                  <wp:extent cx="304800" cy="304800"/>
                  <wp:effectExtent l="0" t="0" r="0" b="0"/>
                  <wp:docPr id="23" name="图片 43"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3"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1F0" w14:textId="77777777" w:rsidR="00996AD7" w:rsidRDefault="00D96458">
            <w:pPr>
              <w:textAlignment w:val="center"/>
            </w:pPr>
            <w:r>
              <w:rPr>
                <w:rFonts w:ascii="Arial" w:eastAsia="宋体" w:hAnsi="Arial" w:cs="Arial"/>
                <w:color w:val="262626"/>
                <w:sz w:val="16"/>
                <w:szCs w:val="16"/>
              </w:rPr>
              <w:t>A Quarter in Review</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1F1" w14:textId="77777777" w:rsidR="00996AD7" w:rsidRDefault="00D96458">
            <w:pPr>
              <w:jc w:val="right"/>
              <w:textAlignment w:val="center"/>
            </w:pPr>
            <w:r>
              <w:rPr>
                <w:rFonts w:ascii="Arial" w:eastAsia="宋体" w:hAnsi="Arial" w:cs="Arial"/>
                <w:color w:val="262626"/>
                <w:sz w:val="16"/>
                <w:szCs w:val="16"/>
              </w:rPr>
              <w:t>2</w:t>
            </w:r>
          </w:p>
        </w:tc>
      </w:tr>
    </w:tbl>
    <w:p w14:paraId="39D971F3" w14:textId="77777777" w:rsidR="00996AD7" w:rsidRDefault="00D96458">
      <w:r>
        <w:pict w14:anchorId="39D9A39B">
          <v:rect id="_x0000_i1028" style="width:415.3pt;height:1.5pt" o:hralign="center" o:hrstd="t" o:hr="t" fillcolor="#a0a0a0" stroked="f"/>
        </w:pict>
      </w:r>
    </w:p>
    <w:p w14:paraId="39D971F4" w14:textId="77777777" w:rsidR="00996AD7" w:rsidRDefault="00D96458">
      <w:pPr>
        <w:spacing w:after="180"/>
        <w:jc w:val="right"/>
      </w:pPr>
      <w:hyperlink r:id="rId29" w:anchor="i94e6cc3aa83643b8b968bd5bab038338_7" w:history="1">
        <w:r>
          <w:rPr>
            <w:rStyle w:val="a5"/>
            <w:rFonts w:ascii="Arial" w:eastAsia="宋体" w:hAnsi="Arial" w:cs="Arial"/>
            <w:b/>
            <w:bCs/>
            <w:color w:val="0068B5"/>
            <w:sz w:val="16"/>
            <w:szCs w:val="16"/>
          </w:rPr>
          <w:t>Table of Contents</w:t>
        </w:r>
      </w:hyperlink>
    </w:p>
    <w:p w14:paraId="39D971F5"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96AD7" w14:paraId="39D971FC" w14:textId="77777777">
        <w:tc>
          <w:tcPr>
            <w:tcW w:w="50" w:type="pct"/>
            <w:shd w:val="clear" w:color="auto" w:fill="auto"/>
            <w:vAlign w:val="bottom"/>
          </w:tcPr>
          <w:p w14:paraId="39D971F6" w14:textId="77777777" w:rsidR="00996AD7" w:rsidRDefault="00996AD7">
            <w:pPr>
              <w:rPr>
                <w:rFonts w:ascii="宋体"/>
              </w:rPr>
            </w:pPr>
          </w:p>
        </w:tc>
        <w:tc>
          <w:tcPr>
            <w:tcW w:w="4870" w:type="pct"/>
            <w:shd w:val="clear" w:color="auto" w:fill="auto"/>
            <w:vAlign w:val="bottom"/>
          </w:tcPr>
          <w:p w14:paraId="39D971F7" w14:textId="77777777" w:rsidR="00996AD7" w:rsidRDefault="00996AD7">
            <w:pPr>
              <w:rPr>
                <w:rFonts w:ascii="宋体"/>
              </w:rPr>
            </w:pPr>
          </w:p>
        </w:tc>
        <w:tc>
          <w:tcPr>
            <w:tcW w:w="5" w:type="pct"/>
            <w:shd w:val="clear" w:color="auto" w:fill="auto"/>
            <w:vAlign w:val="bottom"/>
          </w:tcPr>
          <w:p w14:paraId="39D971F8" w14:textId="77777777" w:rsidR="00996AD7" w:rsidRDefault="00996AD7">
            <w:pPr>
              <w:rPr>
                <w:rFonts w:ascii="宋体"/>
              </w:rPr>
            </w:pPr>
          </w:p>
        </w:tc>
        <w:tc>
          <w:tcPr>
            <w:tcW w:w="5" w:type="pct"/>
            <w:shd w:val="clear" w:color="auto" w:fill="auto"/>
            <w:vAlign w:val="bottom"/>
          </w:tcPr>
          <w:p w14:paraId="39D971F9" w14:textId="77777777" w:rsidR="00996AD7" w:rsidRDefault="00996AD7">
            <w:pPr>
              <w:rPr>
                <w:rFonts w:ascii="宋体"/>
              </w:rPr>
            </w:pPr>
          </w:p>
        </w:tc>
        <w:tc>
          <w:tcPr>
            <w:tcW w:w="64" w:type="pct"/>
            <w:shd w:val="clear" w:color="auto" w:fill="auto"/>
            <w:vAlign w:val="bottom"/>
          </w:tcPr>
          <w:p w14:paraId="39D971FA" w14:textId="77777777" w:rsidR="00996AD7" w:rsidRDefault="00996AD7">
            <w:pPr>
              <w:rPr>
                <w:rFonts w:ascii="宋体"/>
              </w:rPr>
            </w:pPr>
          </w:p>
        </w:tc>
        <w:tc>
          <w:tcPr>
            <w:tcW w:w="5" w:type="pct"/>
            <w:shd w:val="clear" w:color="auto" w:fill="auto"/>
            <w:vAlign w:val="bottom"/>
          </w:tcPr>
          <w:p w14:paraId="39D971FB" w14:textId="77777777" w:rsidR="00996AD7" w:rsidRDefault="00996AD7">
            <w:pPr>
              <w:rPr>
                <w:rFonts w:ascii="宋体"/>
              </w:rPr>
            </w:pPr>
          </w:p>
        </w:tc>
      </w:tr>
      <w:tr w:rsidR="00996AD7" w14:paraId="39D971FF" w14:textId="77777777">
        <w:tc>
          <w:tcPr>
            <w:tcW w:w="0" w:type="auto"/>
            <w:gridSpan w:val="3"/>
            <w:shd w:val="clear" w:color="auto" w:fill="004A86"/>
            <w:tcMar>
              <w:top w:w="40" w:type="dxa"/>
              <w:left w:w="20" w:type="dxa"/>
              <w:bottom w:w="40" w:type="dxa"/>
              <w:right w:w="20" w:type="dxa"/>
            </w:tcMar>
            <w:vAlign w:val="center"/>
          </w:tcPr>
          <w:p w14:paraId="39D971FD" w14:textId="77777777" w:rsidR="00996AD7" w:rsidRDefault="00D96458">
            <w:pPr>
              <w:textAlignment w:val="center"/>
            </w:pPr>
            <w:r>
              <w:rPr>
                <w:rFonts w:ascii="Arial" w:eastAsia="宋体" w:hAnsi="Arial" w:cs="Arial"/>
                <w:color w:val="FFFFFF"/>
                <w:sz w:val="36"/>
                <w:szCs w:val="36"/>
              </w:rPr>
              <w:t>Consolidated Condensed Statements of Income</w:t>
            </w:r>
          </w:p>
        </w:tc>
        <w:tc>
          <w:tcPr>
            <w:tcW w:w="0" w:type="auto"/>
            <w:gridSpan w:val="3"/>
            <w:shd w:val="clear" w:color="auto" w:fill="auto"/>
            <w:tcMar>
              <w:top w:w="0" w:type="dxa"/>
              <w:left w:w="20" w:type="dxa"/>
              <w:bottom w:w="0" w:type="dxa"/>
              <w:right w:w="20" w:type="dxa"/>
            </w:tcMar>
            <w:vAlign w:val="bottom"/>
          </w:tcPr>
          <w:p w14:paraId="39D971FE" w14:textId="77777777" w:rsidR="00996AD7" w:rsidRDefault="00996AD7">
            <w:pPr>
              <w:rPr>
                <w:rFonts w:ascii="宋体"/>
              </w:rPr>
            </w:pPr>
          </w:p>
        </w:tc>
      </w:tr>
      <w:tr w:rsidR="00996AD7" w14:paraId="39D97202" w14:textId="77777777">
        <w:trPr>
          <w:trHeight w:val="160"/>
        </w:trPr>
        <w:tc>
          <w:tcPr>
            <w:tcW w:w="0" w:type="auto"/>
            <w:gridSpan w:val="3"/>
            <w:shd w:val="clear" w:color="auto" w:fill="auto"/>
            <w:tcMar>
              <w:top w:w="0" w:type="dxa"/>
              <w:left w:w="20" w:type="dxa"/>
              <w:bottom w:w="0" w:type="dxa"/>
              <w:right w:w="20" w:type="dxa"/>
            </w:tcMar>
            <w:vAlign w:val="bottom"/>
          </w:tcPr>
          <w:p w14:paraId="39D97200" w14:textId="77777777" w:rsidR="00996AD7" w:rsidRDefault="00996AD7">
            <w:pPr>
              <w:rPr>
                <w:rFonts w:ascii="宋体"/>
              </w:rPr>
            </w:pPr>
          </w:p>
        </w:tc>
        <w:tc>
          <w:tcPr>
            <w:tcW w:w="0" w:type="auto"/>
            <w:gridSpan w:val="3"/>
            <w:shd w:val="clear" w:color="auto" w:fill="00A3F6"/>
            <w:tcMar>
              <w:top w:w="0" w:type="dxa"/>
              <w:left w:w="20" w:type="dxa"/>
              <w:bottom w:w="0" w:type="dxa"/>
              <w:right w:w="20" w:type="dxa"/>
            </w:tcMar>
            <w:vAlign w:val="bottom"/>
          </w:tcPr>
          <w:p w14:paraId="39D97201" w14:textId="77777777" w:rsidR="00996AD7" w:rsidRDefault="00996AD7">
            <w:pPr>
              <w:rPr>
                <w:rFonts w:ascii="宋体"/>
              </w:rPr>
            </w:pPr>
          </w:p>
        </w:tc>
      </w:tr>
    </w:tbl>
    <w:p w14:paraId="39D97203"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3993"/>
        <w:gridCol w:w="39"/>
        <w:gridCol w:w="36"/>
        <w:gridCol w:w="36"/>
        <w:gridCol w:w="36"/>
        <w:gridCol w:w="121"/>
        <w:gridCol w:w="800"/>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996AD7" w14:paraId="39D9721F" w14:textId="77777777">
        <w:tc>
          <w:tcPr>
            <w:tcW w:w="50" w:type="pct"/>
            <w:shd w:val="clear" w:color="auto" w:fill="auto"/>
            <w:vAlign w:val="bottom"/>
          </w:tcPr>
          <w:p w14:paraId="39D97204" w14:textId="77777777" w:rsidR="00996AD7" w:rsidRDefault="00996AD7">
            <w:pPr>
              <w:rPr>
                <w:rFonts w:ascii="宋体"/>
              </w:rPr>
            </w:pPr>
          </w:p>
        </w:tc>
        <w:tc>
          <w:tcPr>
            <w:tcW w:w="2431" w:type="pct"/>
            <w:shd w:val="clear" w:color="auto" w:fill="auto"/>
            <w:vAlign w:val="bottom"/>
          </w:tcPr>
          <w:p w14:paraId="39D97205" w14:textId="77777777" w:rsidR="00996AD7" w:rsidRDefault="00996AD7">
            <w:pPr>
              <w:rPr>
                <w:rFonts w:ascii="宋体"/>
              </w:rPr>
            </w:pPr>
          </w:p>
        </w:tc>
        <w:tc>
          <w:tcPr>
            <w:tcW w:w="5" w:type="pct"/>
            <w:shd w:val="clear" w:color="auto" w:fill="auto"/>
            <w:vAlign w:val="bottom"/>
          </w:tcPr>
          <w:p w14:paraId="39D97206" w14:textId="77777777" w:rsidR="00996AD7" w:rsidRDefault="00996AD7">
            <w:pPr>
              <w:rPr>
                <w:rFonts w:ascii="宋体"/>
              </w:rPr>
            </w:pPr>
          </w:p>
        </w:tc>
        <w:tc>
          <w:tcPr>
            <w:tcW w:w="5" w:type="pct"/>
            <w:shd w:val="clear" w:color="auto" w:fill="auto"/>
            <w:vAlign w:val="bottom"/>
          </w:tcPr>
          <w:p w14:paraId="39D97207" w14:textId="77777777" w:rsidR="00996AD7" w:rsidRDefault="00996AD7">
            <w:pPr>
              <w:rPr>
                <w:rFonts w:ascii="宋体"/>
              </w:rPr>
            </w:pPr>
          </w:p>
        </w:tc>
        <w:tc>
          <w:tcPr>
            <w:tcW w:w="24" w:type="pct"/>
            <w:shd w:val="clear" w:color="auto" w:fill="auto"/>
            <w:vAlign w:val="bottom"/>
          </w:tcPr>
          <w:p w14:paraId="39D97208" w14:textId="77777777" w:rsidR="00996AD7" w:rsidRDefault="00996AD7">
            <w:pPr>
              <w:rPr>
                <w:rFonts w:ascii="宋体"/>
              </w:rPr>
            </w:pPr>
          </w:p>
        </w:tc>
        <w:tc>
          <w:tcPr>
            <w:tcW w:w="5" w:type="pct"/>
            <w:shd w:val="clear" w:color="auto" w:fill="auto"/>
            <w:vAlign w:val="bottom"/>
          </w:tcPr>
          <w:p w14:paraId="39D97209" w14:textId="77777777" w:rsidR="00996AD7" w:rsidRDefault="00996AD7">
            <w:pPr>
              <w:rPr>
                <w:rFonts w:ascii="宋体"/>
              </w:rPr>
            </w:pPr>
          </w:p>
        </w:tc>
        <w:tc>
          <w:tcPr>
            <w:tcW w:w="50" w:type="pct"/>
            <w:shd w:val="clear" w:color="auto" w:fill="auto"/>
            <w:vAlign w:val="bottom"/>
          </w:tcPr>
          <w:p w14:paraId="39D9720A" w14:textId="77777777" w:rsidR="00996AD7" w:rsidRDefault="00996AD7">
            <w:pPr>
              <w:rPr>
                <w:rFonts w:ascii="宋体"/>
              </w:rPr>
            </w:pPr>
          </w:p>
        </w:tc>
        <w:tc>
          <w:tcPr>
            <w:tcW w:w="539" w:type="pct"/>
            <w:shd w:val="clear" w:color="auto" w:fill="auto"/>
            <w:vAlign w:val="bottom"/>
          </w:tcPr>
          <w:p w14:paraId="39D9720B" w14:textId="77777777" w:rsidR="00996AD7" w:rsidRDefault="00996AD7">
            <w:pPr>
              <w:rPr>
                <w:rFonts w:ascii="宋体"/>
              </w:rPr>
            </w:pPr>
          </w:p>
        </w:tc>
        <w:tc>
          <w:tcPr>
            <w:tcW w:w="5" w:type="pct"/>
            <w:shd w:val="clear" w:color="auto" w:fill="auto"/>
            <w:vAlign w:val="bottom"/>
          </w:tcPr>
          <w:p w14:paraId="39D9720C" w14:textId="77777777" w:rsidR="00996AD7" w:rsidRDefault="00996AD7">
            <w:pPr>
              <w:rPr>
                <w:rFonts w:ascii="宋体"/>
              </w:rPr>
            </w:pPr>
          </w:p>
        </w:tc>
        <w:tc>
          <w:tcPr>
            <w:tcW w:w="5" w:type="pct"/>
            <w:shd w:val="clear" w:color="auto" w:fill="auto"/>
            <w:vAlign w:val="bottom"/>
          </w:tcPr>
          <w:p w14:paraId="39D9720D" w14:textId="77777777" w:rsidR="00996AD7" w:rsidRDefault="00996AD7">
            <w:pPr>
              <w:rPr>
                <w:rFonts w:ascii="宋体"/>
              </w:rPr>
            </w:pPr>
          </w:p>
        </w:tc>
        <w:tc>
          <w:tcPr>
            <w:tcW w:w="24" w:type="pct"/>
            <w:shd w:val="clear" w:color="auto" w:fill="auto"/>
            <w:vAlign w:val="bottom"/>
          </w:tcPr>
          <w:p w14:paraId="39D9720E" w14:textId="77777777" w:rsidR="00996AD7" w:rsidRDefault="00996AD7">
            <w:pPr>
              <w:rPr>
                <w:rFonts w:ascii="宋体"/>
              </w:rPr>
            </w:pPr>
          </w:p>
        </w:tc>
        <w:tc>
          <w:tcPr>
            <w:tcW w:w="5" w:type="pct"/>
            <w:shd w:val="clear" w:color="auto" w:fill="auto"/>
            <w:vAlign w:val="bottom"/>
          </w:tcPr>
          <w:p w14:paraId="39D9720F" w14:textId="77777777" w:rsidR="00996AD7" w:rsidRDefault="00996AD7">
            <w:pPr>
              <w:rPr>
                <w:rFonts w:ascii="宋体"/>
              </w:rPr>
            </w:pPr>
          </w:p>
        </w:tc>
        <w:tc>
          <w:tcPr>
            <w:tcW w:w="50" w:type="pct"/>
            <w:shd w:val="clear" w:color="auto" w:fill="auto"/>
            <w:vAlign w:val="bottom"/>
          </w:tcPr>
          <w:p w14:paraId="39D97210" w14:textId="77777777" w:rsidR="00996AD7" w:rsidRDefault="00996AD7">
            <w:pPr>
              <w:rPr>
                <w:rFonts w:ascii="宋体"/>
              </w:rPr>
            </w:pPr>
          </w:p>
        </w:tc>
        <w:tc>
          <w:tcPr>
            <w:tcW w:w="539" w:type="pct"/>
            <w:shd w:val="clear" w:color="auto" w:fill="auto"/>
            <w:vAlign w:val="bottom"/>
          </w:tcPr>
          <w:p w14:paraId="39D97211" w14:textId="77777777" w:rsidR="00996AD7" w:rsidRDefault="00996AD7">
            <w:pPr>
              <w:rPr>
                <w:rFonts w:ascii="宋体"/>
              </w:rPr>
            </w:pPr>
          </w:p>
        </w:tc>
        <w:tc>
          <w:tcPr>
            <w:tcW w:w="5" w:type="pct"/>
            <w:shd w:val="clear" w:color="auto" w:fill="auto"/>
            <w:vAlign w:val="bottom"/>
          </w:tcPr>
          <w:p w14:paraId="39D97212" w14:textId="77777777" w:rsidR="00996AD7" w:rsidRDefault="00996AD7">
            <w:pPr>
              <w:rPr>
                <w:rFonts w:ascii="宋体"/>
              </w:rPr>
            </w:pPr>
          </w:p>
        </w:tc>
        <w:tc>
          <w:tcPr>
            <w:tcW w:w="5" w:type="pct"/>
            <w:shd w:val="clear" w:color="auto" w:fill="auto"/>
            <w:vAlign w:val="bottom"/>
          </w:tcPr>
          <w:p w14:paraId="39D97213" w14:textId="77777777" w:rsidR="00996AD7" w:rsidRDefault="00996AD7">
            <w:pPr>
              <w:rPr>
                <w:rFonts w:ascii="宋体"/>
              </w:rPr>
            </w:pPr>
          </w:p>
        </w:tc>
        <w:tc>
          <w:tcPr>
            <w:tcW w:w="24" w:type="pct"/>
            <w:shd w:val="clear" w:color="auto" w:fill="auto"/>
            <w:vAlign w:val="bottom"/>
          </w:tcPr>
          <w:p w14:paraId="39D97214" w14:textId="77777777" w:rsidR="00996AD7" w:rsidRDefault="00996AD7">
            <w:pPr>
              <w:rPr>
                <w:rFonts w:ascii="宋体"/>
              </w:rPr>
            </w:pPr>
          </w:p>
        </w:tc>
        <w:tc>
          <w:tcPr>
            <w:tcW w:w="5" w:type="pct"/>
            <w:shd w:val="clear" w:color="auto" w:fill="auto"/>
            <w:vAlign w:val="bottom"/>
          </w:tcPr>
          <w:p w14:paraId="39D97215" w14:textId="77777777" w:rsidR="00996AD7" w:rsidRDefault="00996AD7">
            <w:pPr>
              <w:rPr>
                <w:rFonts w:ascii="宋体"/>
              </w:rPr>
            </w:pPr>
          </w:p>
        </w:tc>
        <w:tc>
          <w:tcPr>
            <w:tcW w:w="50" w:type="pct"/>
            <w:shd w:val="clear" w:color="auto" w:fill="auto"/>
            <w:vAlign w:val="bottom"/>
          </w:tcPr>
          <w:p w14:paraId="39D97216" w14:textId="77777777" w:rsidR="00996AD7" w:rsidRDefault="00996AD7">
            <w:pPr>
              <w:rPr>
                <w:rFonts w:ascii="宋体"/>
              </w:rPr>
            </w:pPr>
          </w:p>
        </w:tc>
        <w:tc>
          <w:tcPr>
            <w:tcW w:w="539" w:type="pct"/>
            <w:shd w:val="clear" w:color="auto" w:fill="auto"/>
            <w:vAlign w:val="bottom"/>
          </w:tcPr>
          <w:p w14:paraId="39D97217" w14:textId="77777777" w:rsidR="00996AD7" w:rsidRDefault="00996AD7">
            <w:pPr>
              <w:rPr>
                <w:rFonts w:ascii="宋体"/>
              </w:rPr>
            </w:pPr>
          </w:p>
        </w:tc>
        <w:tc>
          <w:tcPr>
            <w:tcW w:w="5" w:type="pct"/>
            <w:shd w:val="clear" w:color="auto" w:fill="auto"/>
            <w:vAlign w:val="bottom"/>
          </w:tcPr>
          <w:p w14:paraId="39D97218" w14:textId="77777777" w:rsidR="00996AD7" w:rsidRDefault="00996AD7">
            <w:pPr>
              <w:rPr>
                <w:rFonts w:ascii="宋体"/>
              </w:rPr>
            </w:pPr>
          </w:p>
        </w:tc>
        <w:tc>
          <w:tcPr>
            <w:tcW w:w="5" w:type="pct"/>
            <w:shd w:val="clear" w:color="auto" w:fill="auto"/>
            <w:vAlign w:val="bottom"/>
          </w:tcPr>
          <w:p w14:paraId="39D97219" w14:textId="77777777" w:rsidR="00996AD7" w:rsidRDefault="00996AD7">
            <w:pPr>
              <w:rPr>
                <w:rFonts w:ascii="宋体"/>
              </w:rPr>
            </w:pPr>
          </w:p>
        </w:tc>
        <w:tc>
          <w:tcPr>
            <w:tcW w:w="24" w:type="pct"/>
            <w:shd w:val="clear" w:color="auto" w:fill="auto"/>
            <w:vAlign w:val="bottom"/>
          </w:tcPr>
          <w:p w14:paraId="39D9721A" w14:textId="77777777" w:rsidR="00996AD7" w:rsidRDefault="00996AD7">
            <w:pPr>
              <w:rPr>
                <w:rFonts w:ascii="宋体"/>
              </w:rPr>
            </w:pPr>
          </w:p>
        </w:tc>
        <w:tc>
          <w:tcPr>
            <w:tcW w:w="5" w:type="pct"/>
            <w:shd w:val="clear" w:color="auto" w:fill="auto"/>
            <w:vAlign w:val="bottom"/>
          </w:tcPr>
          <w:p w14:paraId="39D9721B" w14:textId="77777777" w:rsidR="00996AD7" w:rsidRDefault="00996AD7">
            <w:pPr>
              <w:rPr>
                <w:rFonts w:ascii="宋体"/>
              </w:rPr>
            </w:pPr>
          </w:p>
        </w:tc>
        <w:tc>
          <w:tcPr>
            <w:tcW w:w="50" w:type="pct"/>
            <w:shd w:val="clear" w:color="auto" w:fill="auto"/>
            <w:vAlign w:val="bottom"/>
          </w:tcPr>
          <w:p w14:paraId="39D9721C" w14:textId="77777777" w:rsidR="00996AD7" w:rsidRDefault="00996AD7">
            <w:pPr>
              <w:rPr>
                <w:rFonts w:ascii="宋体"/>
              </w:rPr>
            </w:pPr>
          </w:p>
        </w:tc>
        <w:tc>
          <w:tcPr>
            <w:tcW w:w="539" w:type="pct"/>
            <w:shd w:val="clear" w:color="auto" w:fill="auto"/>
            <w:vAlign w:val="bottom"/>
          </w:tcPr>
          <w:p w14:paraId="39D9721D" w14:textId="77777777" w:rsidR="00996AD7" w:rsidRDefault="00996AD7">
            <w:pPr>
              <w:rPr>
                <w:rFonts w:ascii="宋体"/>
              </w:rPr>
            </w:pPr>
          </w:p>
        </w:tc>
        <w:tc>
          <w:tcPr>
            <w:tcW w:w="5" w:type="pct"/>
            <w:shd w:val="clear" w:color="auto" w:fill="auto"/>
            <w:vAlign w:val="bottom"/>
          </w:tcPr>
          <w:p w14:paraId="39D9721E" w14:textId="77777777" w:rsidR="00996AD7" w:rsidRDefault="00996AD7">
            <w:pPr>
              <w:rPr>
                <w:rFonts w:ascii="宋体"/>
              </w:rPr>
            </w:pPr>
          </w:p>
        </w:tc>
      </w:tr>
      <w:tr w:rsidR="00996AD7" w14:paraId="39D97225" w14:textId="77777777">
        <w:tc>
          <w:tcPr>
            <w:tcW w:w="0" w:type="auto"/>
            <w:gridSpan w:val="3"/>
            <w:shd w:val="clear" w:color="auto" w:fill="auto"/>
            <w:tcMar>
              <w:top w:w="40" w:type="dxa"/>
              <w:left w:w="560" w:type="dxa"/>
              <w:bottom w:w="40" w:type="dxa"/>
              <w:right w:w="20" w:type="dxa"/>
            </w:tcMar>
            <w:vAlign w:val="bottom"/>
          </w:tcPr>
          <w:p w14:paraId="39D97220" w14:textId="77777777" w:rsidR="00996AD7" w:rsidRDefault="00D96458">
            <w:pPr>
              <w:textAlignment w:val="bottom"/>
            </w:pPr>
            <w:r>
              <w:rPr>
                <w:rFonts w:ascii="Arial" w:eastAsia="宋体" w:hAnsi="Arial" w:cs="Arial"/>
                <w:color w:val="262626"/>
                <w:sz w:val="16"/>
                <w:szCs w:val="16"/>
              </w:rPr>
              <w:t> </w:t>
            </w:r>
          </w:p>
        </w:tc>
        <w:tc>
          <w:tcPr>
            <w:tcW w:w="0" w:type="auto"/>
            <w:gridSpan w:val="3"/>
            <w:shd w:val="clear" w:color="auto" w:fill="auto"/>
            <w:tcMar>
              <w:top w:w="0" w:type="dxa"/>
              <w:left w:w="20" w:type="dxa"/>
              <w:bottom w:w="0" w:type="dxa"/>
              <w:right w:w="20" w:type="dxa"/>
            </w:tcMar>
            <w:vAlign w:val="bottom"/>
          </w:tcPr>
          <w:p w14:paraId="39D97221"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center"/>
          </w:tcPr>
          <w:p w14:paraId="39D97222" w14:textId="77777777" w:rsidR="00996AD7" w:rsidRDefault="00D96458">
            <w:pPr>
              <w:jc w:val="center"/>
              <w:textAlignment w:val="center"/>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39D97223"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center"/>
          </w:tcPr>
          <w:p w14:paraId="39D97224" w14:textId="77777777" w:rsidR="00996AD7" w:rsidRDefault="00D96458">
            <w:pPr>
              <w:jc w:val="center"/>
              <w:textAlignment w:val="center"/>
            </w:pPr>
            <w:r>
              <w:rPr>
                <w:rFonts w:ascii="Arial" w:eastAsia="宋体" w:hAnsi="Arial" w:cs="Arial"/>
                <w:b/>
                <w:bCs/>
                <w:color w:val="262626"/>
                <w:sz w:val="18"/>
                <w:szCs w:val="18"/>
              </w:rPr>
              <w:t>Nine Months Ended</w:t>
            </w:r>
          </w:p>
        </w:tc>
      </w:tr>
      <w:tr w:rsidR="00996AD7" w14:paraId="39D9722F" w14:textId="77777777">
        <w:tc>
          <w:tcPr>
            <w:tcW w:w="0" w:type="auto"/>
            <w:gridSpan w:val="3"/>
            <w:shd w:val="clear" w:color="auto" w:fill="auto"/>
            <w:tcMar>
              <w:top w:w="40" w:type="dxa"/>
              <w:left w:w="20" w:type="dxa"/>
              <w:bottom w:w="40" w:type="dxa"/>
              <w:right w:w="20" w:type="dxa"/>
            </w:tcMar>
            <w:vAlign w:val="bottom"/>
          </w:tcPr>
          <w:p w14:paraId="39D97226" w14:textId="77777777" w:rsidR="00996AD7" w:rsidRDefault="00D96458">
            <w:pPr>
              <w:ind w:hanging="180"/>
              <w:textAlignment w:val="bottom"/>
            </w:pPr>
            <w:r>
              <w:rPr>
                <w:rFonts w:ascii="Arial" w:eastAsia="宋体" w:hAnsi="Arial" w:cs="Arial"/>
                <w:b/>
                <w:bCs/>
                <w:color w:val="262626"/>
                <w:sz w:val="18"/>
                <w:szCs w:val="18"/>
              </w:rPr>
              <w:t>(In Millions, Except Per Share Amounts; Unaudited)</w:t>
            </w:r>
          </w:p>
        </w:tc>
        <w:tc>
          <w:tcPr>
            <w:tcW w:w="0" w:type="auto"/>
            <w:gridSpan w:val="3"/>
            <w:shd w:val="clear" w:color="auto" w:fill="auto"/>
            <w:tcMar>
              <w:top w:w="0" w:type="dxa"/>
              <w:left w:w="20" w:type="dxa"/>
              <w:bottom w:w="0" w:type="dxa"/>
              <w:right w:w="20" w:type="dxa"/>
            </w:tcMar>
            <w:vAlign w:val="bottom"/>
          </w:tcPr>
          <w:p w14:paraId="39D97227"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228"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229"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22A"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gridSpan w:val="3"/>
            <w:shd w:val="clear" w:color="auto" w:fill="auto"/>
            <w:tcMar>
              <w:top w:w="0" w:type="dxa"/>
              <w:left w:w="20" w:type="dxa"/>
              <w:bottom w:w="0" w:type="dxa"/>
              <w:right w:w="20" w:type="dxa"/>
            </w:tcMar>
            <w:vAlign w:val="bottom"/>
          </w:tcPr>
          <w:p w14:paraId="39D9722B"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22C"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22D"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22E" w14:textId="77777777" w:rsidR="00996AD7" w:rsidRDefault="00D96458">
            <w:pPr>
              <w:jc w:val="center"/>
              <w:textAlignment w:val="bottom"/>
            </w:pPr>
            <w:r>
              <w:rPr>
                <w:rFonts w:ascii="Arial" w:eastAsia="宋体" w:hAnsi="Arial" w:cs="Arial"/>
                <w:b/>
                <w:bCs/>
                <w:color w:val="262626"/>
                <w:sz w:val="18"/>
                <w:szCs w:val="18"/>
              </w:rPr>
              <w:t>Sep 26, 2020</w:t>
            </w:r>
          </w:p>
        </w:tc>
      </w:tr>
      <w:tr w:rsidR="00996AD7" w14:paraId="39D97241"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7230" w14:textId="77777777" w:rsidR="00996AD7" w:rsidRDefault="00D96458">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39D97231"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232"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233" w14:textId="77777777" w:rsidR="00996AD7" w:rsidRDefault="00D96458">
            <w:pPr>
              <w:jc w:val="right"/>
              <w:textAlignment w:val="bottom"/>
            </w:pPr>
            <w:r>
              <w:rPr>
                <w:rFonts w:ascii="Arial" w:eastAsia="宋体" w:hAnsi="Arial" w:cs="Arial"/>
                <w:b/>
                <w:bCs/>
                <w:color w:val="0068B5"/>
                <w:sz w:val="18"/>
                <w:szCs w:val="18"/>
              </w:rPr>
              <w:t>19,192</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23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35"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236"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237" w14:textId="77777777" w:rsidR="00996AD7" w:rsidRDefault="00D96458">
            <w:pPr>
              <w:jc w:val="right"/>
              <w:textAlignment w:val="bottom"/>
            </w:pPr>
            <w:r>
              <w:rPr>
                <w:rFonts w:ascii="Arial" w:eastAsia="宋体" w:hAnsi="Arial" w:cs="Arial"/>
                <w:b/>
                <w:bCs/>
                <w:color w:val="262626"/>
                <w:sz w:val="18"/>
                <w:szCs w:val="18"/>
              </w:rPr>
              <w:t>18,333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23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39"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23A"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23B" w14:textId="77777777" w:rsidR="00996AD7" w:rsidRDefault="00D96458">
            <w:pPr>
              <w:jc w:val="right"/>
              <w:textAlignment w:val="bottom"/>
            </w:pPr>
            <w:r>
              <w:rPr>
                <w:rFonts w:ascii="Arial" w:eastAsia="宋体" w:hAnsi="Arial" w:cs="Arial"/>
                <w:b/>
                <w:bCs/>
                <w:color w:val="0068B5"/>
                <w:sz w:val="18"/>
                <w:szCs w:val="18"/>
              </w:rPr>
              <w:t>58,496</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23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3D"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23E"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23F" w14:textId="77777777" w:rsidR="00996AD7" w:rsidRDefault="00D96458">
            <w:pPr>
              <w:jc w:val="right"/>
              <w:textAlignment w:val="bottom"/>
            </w:pPr>
            <w:r>
              <w:rPr>
                <w:rFonts w:ascii="Arial" w:eastAsia="宋体" w:hAnsi="Arial" w:cs="Arial"/>
                <w:b/>
                <w:bCs/>
                <w:color w:val="262626"/>
                <w:sz w:val="18"/>
                <w:szCs w:val="18"/>
              </w:rPr>
              <w:t>57,889</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240" w14:textId="77777777" w:rsidR="00996AD7" w:rsidRDefault="00996AD7">
            <w:pPr>
              <w:jc w:val="right"/>
              <w:rPr>
                <w:rFonts w:ascii="宋体"/>
              </w:rPr>
            </w:pPr>
          </w:p>
        </w:tc>
      </w:tr>
      <w:tr w:rsidR="00996AD7" w14:paraId="39D9724F" w14:textId="77777777">
        <w:tc>
          <w:tcPr>
            <w:tcW w:w="0" w:type="auto"/>
            <w:gridSpan w:val="3"/>
            <w:shd w:val="clear" w:color="auto" w:fill="auto"/>
            <w:tcMar>
              <w:top w:w="40" w:type="dxa"/>
              <w:left w:w="20" w:type="dxa"/>
              <w:bottom w:w="40" w:type="dxa"/>
              <w:right w:w="20" w:type="dxa"/>
            </w:tcMar>
          </w:tcPr>
          <w:p w14:paraId="39D97242" w14:textId="77777777" w:rsidR="00996AD7" w:rsidRDefault="00D96458">
            <w:pPr>
              <w:textAlignment w:val="top"/>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39D9724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44" w14:textId="77777777" w:rsidR="00996AD7" w:rsidRDefault="00D96458">
            <w:pPr>
              <w:jc w:val="right"/>
              <w:textAlignment w:val="bottom"/>
            </w:pPr>
            <w:r>
              <w:rPr>
                <w:rFonts w:ascii="Arial" w:eastAsia="宋体" w:hAnsi="Arial" w:cs="Arial"/>
                <w:color w:val="0068B5"/>
                <w:sz w:val="18"/>
                <w:szCs w:val="18"/>
              </w:rPr>
              <w:t>8,446 </w:t>
            </w:r>
          </w:p>
        </w:tc>
        <w:tc>
          <w:tcPr>
            <w:tcW w:w="0" w:type="auto"/>
            <w:shd w:val="clear" w:color="auto" w:fill="auto"/>
            <w:tcMar>
              <w:top w:w="40" w:type="dxa"/>
              <w:left w:w="0" w:type="dxa"/>
              <w:bottom w:w="40" w:type="dxa"/>
              <w:right w:w="20" w:type="dxa"/>
            </w:tcMar>
            <w:vAlign w:val="bottom"/>
          </w:tcPr>
          <w:p w14:paraId="39D9724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4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47" w14:textId="77777777" w:rsidR="00996AD7" w:rsidRDefault="00D96458">
            <w:pPr>
              <w:jc w:val="right"/>
              <w:textAlignment w:val="bottom"/>
            </w:pPr>
            <w:r>
              <w:rPr>
                <w:rFonts w:ascii="Arial" w:eastAsia="宋体" w:hAnsi="Arial" w:cs="Arial"/>
                <w:color w:val="262626"/>
                <w:sz w:val="18"/>
                <w:szCs w:val="18"/>
              </w:rPr>
              <w:t>8,592 </w:t>
            </w:r>
          </w:p>
        </w:tc>
        <w:tc>
          <w:tcPr>
            <w:tcW w:w="0" w:type="auto"/>
            <w:shd w:val="clear" w:color="auto" w:fill="auto"/>
            <w:tcMar>
              <w:top w:w="40" w:type="dxa"/>
              <w:left w:w="0" w:type="dxa"/>
              <w:bottom w:w="40" w:type="dxa"/>
              <w:right w:w="20" w:type="dxa"/>
            </w:tcMar>
            <w:vAlign w:val="bottom"/>
          </w:tcPr>
          <w:p w14:paraId="39D9724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4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4A" w14:textId="77777777" w:rsidR="00996AD7" w:rsidRDefault="00D96458">
            <w:pPr>
              <w:jc w:val="right"/>
              <w:textAlignment w:val="bottom"/>
            </w:pPr>
            <w:r>
              <w:rPr>
                <w:rFonts w:ascii="Arial" w:eastAsia="宋体" w:hAnsi="Arial" w:cs="Arial"/>
                <w:color w:val="0068B5"/>
                <w:sz w:val="18"/>
                <w:szCs w:val="18"/>
              </w:rPr>
              <w:t>25,690 </w:t>
            </w:r>
          </w:p>
        </w:tc>
        <w:tc>
          <w:tcPr>
            <w:tcW w:w="0" w:type="auto"/>
            <w:shd w:val="clear" w:color="auto" w:fill="auto"/>
            <w:tcMar>
              <w:top w:w="40" w:type="dxa"/>
              <w:left w:w="0" w:type="dxa"/>
              <w:bottom w:w="40" w:type="dxa"/>
              <w:right w:w="20" w:type="dxa"/>
            </w:tcMar>
            <w:vAlign w:val="bottom"/>
          </w:tcPr>
          <w:p w14:paraId="39D9724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4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4D" w14:textId="77777777" w:rsidR="00996AD7" w:rsidRDefault="00D96458">
            <w:pPr>
              <w:jc w:val="right"/>
              <w:textAlignment w:val="bottom"/>
            </w:pPr>
            <w:r>
              <w:rPr>
                <w:rFonts w:ascii="Arial" w:eastAsia="宋体" w:hAnsi="Arial" w:cs="Arial"/>
                <w:color w:val="262626"/>
                <w:sz w:val="18"/>
                <w:szCs w:val="18"/>
              </w:rPr>
              <w:t>25,625 </w:t>
            </w:r>
          </w:p>
        </w:tc>
        <w:tc>
          <w:tcPr>
            <w:tcW w:w="0" w:type="auto"/>
            <w:shd w:val="clear" w:color="auto" w:fill="auto"/>
            <w:tcMar>
              <w:top w:w="40" w:type="dxa"/>
              <w:left w:w="0" w:type="dxa"/>
              <w:bottom w:w="40" w:type="dxa"/>
              <w:right w:w="20" w:type="dxa"/>
            </w:tcMar>
            <w:vAlign w:val="bottom"/>
          </w:tcPr>
          <w:p w14:paraId="39D9724E" w14:textId="77777777" w:rsidR="00996AD7" w:rsidRDefault="00996AD7">
            <w:pPr>
              <w:jc w:val="right"/>
              <w:rPr>
                <w:rFonts w:ascii="宋体"/>
              </w:rPr>
            </w:pPr>
          </w:p>
        </w:tc>
      </w:tr>
      <w:tr w:rsidR="00996AD7" w14:paraId="39D9725D" w14:textId="77777777">
        <w:tc>
          <w:tcPr>
            <w:tcW w:w="0" w:type="auto"/>
            <w:gridSpan w:val="3"/>
            <w:shd w:val="clear" w:color="auto" w:fill="auto"/>
            <w:tcMar>
              <w:top w:w="40" w:type="dxa"/>
              <w:left w:w="20" w:type="dxa"/>
              <w:bottom w:w="40" w:type="dxa"/>
              <w:right w:w="20" w:type="dxa"/>
            </w:tcMar>
          </w:tcPr>
          <w:p w14:paraId="39D97250" w14:textId="77777777" w:rsidR="00996AD7" w:rsidRDefault="00D96458">
            <w:pPr>
              <w:textAlignment w:val="top"/>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39D97251"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52" w14:textId="77777777" w:rsidR="00996AD7" w:rsidRDefault="00D96458">
            <w:pPr>
              <w:jc w:val="right"/>
              <w:textAlignment w:val="bottom"/>
            </w:pPr>
            <w:r>
              <w:rPr>
                <w:rFonts w:ascii="Arial" w:eastAsia="宋体" w:hAnsi="Arial" w:cs="Arial"/>
                <w:b/>
                <w:bCs/>
                <w:color w:val="0068B5"/>
                <w:sz w:val="18"/>
                <w:szCs w:val="18"/>
              </w:rPr>
              <w:t>10,746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5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54"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55" w14:textId="77777777" w:rsidR="00996AD7" w:rsidRDefault="00D96458">
            <w:pPr>
              <w:jc w:val="right"/>
              <w:textAlignment w:val="bottom"/>
            </w:pPr>
            <w:r>
              <w:rPr>
                <w:rFonts w:ascii="Arial" w:eastAsia="宋体" w:hAnsi="Arial" w:cs="Arial"/>
                <w:b/>
                <w:bCs/>
                <w:color w:val="262626"/>
                <w:sz w:val="18"/>
                <w:szCs w:val="18"/>
              </w:rPr>
              <w:t>9,741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5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5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58" w14:textId="77777777" w:rsidR="00996AD7" w:rsidRDefault="00D96458">
            <w:pPr>
              <w:jc w:val="right"/>
              <w:textAlignment w:val="bottom"/>
            </w:pPr>
            <w:r>
              <w:rPr>
                <w:rFonts w:ascii="Arial" w:eastAsia="宋体" w:hAnsi="Arial" w:cs="Arial"/>
                <w:b/>
                <w:bCs/>
                <w:color w:val="0068B5"/>
                <w:sz w:val="18"/>
                <w:szCs w:val="18"/>
              </w:rPr>
              <w:t>32,806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5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5A"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5B" w14:textId="77777777" w:rsidR="00996AD7" w:rsidRDefault="00D96458">
            <w:pPr>
              <w:jc w:val="right"/>
              <w:textAlignment w:val="bottom"/>
            </w:pPr>
            <w:r>
              <w:rPr>
                <w:rFonts w:ascii="Arial" w:eastAsia="宋体" w:hAnsi="Arial" w:cs="Arial"/>
                <w:b/>
                <w:bCs/>
                <w:color w:val="262626"/>
                <w:sz w:val="18"/>
                <w:szCs w:val="18"/>
              </w:rPr>
              <w:t>32,264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5C" w14:textId="77777777" w:rsidR="00996AD7" w:rsidRDefault="00996AD7">
            <w:pPr>
              <w:jc w:val="right"/>
              <w:rPr>
                <w:rFonts w:ascii="宋体"/>
              </w:rPr>
            </w:pPr>
          </w:p>
        </w:tc>
      </w:tr>
      <w:tr w:rsidR="00996AD7" w14:paraId="39D9726B" w14:textId="77777777">
        <w:tc>
          <w:tcPr>
            <w:tcW w:w="0" w:type="auto"/>
            <w:gridSpan w:val="3"/>
            <w:shd w:val="clear" w:color="auto" w:fill="auto"/>
            <w:tcMar>
              <w:top w:w="40" w:type="dxa"/>
              <w:left w:w="20" w:type="dxa"/>
              <w:bottom w:w="40" w:type="dxa"/>
              <w:right w:w="20" w:type="dxa"/>
            </w:tcMar>
          </w:tcPr>
          <w:p w14:paraId="39D9725E" w14:textId="77777777" w:rsidR="00996AD7" w:rsidRDefault="00D96458">
            <w:pPr>
              <w:textAlignment w:val="top"/>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vAlign w:val="bottom"/>
          </w:tcPr>
          <w:p w14:paraId="39D9725F"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60" w14:textId="77777777" w:rsidR="00996AD7" w:rsidRDefault="00D96458">
            <w:pPr>
              <w:jc w:val="right"/>
              <w:textAlignment w:val="bottom"/>
            </w:pPr>
            <w:r>
              <w:rPr>
                <w:rFonts w:ascii="Arial" w:eastAsia="宋体" w:hAnsi="Arial" w:cs="Arial"/>
                <w:color w:val="0068B5"/>
                <w:sz w:val="18"/>
                <w:szCs w:val="18"/>
              </w:rPr>
              <w:t>3,803 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6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62"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63" w14:textId="77777777" w:rsidR="00996AD7" w:rsidRDefault="00D96458">
            <w:pPr>
              <w:jc w:val="right"/>
              <w:textAlignment w:val="bottom"/>
            </w:pPr>
            <w:r>
              <w:rPr>
                <w:rFonts w:ascii="Arial" w:eastAsia="宋体" w:hAnsi="Arial" w:cs="Arial"/>
                <w:color w:val="262626"/>
                <w:sz w:val="18"/>
                <w:szCs w:val="18"/>
              </w:rPr>
              <w:t>3,272 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6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65"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66" w14:textId="77777777" w:rsidR="00996AD7" w:rsidRDefault="00D96458">
            <w:pPr>
              <w:jc w:val="right"/>
              <w:textAlignment w:val="bottom"/>
            </w:pPr>
            <w:r>
              <w:rPr>
                <w:rFonts w:ascii="Arial" w:eastAsia="宋体" w:hAnsi="Arial" w:cs="Arial"/>
                <w:color w:val="0068B5"/>
                <w:sz w:val="18"/>
                <w:szCs w:val="18"/>
              </w:rPr>
              <w:t>11,141 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6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68"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69" w14:textId="77777777" w:rsidR="00996AD7" w:rsidRDefault="00D96458">
            <w:pPr>
              <w:jc w:val="right"/>
              <w:textAlignment w:val="bottom"/>
            </w:pPr>
            <w:r>
              <w:rPr>
                <w:rFonts w:ascii="Arial" w:eastAsia="宋体" w:hAnsi="Arial" w:cs="Arial"/>
                <w:color w:val="262626"/>
                <w:sz w:val="18"/>
                <w:szCs w:val="18"/>
              </w:rPr>
              <w:t>9,901 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6A" w14:textId="77777777" w:rsidR="00996AD7" w:rsidRDefault="00996AD7">
            <w:pPr>
              <w:jc w:val="right"/>
              <w:rPr>
                <w:rFonts w:ascii="宋体"/>
              </w:rPr>
            </w:pPr>
          </w:p>
        </w:tc>
      </w:tr>
      <w:tr w:rsidR="00996AD7" w14:paraId="39D97279" w14:textId="77777777">
        <w:tc>
          <w:tcPr>
            <w:tcW w:w="0" w:type="auto"/>
            <w:gridSpan w:val="3"/>
            <w:shd w:val="clear" w:color="auto" w:fill="auto"/>
            <w:tcMar>
              <w:top w:w="40" w:type="dxa"/>
              <w:left w:w="20" w:type="dxa"/>
              <w:bottom w:w="40" w:type="dxa"/>
              <w:right w:w="20" w:type="dxa"/>
            </w:tcMar>
          </w:tcPr>
          <w:p w14:paraId="39D9726C" w14:textId="77777777" w:rsidR="00996AD7" w:rsidRDefault="00D96458">
            <w:pPr>
              <w:textAlignment w:val="top"/>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vAlign w:val="bottom"/>
          </w:tcPr>
          <w:p w14:paraId="39D9726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6E" w14:textId="77777777" w:rsidR="00996AD7" w:rsidRDefault="00D96458">
            <w:pPr>
              <w:jc w:val="right"/>
              <w:textAlignment w:val="bottom"/>
            </w:pPr>
            <w:r>
              <w:rPr>
                <w:rFonts w:ascii="Arial" w:eastAsia="宋体" w:hAnsi="Arial" w:cs="Arial"/>
                <w:color w:val="0068B5"/>
                <w:sz w:val="18"/>
                <w:szCs w:val="18"/>
              </w:rPr>
              <w:t>1,674 </w:t>
            </w:r>
          </w:p>
        </w:tc>
        <w:tc>
          <w:tcPr>
            <w:tcW w:w="0" w:type="auto"/>
            <w:shd w:val="clear" w:color="auto" w:fill="auto"/>
            <w:tcMar>
              <w:top w:w="40" w:type="dxa"/>
              <w:left w:w="0" w:type="dxa"/>
              <w:bottom w:w="40" w:type="dxa"/>
              <w:right w:w="20" w:type="dxa"/>
            </w:tcMar>
            <w:vAlign w:val="bottom"/>
          </w:tcPr>
          <w:p w14:paraId="39D9726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7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71" w14:textId="77777777" w:rsidR="00996AD7" w:rsidRDefault="00D96458">
            <w:pPr>
              <w:jc w:val="right"/>
              <w:textAlignment w:val="bottom"/>
            </w:pPr>
            <w:r>
              <w:rPr>
                <w:rFonts w:ascii="Arial" w:eastAsia="宋体" w:hAnsi="Arial" w:cs="Arial"/>
                <w:color w:val="262626"/>
                <w:sz w:val="18"/>
                <w:szCs w:val="18"/>
              </w:rPr>
              <w:t>1,435 </w:t>
            </w:r>
          </w:p>
        </w:tc>
        <w:tc>
          <w:tcPr>
            <w:tcW w:w="0" w:type="auto"/>
            <w:shd w:val="clear" w:color="auto" w:fill="auto"/>
            <w:tcMar>
              <w:top w:w="40" w:type="dxa"/>
              <w:left w:w="0" w:type="dxa"/>
              <w:bottom w:w="40" w:type="dxa"/>
              <w:right w:w="20" w:type="dxa"/>
            </w:tcMar>
            <w:vAlign w:val="bottom"/>
          </w:tcPr>
          <w:p w14:paraId="39D9727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7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74" w14:textId="77777777" w:rsidR="00996AD7" w:rsidRDefault="00D96458">
            <w:pPr>
              <w:jc w:val="right"/>
              <w:textAlignment w:val="bottom"/>
            </w:pPr>
            <w:r>
              <w:rPr>
                <w:rFonts w:ascii="Arial" w:eastAsia="宋体" w:hAnsi="Arial" w:cs="Arial"/>
                <w:color w:val="0068B5"/>
                <w:sz w:val="18"/>
                <w:szCs w:val="18"/>
              </w:rPr>
              <w:t>4,601 </w:t>
            </w:r>
          </w:p>
        </w:tc>
        <w:tc>
          <w:tcPr>
            <w:tcW w:w="0" w:type="auto"/>
            <w:shd w:val="clear" w:color="auto" w:fill="auto"/>
            <w:tcMar>
              <w:top w:w="40" w:type="dxa"/>
              <w:left w:w="0" w:type="dxa"/>
              <w:bottom w:w="40" w:type="dxa"/>
              <w:right w:w="20" w:type="dxa"/>
            </w:tcMar>
            <w:vAlign w:val="bottom"/>
          </w:tcPr>
          <w:p w14:paraId="39D9727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7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77" w14:textId="77777777" w:rsidR="00996AD7" w:rsidRDefault="00D96458">
            <w:pPr>
              <w:jc w:val="right"/>
              <w:textAlignment w:val="bottom"/>
            </w:pPr>
            <w:r>
              <w:rPr>
                <w:rFonts w:ascii="Arial" w:eastAsia="宋体" w:hAnsi="Arial" w:cs="Arial"/>
                <w:color w:val="262626"/>
                <w:sz w:val="18"/>
                <w:szCs w:val="18"/>
              </w:rPr>
              <w:t>4,423 </w:t>
            </w:r>
          </w:p>
        </w:tc>
        <w:tc>
          <w:tcPr>
            <w:tcW w:w="0" w:type="auto"/>
            <w:shd w:val="clear" w:color="auto" w:fill="auto"/>
            <w:tcMar>
              <w:top w:w="40" w:type="dxa"/>
              <w:left w:w="0" w:type="dxa"/>
              <w:bottom w:w="40" w:type="dxa"/>
              <w:right w:w="20" w:type="dxa"/>
            </w:tcMar>
            <w:vAlign w:val="bottom"/>
          </w:tcPr>
          <w:p w14:paraId="39D97278" w14:textId="77777777" w:rsidR="00996AD7" w:rsidRDefault="00996AD7">
            <w:pPr>
              <w:jc w:val="right"/>
              <w:rPr>
                <w:rFonts w:ascii="宋体"/>
              </w:rPr>
            </w:pPr>
          </w:p>
        </w:tc>
      </w:tr>
      <w:tr w:rsidR="00996AD7" w14:paraId="39D97287" w14:textId="77777777">
        <w:tc>
          <w:tcPr>
            <w:tcW w:w="0" w:type="auto"/>
            <w:gridSpan w:val="3"/>
            <w:shd w:val="clear" w:color="auto" w:fill="auto"/>
            <w:tcMar>
              <w:top w:w="40" w:type="dxa"/>
              <w:left w:w="20" w:type="dxa"/>
              <w:bottom w:w="40" w:type="dxa"/>
              <w:right w:w="20" w:type="dxa"/>
            </w:tcMar>
          </w:tcPr>
          <w:p w14:paraId="39D9727A" w14:textId="77777777" w:rsidR="00996AD7" w:rsidRDefault="00D96458">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39D9727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7C" w14:textId="77777777" w:rsidR="00996AD7" w:rsidRDefault="00D96458">
            <w:pPr>
              <w:jc w:val="right"/>
              <w:textAlignment w:val="bottom"/>
            </w:pPr>
            <w:r>
              <w:rPr>
                <w:rFonts w:ascii="Arial" w:eastAsia="宋体" w:hAnsi="Arial" w:cs="Arial"/>
                <w:color w:val="0068B5"/>
                <w:sz w:val="18"/>
                <w:szCs w:val="18"/>
              </w:rPr>
              <w:t>42 </w:t>
            </w:r>
          </w:p>
        </w:tc>
        <w:tc>
          <w:tcPr>
            <w:tcW w:w="0" w:type="auto"/>
            <w:shd w:val="clear" w:color="auto" w:fill="auto"/>
            <w:tcMar>
              <w:top w:w="40" w:type="dxa"/>
              <w:left w:w="0" w:type="dxa"/>
              <w:bottom w:w="40" w:type="dxa"/>
              <w:right w:w="20" w:type="dxa"/>
            </w:tcMar>
            <w:vAlign w:val="bottom"/>
          </w:tcPr>
          <w:p w14:paraId="39D9727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7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7F" w14:textId="77777777" w:rsidR="00996AD7" w:rsidRDefault="00D96458">
            <w:pPr>
              <w:jc w:val="right"/>
              <w:textAlignment w:val="bottom"/>
            </w:pPr>
            <w:r>
              <w:rPr>
                <w:rFonts w:ascii="Arial" w:eastAsia="宋体" w:hAnsi="Arial" w:cs="Arial"/>
                <w:color w:val="262626"/>
                <w:sz w:val="18"/>
                <w:szCs w:val="18"/>
              </w:rPr>
              <w:t>(25)</w:t>
            </w:r>
          </w:p>
        </w:tc>
        <w:tc>
          <w:tcPr>
            <w:tcW w:w="0" w:type="auto"/>
            <w:shd w:val="clear" w:color="auto" w:fill="auto"/>
            <w:tcMar>
              <w:top w:w="40" w:type="dxa"/>
              <w:left w:w="0" w:type="dxa"/>
              <w:bottom w:w="40" w:type="dxa"/>
              <w:right w:w="20" w:type="dxa"/>
            </w:tcMar>
            <w:vAlign w:val="bottom"/>
          </w:tcPr>
          <w:p w14:paraId="39D9728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8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82" w14:textId="77777777" w:rsidR="00996AD7" w:rsidRDefault="00D96458">
            <w:pPr>
              <w:jc w:val="right"/>
              <w:textAlignment w:val="bottom"/>
            </w:pPr>
            <w:r>
              <w:rPr>
                <w:rFonts w:ascii="Arial" w:eastAsia="宋体" w:hAnsi="Arial" w:cs="Arial"/>
                <w:color w:val="0068B5"/>
                <w:sz w:val="18"/>
                <w:szCs w:val="18"/>
              </w:rPr>
              <w:t>2,597 </w:t>
            </w:r>
          </w:p>
        </w:tc>
        <w:tc>
          <w:tcPr>
            <w:tcW w:w="0" w:type="auto"/>
            <w:shd w:val="clear" w:color="auto" w:fill="auto"/>
            <w:tcMar>
              <w:top w:w="40" w:type="dxa"/>
              <w:left w:w="0" w:type="dxa"/>
              <w:bottom w:w="40" w:type="dxa"/>
              <w:right w:w="20" w:type="dxa"/>
            </w:tcMar>
            <w:vAlign w:val="bottom"/>
          </w:tcPr>
          <w:p w14:paraId="39D9728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8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85" w14:textId="77777777" w:rsidR="00996AD7" w:rsidRDefault="00D96458">
            <w:pPr>
              <w:jc w:val="right"/>
              <w:textAlignment w:val="bottom"/>
            </w:pPr>
            <w:r>
              <w:rPr>
                <w:rFonts w:ascii="Arial" w:eastAsia="宋体" w:hAnsi="Arial" w:cs="Arial"/>
                <w:color w:val="262626"/>
                <w:sz w:val="18"/>
                <w:szCs w:val="18"/>
              </w:rPr>
              <w:t>146 </w:t>
            </w:r>
          </w:p>
        </w:tc>
        <w:tc>
          <w:tcPr>
            <w:tcW w:w="0" w:type="auto"/>
            <w:shd w:val="clear" w:color="auto" w:fill="auto"/>
            <w:tcMar>
              <w:top w:w="40" w:type="dxa"/>
              <w:left w:w="0" w:type="dxa"/>
              <w:bottom w:w="40" w:type="dxa"/>
              <w:right w:w="20" w:type="dxa"/>
            </w:tcMar>
            <w:vAlign w:val="bottom"/>
          </w:tcPr>
          <w:p w14:paraId="39D97286" w14:textId="77777777" w:rsidR="00996AD7" w:rsidRDefault="00996AD7">
            <w:pPr>
              <w:jc w:val="right"/>
              <w:rPr>
                <w:rFonts w:ascii="宋体"/>
              </w:rPr>
            </w:pPr>
          </w:p>
        </w:tc>
      </w:tr>
      <w:tr w:rsidR="00996AD7" w14:paraId="39D97295" w14:textId="77777777">
        <w:tc>
          <w:tcPr>
            <w:tcW w:w="0" w:type="auto"/>
            <w:gridSpan w:val="3"/>
            <w:shd w:val="clear" w:color="auto" w:fill="auto"/>
            <w:tcMar>
              <w:top w:w="40" w:type="dxa"/>
              <w:left w:w="20" w:type="dxa"/>
              <w:bottom w:w="40" w:type="dxa"/>
              <w:right w:w="20" w:type="dxa"/>
            </w:tcMar>
          </w:tcPr>
          <w:p w14:paraId="39D97288" w14:textId="77777777" w:rsidR="00996AD7" w:rsidRDefault="00D96458">
            <w:pPr>
              <w:textAlignment w:val="top"/>
            </w:pPr>
            <w:r>
              <w:rPr>
                <w:rFonts w:ascii="Arial" w:eastAsia="宋体" w:hAnsi="Arial" w:cs="Arial"/>
                <w:b/>
                <w:bCs/>
                <w:color w:val="262626"/>
                <w:sz w:val="18"/>
                <w:szCs w:val="18"/>
              </w:rPr>
              <w:t>Operating expenses</w:t>
            </w:r>
          </w:p>
        </w:tc>
        <w:tc>
          <w:tcPr>
            <w:tcW w:w="0" w:type="auto"/>
            <w:gridSpan w:val="3"/>
            <w:shd w:val="clear" w:color="auto" w:fill="auto"/>
            <w:tcMar>
              <w:top w:w="0" w:type="dxa"/>
              <w:left w:w="20" w:type="dxa"/>
              <w:bottom w:w="0" w:type="dxa"/>
              <w:right w:w="20" w:type="dxa"/>
            </w:tcMar>
            <w:vAlign w:val="bottom"/>
          </w:tcPr>
          <w:p w14:paraId="39D97289"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8A" w14:textId="77777777" w:rsidR="00996AD7" w:rsidRDefault="00D96458">
            <w:pPr>
              <w:jc w:val="right"/>
              <w:textAlignment w:val="bottom"/>
            </w:pPr>
            <w:r>
              <w:rPr>
                <w:rFonts w:ascii="Arial" w:eastAsia="宋体" w:hAnsi="Arial" w:cs="Arial"/>
                <w:b/>
                <w:bCs/>
                <w:color w:val="0068B5"/>
                <w:sz w:val="18"/>
                <w:szCs w:val="18"/>
              </w:rPr>
              <w:t>5,519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8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8C"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8D" w14:textId="77777777" w:rsidR="00996AD7" w:rsidRDefault="00D96458">
            <w:pPr>
              <w:jc w:val="right"/>
              <w:textAlignment w:val="bottom"/>
            </w:pPr>
            <w:r>
              <w:rPr>
                <w:rFonts w:ascii="Arial" w:eastAsia="宋体" w:hAnsi="Arial" w:cs="Arial"/>
                <w:b/>
                <w:bCs/>
                <w:color w:val="262626"/>
                <w:sz w:val="18"/>
                <w:szCs w:val="18"/>
              </w:rPr>
              <w:t>4,682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8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8F"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90" w14:textId="77777777" w:rsidR="00996AD7" w:rsidRDefault="00D96458">
            <w:pPr>
              <w:jc w:val="right"/>
              <w:textAlignment w:val="bottom"/>
            </w:pPr>
            <w:r>
              <w:rPr>
                <w:rFonts w:ascii="Arial" w:eastAsia="宋体" w:hAnsi="Arial" w:cs="Arial"/>
                <w:b/>
                <w:bCs/>
                <w:color w:val="0068B5"/>
                <w:sz w:val="18"/>
                <w:szCs w:val="18"/>
              </w:rPr>
              <w:t>18,339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9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92"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93" w14:textId="77777777" w:rsidR="00996AD7" w:rsidRDefault="00D96458">
            <w:pPr>
              <w:jc w:val="right"/>
              <w:textAlignment w:val="bottom"/>
            </w:pPr>
            <w:r>
              <w:rPr>
                <w:rFonts w:ascii="Arial" w:eastAsia="宋体" w:hAnsi="Arial" w:cs="Arial"/>
                <w:b/>
                <w:bCs/>
                <w:color w:val="262626"/>
                <w:sz w:val="18"/>
                <w:szCs w:val="18"/>
              </w:rPr>
              <w:t>14,470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94" w14:textId="77777777" w:rsidR="00996AD7" w:rsidRDefault="00996AD7">
            <w:pPr>
              <w:jc w:val="right"/>
              <w:rPr>
                <w:rFonts w:ascii="宋体"/>
              </w:rPr>
            </w:pPr>
          </w:p>
        </w:tc>
      </w:tr>
      <w:tr w:rsidR="00996AD7" w14:paraId="39D972A3" w14:textId="77777777">
        <w:tc>
          <w:tcPr>
            <w:tcW w:w="0" w:type="auto"/>
            <w:gridSpan w:val="3"/>
            <w:shd w:val="clear" w:color="auto" w:fill="auto"/>
            <w:tcMar>
              <w:top w:w="40" w:type="dxa"/>
              <w:left w:w="20" w:type="dxa"/>
              <w:bottom w:w="40" w:type="dxa"/>
              <w:right w:w="20" w:type="dxa"/>
            </w:tcMar>
          </w:tcPr>
          <w:p w14:paraId="39D97296" w14:textId="77777777" w:rsidR="00996AD7" w:rsidRDefault="00D96458">
            <w:pPr>
              <w:textAlignment w:val="top"/>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vAlign w:val="bottom"/>
          </w:tcPr>
          <w:p w14:paraId="39D9729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98" w14:textId="77777777" w:rsidR="00996AD7" w:rsidRDefault="00D96458">
            <w:pPr>
              <w:jc w:val="right"/>
              <w:textAlignment w:val="bottom"/>
            </w:pPr>
            <w:r>
              <w:rPr>
                <w:rFonts w:ascii="Arial" w:eastAsia="宋体" w:hAnsi="Arial" w:cs="Arial"/>
                <w:b/>
                <w:bCs/>
                <w:color w:val="0068B5"/>
                <w:sz w:val="18"/>
                <w:szCs w:val="18"/>
              </w:rPr>
              <w:t>5,227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9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9A"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9B" w14:textId="77777777" w:rsidR="00996AD7" w:rsidRDefault="00D96458">
            <w:pPr>
              <w:jc w:val="right"/>
              <w:textAlignment w:val="bottom"/>
            </w:pPr>
            <w:r>
              <w:rPr>
                <w:rFonts w:ascii="Arial" w:eastAsia="宋体" w:hAnsi="Arial" w:cs="Arial"/>
                <w:b/>
                <w:bCs/>
                <w:color w:val="262626"/>
                <w:sz w:val="18"/>
                <w:szCs w:val="18"/>
              </w:rPr>
              <w:t>5,059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9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9D"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9E" w14:textId="77777777" w:rsidR="00996AD7" w:rsidRDefault="00D96458">
            <w:pPr>
              <w:jc w:val="right"/>
              <w:textAlignment w:val="bottom"/>
            </w:pPr>
            <w:r>
              <w:rPr>
                <w:rFonts w:ascii="Arial" w:eastAsia="宋体" w:hAnsi="Arial" w:cs="Arial"/>
                <w:b/>
                <w:bCs/>
                <w:color w:val="0068B5"/>
                <w:sz w:val="18"/>
                <w:szCs w:val="18"/>
              </w:rPr>
              <w:t>14,467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9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A0"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A1" w14:textId="77777777" w:rsidR="00996AD7" w:rsidRDefault="00D96458">
            <w:pPr>
              <w:jc w:val="right"/>
              <w:textAlignment w:val="bottom"/>
            </w:pPr>
            <w:r>
              <w:rPr>
                <w:rFonts w:ascii="Arial" w:eastAsia="宋体" w:hAnsi="Arial" w:cs="Arial"/>
                <w:b/>
                <w:bCs/>
                <w:color w:val="262626"/>
                <w:sz w:val="18"/>
                <w:szCs w:val="18"/>
              </w:rPr>
              <w:t>17,794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A2" w14:textId="77777777" w:rsidR="00996AD7" w:rsidRDefault="00996AD7">
            <w:pPr>
              <w:jc w:val="right"/>
              <w:rPr>
                <w:rFonts w:ascii="宋体"/>
              </w:rPr>
            </w:pPr>
          </w:p>
        </w:tc>
      </w:tr>
      <w:tr w:rsidR="00996AD7" w14:paraId="39D972B1" w14:textId="77777777">
        <w:tc>
          <w:tcPr>
            <w:tcW w:w="0" w:type="auto"/>
            <w:gridSpan w:val="3"/>
            <w:shd w:val="clear" w:color="auto" w:fill="auto"/>
            <w:tcMar>
              <w:top w:w="40" w:type="dxa"/>
              <w:left w:w="20" w:type="dxa"/>
              <w:bottom w:w="40" w:type="dxa"/>
              <w:right w:w="20" w:type="dxa"/>
            </w:tcMar>
          </w:tcPr>
          <w:p w14:paraId="39D972A4" w14:textId="77777777" w:rsidR="00996AD7" w:rsidRDefault="00D96458">
            <w:pPr>
              <w:textAlignment w:val="top"/>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39D972A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A6" w14:textId="77777777" w:rsidR="00996AD7" w:rsidRDefault="00D96458">
            <w:pPr>
              <w:jc w:val="right"/>
              <w:textAlignment w:val="bottom"/>
            </w:pPr>
            <w:r>
              <w:rPr>
                <w:rFonts w:ascii="Arial" w:eastAsia="宋体" w:hAnsi="Arial" w:cs="Arial"/>
                <w:color w:val="0068B5"/>
                <w:sz w:val="18"/>
                <w:szCs w:val="18"/>
              </w:rPr>
              <w:t>1,707 </w:t>
            </w:r>
          </w:p>
        </w:tc>
        <w:tc>
          <w:tcPr>
            <w:tcW w:w="0" w:type="auto"/>
            <w:shd w:val="clear" w:color="auto" w:fill="auto"/>
            <w:tcMar>
              <w:top w:w="40" w:type="dxa"/>
              <w:left w:w="0" w:type="dxa"/>
              <w:bottom w:w="40" w:type="dxa"/>
              <w:right w:w="20" w:type="dxa"/>
            </w:tcMar>
            <w:vAlign w:val="bottom"/>
          </w:tcPr>
          <w:p w14:paraId="39D972A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A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A9" w14:textId="77777777" w:rsidR="00996AD7" w:rsidRDefault="00D96458">
            <w:pPr>
              <w:jc w:val="right"/>
              <w:textAlignment w:val="bottom"/>
            </w:pPr>
            <w:r>
              <w:rPr>
                <w:rFonts w:ascii="Arial" w:eastAsia="宋体" w:hAnsi="Arial" w:cs="Arial"/>
                <w:color w:val="262626"/>
                <w:sz w:val="18"/>
                <w:szCs w:val="18"/>
              </w:rPr>
              <w:t>56 </w:t>
            </w:r>
          </w:p>
        </w:tc>
        <w:tc>
          <w:tcPr>
            <w:tcW w:w="0" w:type="auto"/>
            <w:shd w:val="clear" w:color="auto" w:fill="auto"/>
            <w:tcMar>
              <w:top w:w="40" w:type="dxa"/>
              <w:left w:w="0" w:type="dxa"/>
              <w:bottom w:w="40" w:type="dxa"/>
              <w:right w:w="20" w:type="dxa"/>
            </w:tcMar>
            <w:vAlign w:val="bottom"/>
          </w:tcPr>
          <w:p w14:paraId="39D972A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A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AC" w14:textId="77777777" w:rsidR="00996AD7" w:rsidRDefault="00D96458">
            <w:pPr>
              <w:jc w:val="right"/>
              <w:textAlignment w:val="bottom"/>
            </w:pPr>
            <w:r>
              <w:rPr>
                <w:rFonts w:ascii="Arial" w:eastAsia="宋体" w:hAnsi="Arial" w:cs="Arial"/>
                <w:color w:val="0068B5"/>
                <w:sz w:val="18"/>
                <w:szCs w:val="18"/>
              </w:rPr>
              <w:t>2,370 </w:t>
            </w:r>
          </w:p>
        </w:tc>
        <w:tc>
          <w:tcPr>
            <w:tcW w:w="0" w:type="auto"/>
            <w:shd w:val="clear" w:color="auto" w:fill="auto"/>
            <w:tcMar>
              <w:top w:w="40" w:type="dxa"/>
              <w:left w:w="0" w:type="dxa"/>
              <w:bottom w:w="40" w:type="dxa"/>
              <w:right w:w="20" w:type="dxa"/>
            </w:tcMar>
            <w:vAlign w:val="bottom"/>
          </w:tcPr>
          <w:p w14:paraId="39D972A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A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AF" w14:textId="77777777" w:rsidR="00996AD7" w:rsidRDefault="00D96458">
            <w:pPr>
              <w:jc w:val="right"/>
              <w:textAlignment w:val="bottom"/>
            </w:pPr>
            <w:r>
              <w:rPr>
                <w:rFonts w:ascii="Arial" w:eastAsia="宋体" w:hAnsi="Arial" w:cs="Arial"/>
                <w:color w:val="262626"/>
                <w:sz w:val="18"/>
                <w:szCs w:val="18"/>
              </w:rPr>
              <w:t>212 </w:t>
            </w:r>
          </w:p>
        </w:tc>
        <w:tc>
          <w:tcPr>
            <w:tcW w:w="0" w:type="auto"/>
            <w:shd w:val="clear" w:color="auto" w:fill="auto"/>
            <w:tcMar>
              <w:top w:w="40" w:type="dxa"/>
              <w:left w:w="0" w:type="dxa"/>
              <w:bottom w:w="40" w:type="dxa"/>
              <w:right w:w="20" w:type="dxa"/>
            </w:tcMar>
            <w:vAlign w:val="bottom"/>
          </w:tcPr>
          <w:p w14:paraId="39D972B0" w14:textId="77777777" w:rsidR="00996AD7" w:rsidRDefault="00996AD7">
            <w:pPr>
              <w:jc w:val="right"/>
              <w:rPr>
                <w:rFonts w:ascii="宋体"/>
              </w:rPr>
            </w:pPr>
          </w:p>
        </w:tc>
      </w:tr>
      <w:tr w:rsidR="00996AD7" w14:paraId="39D972BF" w14:textId="77777777">
        <w:tc>
          <w:tcPr>
            <w:tcW w:w="0" w:type="auto"/>
            <w:gridSpan w:val="3"/>
            <w:shd w:val="clear" w:color="auto" w:fill="auto"/>
            <w:tcMar>
              <w:top w:w="40" w:type="dxa"/>
              <w:left w:w="20" w:type="dxa"/>
              <w:bottom w:w="40" w:type="dxa"/>
              <w:right w:w="20" w:type="dxa"/>
            </w:tcMar>
          </w:tcPr>
          <w:p w14:paraId="39D972B2" w14:textId="77777777" w:rsidR="00996AD7" w:rsidRDefault="00D96458">
            <w:pPr>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39D972B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B4" w14:textId="77777777" w:rsidR="00996AD7" w:rsidRDefault="00D96458">
            <w:pPr>
              <w:jc w:val="right"/>
              <w:textAlignment w:val="bottom"/>
            </w:pPr>
            <w:r>
              <w:rPr>
                <w:rFonts w:ascii="Arial" w:eastAsia="宋体" w:hAnsi="Arial" w:cs="Arial"/>
                <w:color w:val="0068B5"/>
                <w:sz w:val="18"/>
                <w:szCs w:val="18"/>
              </w:rPr>
              <w:t>(76)</w:t>
            </w:r>
          </w:p>
        </w:tc>
        <w:tc>
          <w:tcPr>
            <w:tcW w:w="0" w:type="auto"/>
            <w:shd w:val="clear" w:color="auto" w:fill="auto"/>
            <w:tcMar>
              <w:top w:w="40" w:type="dxa"/>
              <w:left w:w="0" w:type="dxa"/>
              <w:bottom w:w="40" w:type="dxa"/>
              <w:right w:w="20" w:type="dxa"/>
            </w:tcMar>
            <w:vAlign w:val="bottom"/>
          </w:tcPr>
          <w:p w14:paraId="39D972B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B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B7" w14:textId="77777777" w:rsidR="00996AD7" w:rsidRDefault="00D96458">
            <w:pPr>
              <w:jc w:val="right"/>
              <w:textAlignment w:val="bottom"/>
            </w:pPr>
            <w:r>
              <w:rPr>
                <w:rFonts w:ascii="Arial" w:eastAsia="宋体" w:hAnsi="Arial" w:cs="Arial"/>
                <w:color w:val="262626"/>
                <w:sz w:val="18"/>
                <w:szCs w:val="18"/>
              </w:rPr>
              <w:t>(74)</w:t>
            </w:r>
          </w:p>
        </w:tc>
        <w:tc>
          <w:tcPr>
            <w:tcW w:w="0" w:type="auto"/>
            <w:shd w:val="clear" w:color="auto" w:fill="auto"/>
            <w:tcMar>
              <w:top w:w="40" w:type="dxa"/>
              <w:left w:w="0" w:type="dxa"/>
              <w:bottom w:w="40" w:type="dxa"/>
              <w:right w:w="20" w:type="dxa"/>
            </w:tcMar>
            <w:vAlign w:val="bottom"/>
          </w:tcPr>
          <w:p w14:paraId="39D972B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B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BA" w14:textId="77777777" w:rsidR="00996AD7" w:rsidRDefault="00D96458">
            <w:pPr>
              <w:jc w:val="right"/>
              <w:textAlignment w:val="bottom"/>
            </w:pPr>
            <w:r>
              <w:rPr>
                <w:rFonts w:ascii="Arial" w:eastAsia="宋体" w:hAnsi="Arial" w:cs="Arial"/>
                <w:color w:val="0068B5"/>
                <w:sz w:val="18"/>
                <w:szCs w:val="18"/>
              </w:rPr>
              <w:t>(328)</w:t>
            </w:r>
          </w:p>
        </w:tc>
        <w:tc>
          <w:tcPr>
            <w:tcW w:w="0" w:type="auto"/>
            <w:shd w:val="clear" w:color="auto" w:fill="auto"/>
            <w:tcMar>
              <w:top w:w="40" w:type="dxa"/>
              <w:left w:w="0" w:type="dxa"/>
              <w:bottom w:w="40" w:type="dxa"/>
              <w:right w:w="20" w:type="dxa"/>
            </w:tcMar>
            <w:vAlign w:val="bottom"/>
          </w:tcPr>
          <w:p w14:paraId="39D972B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B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BD" w14:textId="77777777" w:rsidR="00996AD7" w:rsidRDefault="00D96458">
            <w:pPr>
              <w:jc w:val="right"/>
              <w:textAlignment w:val="bottom"/>
            </w:pPr>
            <w:r>
              <w:rPr>
                <w:rFonts w:ascii="Arial" w:eastAsia="宋体" w:hAnsi="Arial" w:cs="Arial"/>
                <w:color w:val="262626"/>
                <w:sz w:val="18"/>
                <w:szCs w:val="18"/>
              </w:rPr>
              <w:t>(416)</w:t>
            </w:r>
          </w:p>
        </w:tc>
        <w:tc>
          <w:tcPr>
            <w:tcW w:w="0" w:type="auto"/>
            <w:shd w:val="clear" w:color="auto" w:fill="auto"/>
            <w:tcMar>
              <w:top w:w="40" w:type="dxa"/>
              <w:left w:w="0" w:type="dxa"/>
              <w:bottom w:w="40" w:type="dxa"/>
              <w:right w:w="20" w:type="dxa"/>
            </w:tcMar>
            <w:vAlign w:val="bottom"/>
          </w:tcPr>
          <w:p w14:paraId="39D972BE" w14:textId="77777777" w:rsidR="00996AD7" w:rsidRDefault="00996AD7">
            <w:pPr>
              <w:jc w:val="right"/>
              <w:rPr>
                <w:rFonts w:ascii="宋体"/>
              </w:rPr>
            </w:pPr>
          </w:p>
        </w:tc>
      </w:tr>
      <w:tr w:rsidR="00996AD7" w14:paraId="39D972CD" w14:textId="77777777">
        <w:tc>
          <w:tcPr>
            <w:tcW w:w="0" w:type="auto"/>
            <w:gridSpan w:val="3"/>
            <w:shd w:val="clear" w:color="auto" w:fill="auto"/>
            <w:tcMar>
              <w:top w:w="40" w:type="dxa"/>
              <w:left w:w="20" w:type="dxa"/>
              <w:bottom w:w="40" w:type="dxa"/>
              <w:right w:w="20" w:type="dxa"/>
            </w:tcMar>
          </w:tcPr>
          <w:p w14:paraId="39D972C0" w14:textId="77777777" w:rsidR="00996AD7" w:rsidRDefault="00D96458">
            <w:pPr>
              <w:textAlignment w:val="top"/>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39D972C1"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C2" w14:textId="77777777" w:rsidR="00996AD7" w:rsidRDefault="00D96458">
            <w:pPr>
              <w:jc w:val="right"/>
              <w:textAlignment w:val="bottom"/>
            </w:pPr>
            <w:r>
              <w:rPr>
                <w:rFonts w:ascii="Arial" w:eastAsia="宋体" w:hAnsi="Arial" w:cs="Arial"/>
                <w:b/>
                <w:bCs/>
                <w:color w:val="0068B5"/>
                <w:sz w:val="18"/>
                <w:szCs w:val="18"/>
              </w:rPr>
              <w:t>6,858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C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C4"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C5" w14:textId="77777777" w:rsidR="00996AD7" w:rsidRDefault="00D96458">
            <w:pPr>
              <w:jc w:val="right"/>
              <w:textAlignment w:val="bottom"/>
            </w:pPr>
            <w:r>
              <w:rPr>
                <w:rFonts w:ascii="Arial" w:eastAsia="宋体" w:hAnsi="Arial" w:cs="Arial"/>
                <w:b/>
                <w:bCs/>
                <w:color w:val="262626"/>
                <w:sz w:val="18"/>
                <w:szCs w:val="18"/>
              </w:rPr>
              <w:t>5,041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C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C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C8" w14:textId="77777777" w:rsidR="00996AD7" w:rsidRDefault="00D96458">
            <w:pPr>
              <w:jc w:val="right"/>
              <w:textAlignment w:val="bottom"/>
            </w:pPr>
            <w:r>
              <w:rPr>
                <w:rFonts w:ascii="Arial" w:eastAsia="宋体" w:hAnsi="Arial" w:cs="Arial"/>
                <w:b/>
                <w:bCs/>
                <w:color w:val="0068B5"/>
                <w:sz w:val="18"/>
                <w:szCs w:val="18"/>
              </w:rPr>
              <w:t>16,509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C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CA"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2CB" w14:textId="77777777" w:rsidR="00996AD7" w:rsidRDefault="00D96458">
            <w:pPr>
              <w:jc w:val="right"/>
              <w:textAlignment w:val="bottom"/>
            </w:pPr>
            <w:r>
              <w:rPr>
                <w:rFonts w:ascii="Arial" w:eastAsia="宋体" w:hAnsi="Arial" w:cs="Arial"/>
                <w:b/>
                <w:bCs/>
                <w:color w:val="262626"/>
                <w:sz w:val="18"/>
                <w:szCs w:val="18"/>
              </w:rPr>
              <w:t>17,590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CC" w14:textId="77777777" w:rsidR="00996AD7" w:rsidRDefault="00996AD7">
            <w:pPr>
              <w:jc w:val="right"/>
              <w:rPr>
                <w:rFonts w:ascii="宋体"/>
              </w:rPr>
            </w:pPr>
          </w:p>
        </w:tc>
      </w:tr>
      <w:tr w:rsidR="00996AD7" w14:paraId="39D972DB" w14:textId="77777777">
        <w:tc>
          <w:tcPr>
            <w:tcW w:w="0" w:type="auto"/>
            <w:gridSpan w:val="3"/>
            <w:shd w:val="clear" w:color="auto" w:fill="auto"/>
            <w:tcMar>
              <w:top w:w="40" w:type="dxa"/>
              <w:left w:w="20" w:type="dxa"/>
              <w:bottom w:w="40" w:type="dxa"/>
              <w:right w:w="20" w:type="dxa"/>
            </w:tcMar>
          </w:tcPr>
          <w:p w14:paraId="39D972CE" w14:textId="77777777" w:rsidR="00996AD7" w:rsidRDefault="00D96458">
            <w:pPr>
              <w:textAlignment w:val="top"/>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vAlign w:val="bottom"/>
          </w:tcPr>
          <w:p w14:paraId="39D972C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D0" w14:textId="77777777" w:rsidR="00996AD7" w:rsidRDefault="00D96458">
            <w:pPr>
              <w:jc w:val="right"/>
              <w:textAlignment w:val="bottom"/>
            </w:pPr>
            <w:r>
              <w:rPr>
                <w:rFonts w:ascii="Arial" w:eastAsia="宋体" w:hAnsi="Arial" w:cs="Arial"/>
                <w:color w:val="0068B5"/>
                <w:sz w:val="18"/>
                <w:szCs w:val="18"/>
              </w:rPr>
              <w:t>35 </w:t>
            </w:r>
          </w:p>
        </w:tc>
        <w:tc>
          <w:tcPr>
            <w:tcW w:w="0" w:type="auto"/>
            <w:shd w:val="clear" w:color="auto" w:fill="auto"/>
            <w:tcMar>
              <w:top w:w="40" w:type="dxa"/>
              <w:left w:w="0" w:type="dxa"/>
              <w:bottom w:w="40" w:type="dxa"/>
              <w:right w:w="20" w:type="dxa"/>
            </w:tcMar>
            <w:vAlign w:val="bottom"/>
          </w:tcPr>
          <w:p w14:paraId="39D972D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D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D3" w14:textId="77777777" w:rsidR="00996AD7" w:rsidRDefault="00D96458">
            <w:pPr>
              <w:jc w:val="right"/>
              <w:textAlignment w:val="bottom"/>
            </w:pPr>
            <w:r>
              <w:rPr>
                <w:rFonts w:ascii="Arial" w:eastAsia="宋体" w:hAnsi="Arial" w:cs="Arial"/>
                <w:color w:val="262626"/>
                <w:sz w:val="18"/>
                <w:szCs w:val="18"/>
              </w:rPr>
              <w:t>765 </w:t>
            </w:r>
          </w:p>
        </w:tc>
        <w:tc>
          <w:tcPr>
            <w:tcW w:w="0" w:type="auto"/>
            <w:shd w:val="clear" w:color="auto" w:fill="auto"/>
            <w:tcMar>
              <w:top w:w="40" w:type="dxa"/>
              <w:left w:w="0" w:type="dxa"/>
              <w:bottom w:w="40" w:type="dxa"/>
              <w:right w:w="20" w:type="dxa"/>
            </w:tcMar>
            <w:vAlign w:val="bottom"/>
          </w:tcPr>
          <w:p w14:paraId="39D972D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D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D6" w14:textId="77777777" w:rsidR="00996AD7" w:rsidRDefault="00D96458">
            <w:pPr>
              <w:jc w:val="right"/>
              <w:textAlignment w:val="bottom"/>
            </w:pPr>
            <w:r>
              <w:rPr>
                <w:rFonts w:ascii="Arial" w:eastAsia="宋体" w:hAnsi="Arial" w:cs="Arial"/>
                <w:color w:val="0068B5"/>
                <w:sz w:val="18"/>
                <w:szCs w:val="18"/>
              </w:rPr>
              <w:t>1,264 </w:t>
            </w:r>
          </w:p>
        </w:tc>
        <w:tc>
          <w:tcPr>
            <w:tcW w:w="0" w:type="auto"/>
            <w:shd w:val="clear" w:color="auto" w:fill="auto"/>
            <w:tcMar>
              <w:top w:w="40" w:type="dxa"/>
              <w:left w:w="0" w:type="dxa"/>
              <w:bottom w:w="40" w:type="dxa"/>
              <w:right w:w="20" w:type="dxa"/>
            </w:tcMar>
            <w:vAlign w:val="bottom"/>
          </w:tcPr>
          <w:p w14:paraId="39D972D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D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2D9" w14:textId="77777777" w:rsidR="00996AD7" w:rsidRDefault="00D96458">
            <w:pPr>
              <w:jc w:val="right"/>
              <w:textAlignment w:val="bottom"/>
            </w:pPr>
            <w:r>
              <w:rPr>
                <w:rFonts w:ascii="Arial" w:eastAsia="宋体" w:hAnsi="Arial" w:cs="Arial"/>
                <w:color w:val="262626"/>
                <w:sz w:val="18"/>
                <w:szCs w:val="18"/>
              </w:rPr>
              <w:t>2,548 </w:t>
            </w:r>
          </w:p>
        </w:tc>
        <w:tc>
          <w:tcPr>
            <w:tcW w:w="0" w:type="auto"/>
            <w:shd w:val="clear" w:color="auto" w:fill="auto"/>
            <w:tcMar>
              <w:top w:w="40" w:type="dxa"/>
              <w:left w:w="0" w:type="dxa"/>
              <w:bottom w:w="40" w:type="dxa"/>
              <w:right w:w="20" w:type="dxa"/>
            </w:tcMar>
            <w:vAlign w:val="bottom"/>
          </w:tcPr>
          <w:p w14:paraId="39D972DA" w14:textId="77777777" w:rsidR="00996AD7" w:rsidRDefault="00996AD7">
            <w:pPr>
              <w:jc w:val="right"/>
              <w:rPr>
                <w:rFonts w:ascii="宋体"/>
              </w:rPr>
            </w:pPr>
          </w:p>
        </w:tc>
      </w:tr>
      <w:tr w:rsidR="00996AD7" w14:paraId="39D972ED" w14:textId="77777777">
        <w:tc>
          <w:tcPr>
            <w:tcW w:w="0" w:type="auto"/>
            <w:gridSpan w:val="3"/>
            <w:shd w:val="clear" w:color="auto" w:fill="auto"/>
            <w:tcMar>
              <w:top w:w="40" w:type="dxa"/>
              <w:left w:w="20" w:type="dxa"/>
              <w:bottom w:w="40" w:type="dxa"/>
              <w:right w:w="20" w:type="dxa"/>
            </w:tcMar>
          </w:tcPr>
          <w:p w14:paraId="39D972DC" w14:textId="77777777" w:rsidR="00996AD7" w:rsidRDefault="00D96458">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39D972DD"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2DE"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2DF" w14:textId="77777777" w:rsidR="00996AD7" w:rsidRDefault="00D96458">
            <w:pPr>
              <w:jc w:val="right"/>
              <w:textAlignment w:val="bottom"/>
            </w:pPr>
            <w:r>
              <w:rPr>
                <w:rFonts w:ascii="Arial" w:eastAsia="宋体" w:hAnsi="Arial" w:cs="Arial"/>
                <w:b/>
                <w:bCs/>
                <w:color w:val="0068B5"/>
                <w:sz w:val="18"/>
                <w:szCs w:val="18"/>
              </w:rPr>
              <w:t>6,823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E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E1"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2E2"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2E3" w14:textId="77777777" w:rsidR="00996AD7" w:rsidRDefault="00D96458">
            <w:pPr>
              <w:jc w:val="right"/>
              <w:textAlignment w:val="bottom"/>
            </w:pPr>
            <w:r>
              <w:rPr>
                <w:rFonts w:ascii="Arial" w:eastAsia="宋体" w:hAnsi="Arial" w:cs="Arial"/>
                <w:b/>
                <w:bCs/>
                <w:color w:val="262626"/>
                <w:sz w:val="18"/>
                <w:szCs w:val="18"/>
              </w:rPr>
              <w:t>4,276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E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E5"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2E6"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2E7" w14:textId="77777777" w:rsidR="00996AD7" w:rsidRDefault="00D96458">
            <w:pPr>
              <w:jc w:val="right"/>
              <w:textAlignment w:val="bottom"/>
            </w:pPr>
            <w:r>
              <w:rPr>
                <w:rFonts w:ascii="Arial" w:eastAsia="宋体" w:hAnsi="Arial" w:cs="Arial"/>
                <w:b/>
                <w:bCs/>
                <w:color w:val="0068B5"/>
                <w:sz w:val="18"/>
                <w:szCs w:val="18"/>
              </w:rPr>
              <w:t>15,245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E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E9"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2EA"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2EB" w14:textId="77777777" w:rsidR="00996AD7" w:rsidRDefault="00D96458">
            <w:pPr>
              <w:jc w:val="right"/>
              <w:textAlignment w:val="bottom"/>
            </w:pPr>
            <w:r>
              <w:rPr>
                <w:rFonts w:ascii="Arial" w:eastAsia="宋体" w:hAnsi="Arial" w:cs="Arial"/>
                <w:b/>
                <w:bCs/>
                <w:color w:val="262626"/>
                <w:sz w:val="18"/>
                <w:szCs w:val="18"/>
              </w:rPr>
              <w:t>15,042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2EC" w14:textId="77777777" w:rsidR="00996AD7" w:rsidRDefault="00996AD7">
            <w:pPr>
              <w:jc w:val="right"/>
              <w:rPr>
                <w:rFonts w:ascii="宋体"/>
              </w:rPr>
            </w:pPr>
          </w:p>
        </w:tc>
      </w:tr>
      <w:tr w:rsidR="00996AD7" w14:paraId="39D972FF" w14:textId="77777777">
        <w:tc>
          <w:tcPr>
            <w:tcW w:w="0" w:type="auto"/>
            <w:gridSpan w:val="3"/>
            <w:shd w:val="clear" w:color="auto" w:fill="auto"/>
            <w:tcMar>
              <w:top w:w="40" w:type="dxa"/>
              <w:left w:w="20" w:type="dxa"/>
              <w:bottom w:w="40" w:type="dxa"/>
              <w:right w:w="20" w:type="dxa"/>
            </w:tcMar>
          </w:tcPr>
          <w:p w14:paraId="39D972EE" w14:textId="77777777" w:rsidR="00996AD7" w:rsidRDefault="00D96458">
            <w:pPr>
              <w:textAlignment w:val="top"/>
            </w:pPr>
            <w:r>
              <w:rPr>
                <w:rFonts w:ascii="Arial" w:eastAsia="宋体" w:hAnsi="Arial" w:cs="Arial"/>
                <w:b/>
                <w:bCs/>
                <w:color w:val="262626"/>
                <w:sz w:val="18"/>
                <w:szCs w:val="18"/>
              </w:rPr>
              <w:t>Earnings per share—basic</w:t>
            </w:r>
          </w:p>
        </w:tc>
        <w:tc>
          <w:tcPr>
            <w:tcW w:w="0" w:type="auto"/>
            <w:gridSpan w:val="3"/>
            <w:shd w:val="clear" w:color="auto" w:fill="auto"/>
            <w:tcMar>
              <w:top w:w="0" w:type="dxa"/>
              <w:left w:w="20" w:type="dxa"/>
              <w:bottom w:w="0" w:type="dxa"/>
              <w:right w:w="20" w:type="dxa"/>
            </w:tcMar>
            <w:vAlign w:val="bottom"/>
          </w:tcPr>
          <w:p w14:paraId="39D972EF"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72F0" w14:textId="77777777" w:rsidR="00996AD7" w:rsidRDefault="00D964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72F1" w14:textId="77777777" w:rsidR="00996AD7" w:rsidRDefault="00D96458">
            <w:pPr>
              <w:jc w:val="right"/>
              <w:textAlignment w:val="bottom"/>
            </w:pPr>
            <w:r>
              <w:rPr>
                <w:rFonts w:ascii="Arial" w:eastAsia="宋体" w:hAnsi="Arial" w:cs="Arial"/>
                <w:b/>
                <w:bCs/>
                <w:color w:val="0068B5"/>
                <w:sz w:val="18"/>
                <w:szCs w:val="18"/>
              </w:rPr>
              <w:t>1.68</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72F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F3"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72F4" w14:textId="77777777" w:rsidR="00996AD7" w:rsidRDefault="00D964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72F5" w14:textId="77777777" w:rsidR="00996AD7" w:rsidRDefault="00D96458">
            <w:pPr>
              <w:jc w:val="right"/>
              <w:textAlignment w:val="bottom"/>
            </w:pPr>
            <w:r>
              <w:rPr>
                <w:rFonts w:ascii="Arial" w:eastAsia="宋体" w:hAnsi="Arial" w:cs="Arial"/>
                <w:b/>
                <w:bCs/>
                <w:color w:val="262626"/>
                <w:sz w:val="18"/>
                <w:szCs w:val="18"/>
              </w:rPr>
              <w:t>1.02</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72F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F7"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72F8" w14:textId="77777777" w:rsidR="00996AD7" w:rsidRDefault="00D964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72F9" w14:textId="77777777" w:rsidR="00996AD7" w:rsidRDefault="00D96458">
            <w:pPr>
              <w:jc w:val="right"/>
              <w:textAlignment w:val="bottom"/>
            </w:pPr>
            <w:r>
              <w:rPr>
                <w:rFonts w:ascii="Arial" w:eastAsia="宋体" w:hAnsi="Arial" w:cs="Arial"/>
                <w:b/>
                <w:bCs/>
                <w:color w:val="0068B5"/>
                <w:sz w:val="18"/>
                <w:szCs w:val="18"/>
              </w:rPr>
              <w:t>3.76</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72F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2FB"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72FC" w14:textId="77777777" w:rsidR="00996AD7" w:rsidRDefault="00D964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72FD" w14:textId="77777777" w:rsidR="00996AD7" w:rsidRDefault="00D96458">
            <w:pPr>
              <w:jc w:val="right"/>
              <w:textAlignment w:val="bottom"/>
            </w:pPr>
            <w:r>
              <w:rPr>
                <w:rFonts w:ascii="Arial" w:eastAsia="宋体" w:hAnsi="Arial" w:cs="Arial"/>
                <w:b/>
                <w:bCs/>
                <w:color w:val="262626"/>
                <w:sz w:val="18"/>
                <w:szCs w:val="18"/>
              </w:rPr>
              <w:t>3.55</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72FE" w14:textId="77777777" w:rsidR="00996AD7" w:rsidRDefault="00996AD7">
            <w:pPr>
              <w:jc w:val="right"/>
              <w:rPr>
                <w:rFonts w:ascii="宋体"/>
              </w:rPr>
            </w:pPr>
          </w:p>
        </w:tc>
      </w:tr>
      <w:tr w:rsidR="00996AD7" w14:paraId="39D97311" w14:textId="77777777">
        <w:tc>
          <w:tcPr>
            <w:tcW w:w="0" w:type="auto"/>
            <w:gridSpan w:val="3"/>
            <w:shd w:val="clear" w:color="auto" w:fill="auto"/>
            <w:tcMar>
              <w:top w:w="40" w:type="dxa"/>
              <w:left w:w="20" w:type="dxa"/>
              <w:bottom w:w="40" w:type="dxa"/>
              <w:right w:w="20" w:type="dxa"/>
            </w:tcMar>
          </w:tcPr>
          <w:p w14:paraId="39D97300" w14:textId="77777777" w:rsidR="00996AD7" w:rsidRDefault="00D96458">
            <w:pPr>
              <w:textAlignment w:val="top"/>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39D97301"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7302" w14:textId="77777777" w:rsidR="00996AD7" w:rsidRDefault="00D964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7303" w14:textId="77777777" w:rsidR="00996AD7" w:rsidRDefault="00D96458">
            <w:pPr>
              <w:jc w:val="right"/>
              <w:textAlignment w:val="bottom"/>
            </w:pPr>
            <w:r>
              <w:rPr>
                <w:rFonts w:ascii="Arial" w:eastAsia="宋体" w:hAnsi="Arial" w:cs="Arial"/>
                <w:b/>
                <w:bCs/>
                <w:color w:val="0068B5"/>
                <w:sz w:val="18"/>
                <w:szCs w:val="18"/>
              </w:rPr>
              <w:t>1.67</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730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05"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7306" w14:textId="77777777" w:rsidR="00996AD7" w:rsidRDefault="00D964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7307" w14:textId="77777777" w:rsidR="00996AD7" w:rsidRDefault="00D96458">
            <w:pPr>
              <w:jc w:val="right"/>
              <w:textAlignment w:val="bottom"/>
            </w:pPr>
            <w:r>
              <w:rPr>
                <w:rFonts w:ascii="Arial" w:eastAsia="宋体" w:hAnsi="Arial" w:cs="Arial"/>
                <w:b/>
                <w:bCs/>
                <w:color w:val="262626"/>
                <w:sz w:val="18"/>
                <w:szCs w:val="18"/>
              </w:rPr>
              <w:t>1.02</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730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09"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730A" w14:textId="77777777" w:rsidR="00996AD7" w:rsidRDefault="00D964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730B" w14:textId="77777777" w:rsidR="00996AD7" w:rsidRDefault="00D96458">
            <w:pPr>
              <w:jc w:val="right"/>
              <w:textAlignment w:val="bottom"/>
            </w:pPr>
            <w:r>
              <w:rPr>
                <w:rFonts w:ascii="Arial" w:eastAsia="宋体" w:hAnsi="Arial" w:cs="Arial"/>
                <w:b/>
                <w:bCs/>
                <w:color w:val="0068B5"/>
                <w:sz w:val="18"/>
                <w:szCs w:val="18"/>
              </w:rPr>
              <w:t>3.73</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730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0D"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730E" w14:textId="77777777" w:rsidR="00996AD7" w:rsidRDefault="00D964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730F" w14:textId="77777777" w:rsidR="00996AD7" w:rsidRDefault="00D96458">
            <w:pPr>
              <w:jc w:val="right"/>
              <w:textAlignment w:val="bottom"/>
            </w:pPr>
            <w:r>
              <w:rPr>
                <w:rFonts w:ascii="Arial" w:eastAsia="宋体" w:hAnsi="Arial" w:cs="Arial"/>
                <w:b/>
                <w:bCs/>
                <w:color w:val="262626"/>
                <w:sz w:val="18"/>
                <w:szCs w:val="18"/>
              </w:rPr>
              <w:t>3.52</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7310" w14:textId="77777777" w:rsidR="00996AD7" w:rsidRDefault="00996AD7">
            <w:pPr>
              <w:jc w:val="right"/>
              <w:rPr>
                <w:rFonts w:ascii="宋体"/>
              </w:rPr>
            </w:pPr>
          </w:p>
        </w:tc>
      </w:tr>
      <w:tr w:rsidR="00996AD7" w14:paraId="39D9731B" w14:textId="77777777">
        <w:trPr>
          <w:hidden/>
        </w:trPr>
        <w:tc>
          <w:tcPr>
            <w:tcW w:w="0" w:type="auto"/>
            <w:gridSpan w:val="3"/>
            <w:shd w:val="clear" w:color="auto" w:fill="auto"/>
            <w:vAlign w:val="bottom"/>
          </w:tcPr>
          <w:p w14:paraId="39D97312" w14:textId="77777777" w:rsidR="00996AD7" w:rsidRDefault="00996AD7">
            <w:pPr>
              <w:rPr>
                <w:rFonts w:ascii="宋体"/>
                <w:vanish/>
              </w:rPr>
            </w:pPr>
          </w:p>
        </w:tc>
        <w:tc>
          <w:tcPr>
            <w:tcW w:w="0" w:type="auto"/>
            <w:gridSpan w:val="3"/>
            <w:shd w:val="clear" w:color="auto" w:fill="auto"/>
            <w:vAlign w:val="bottom"/>
          </w:tcPr>
          <w:p w14:paraId="39D97313" w14:textId="77777777" w:rsidR="00996AD7" w:rsidRDefault="00996AD7">
            <w:pPr>
              <w:rPr>
                <w:rFonts w:ascii="宋体"/>
                <w:vanish/>
              </w:rPr>
            </w:pPr>
          </w:p>
        </w:tc>
        <w:tc>
          <w:tcPr>
            <w:tcW w:w="0" w:type="auto"/>
            <w:gridSpan w:val="3"/>
            <w:shd w:val="clear" w:color="auto" w:fill="auto"/>
            <w:vAlign w:val="bottom"/>
          </w:tcPr>
          <w:p w14:paraId="39D97314" w14:textId="77777777" w:rsidR="00996AD7" w:rsidRDefault="00996AD7">
            <w:pPr>
              <w:rPr>
                <w:rFonts w:ascii="宋体"/>
                <w:vanish/>
              </w:rPr>
            </w:pPr>
          </w:p>
        </w:tc>
        <w:tc>
          <w:tcPr>
            <w:tcW w:w="0" w:type="auto"/>
            <w:gridSpan w:val="3"/>
            <w:shd w:val="clear" w:color="auto" w:fill="auto"/>
            <w:vAlign w:val="bottom"/>
          </w:tcPr>
          <w:p w14:paraId="39D97315" w14:textId="77777777" w:rsidR="00996AD7" w:rsidRDefault="00996AD7">
            <w:pPr>
              <w:rPr>
                <w:rFonts w:ascii="宋体"/>
                <w:vanish/>
              </w:rPr>
            </w:pPr>
          </w:p>
        </w:tc>
        <w:tc>
          <w:tcPr>
            <w:tcW w:w="0" w:type="auto"/>
            <w:gridSpan w:val="3"/>
            <w:shd w:val="clear" w:color="auto" w:fill="auto"/>
            <w:vAlign w:val="bottom"/>
          </w:tcPr>
          <w:p w14:paraId="39D97316" w14:textId="77777777" w:rsidR="00996AD7" w:rsidRDefault="00996AD7">
            <w:pPr>
              <w:rPr>
                <w:rFonts w:ascii="宋体"/>
                <w:vanish/>
              </w:rPr>
            </w:pPr>
          </w:p>
        </w:tc>
        <w:tc>
          <w:tcPr>
            <w:tcW w:w="0" w:type="auto"/>
            <w:gridSpan w:val="3"/>
            <w:shd w:val="clear" w:color="auto" w:fill="auto"/>
            <w:vAlign w:val="bottom"/>
          </w:tcPr>
          <w:p w14:paraId="39D97317" w14:textId="77777777" w:rsidR="00996AD7" w:rsidRDefault="00996AD7">
            <w:pPr>
              <w:rPr>
                <w:rFonts w:ascii="宋体"/>
                <w:vanish/>
              </w:rPr>
            </w:pPr>
          </w:p>
        </w:tc>
        <w:tc>
          <w:tcPr>
            <w:tcW w:w="0" w:type="auto"/>
            <w:gridSpan w:val="3"/>
            <w:shd w:val="clear" w:color="auto" w:fill="auto"/>
            <w:vAlign w:val="bottom"/>
          </w:tcPr>
          <w:p w14:paraId="39D97318" w14:textId="77777777" w:rsidR="00996AD7" w:rsidRDefault="00996AD7">
            <w:pPr>
              <w:rPr>
                <w:rFonts w:ascii="宋体"/>
                <w:vanish/>
              </w:rPr>
            </w:pPr>
          </w:p>
        </w:tc>
        <w:tc>
          <w:tcPr>
            <w:tcW w:w="0" w:type="auto"/>
            <w:gridSpan w:val="3"/>
            <w:shd w:val="clear" w:color="auto" w:fill="auto"/>
            <w:vAlign w:val="bottom"/>
          </w:tcPr>
          <w:p w14:paraId="39D97319" w14:textId="77777777" w:rsidR="00996AD7" w:rsidRDefault="00996AD7">
            <w:pPr>
              <w:rPr>
                <w:rFonts w:ascii="宋体"/>
                <w:vanish/>
              </w:rPr>
            </w:pPr>
          </w:p>
        </w:tc>
        <w:tc>
          <w:tcPr>
            <w:tcW w:w="0" w:type="auto"/>
            <w:gridSpan w:val="3"/>
            <w:shd w:val="clear" w:color="auto" w:fill="auto"/>
            <w:vAlign w:val="bottom"/>
          </w:tcPr>
          <w:p w14:paraId="39D9731A" w14:textId="77777777" w:rsidR="00996AD7" w:rsidRDefault="00996AD7">
            <w:pPr>
              <w:rPr>
                <w:rFonts w:ascii="宋体"/>
                <w:vanish/>
              </w:rPr>
            </w:pPr>
          </w:p>
        </w:tc>
      </w:tr>
      <w:tr w:rsidR="00996AD7" w14:paraId="39D97325" w14:textId="77777777">
        <w:tc>
          <w:tcPr>
            <w:tcW w:w="0" w:type="auto"/>
            <w:gridSpan w:val="3"/>
            <w:shd w:val="clear" w:color="auto" w:fill="auto"/>
            <w:tcMar>
              <w:top w:w="40" w:type="dxa"/>
              <w:left w:w="20" w:type="dxa"/>
              <w:bottom w:w="40" w:type="dxa"/>
              <w:right w:w="20" w:type="dxa"/>
            </w:tcMar>
          </w:tcPr>
          <w:p w14:paraId="39D9731C" w14:textId="77777777" w:rsidR="00996AD7" w:rsidRDefault="00D96458">
            <w:pPr>
              <w:textAlignment w:val="top"/>
            </w:pPr>
            <w:r>
              <w:rPr>
                <w:rFonts w:ascii="Arial" w:eastAsia="宋体" w:hAnsi="Arial" w:cs="Arial"/>
                <w:color w:val="262626"/>
                <w:sz w:val="18"/>
                <w:szCs w:val="18"/>
              </w:rPr>
              <w:t>Weighted average shares of common stock outstanding:</w:t>
            </w:r>
          </w:p>
        </w:tc>
        <w:tc>
          <w:tcPr>
            <w:tcW w:w="0" w:type="auto"/>
            <w:gridSpan w:val="3"/>
            <w:shd w:val="clear" w:color="auto" w:fill="auto"/>
            <w:tcMar>
              <w:top w:w="0" w:type="dxa"/>
              <w:left w:w="20" w:type="dxa"/>
              <w:bottom w:w="0" w:type="dxa"/>
              <w:right w:w="20" w:type="dxa"/>
            </w:tcMar>
            <w:vAlign w:val="bottom"/>
          </w:tcPr>
          <w:p w14:paraId="39D9731D" w14:textId="77777777" w:rsidR="00996AD7" w:rsidRDefault="00996AD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D9731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31F" w14:textId="77777777" w:rsidR="00996AD7" w:rsidRDefault="00996AD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D9732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321" w14:textId="77777777" w:rsidR="00996AD7" w:rsidRDefault="00996AD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D9732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323" w14:textId="77777777" w:rsidR="00996AD7" w:rsidRDefault="00996AD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D97324" w14:textId="77777777" w:rsidR="00996AD7" w:rsidRDefault="00996AD7">
            <w:pPr>
              <w:rPr>
                <w:rFonts w:ascii="宋体"/>
              </w:rPr>
            </w:pPr>
          </w:p>
        </w:tc>
      </w:tr>
      <w:tr w:rsidR="00996AD7" w14:paraId="39D97333" w14:textId="77777777">
        <w:tc>
          <w:tcPr>
            <w:tcW w:w="0" w:type="auto"/>
            <w:gridSpan w:val="3"/>
            <w:shd w:val="clear" w:color="auto" w:fill="auto"/>
            <w:tcMar>
              <w:top w:w="40" w:type="dxa"/>
              <w:left w:w="185" w:type="dxa"/>
              <w:bottom w:w="40" w:type="dxa"/>
              <w:right w:w="20" w:type="dxa"/>
            </w:tcMar>
          </w:tcPr>
          <w:p w14:paraId="39D97326" w14:textId="77777777" w:rsidR="00996AD7" w:rsidRDefault="00D96458">
            <w:pPr>
              <w:textAlignment w:val="top"/>
            </w:pPr>
            <w:r>
              <w:rPr>
                <w:rFonts w:ascii="Arial" w:eastAsia="宋体" w:hAnsi="Arial" w:cs="Arial"/>
                <w:b/>
                <w:bCs/>
                <w:color w:val="262626"/>
                <w:sz w:val="18"/>
                <w:szCs w:val="18"/>
              </w:rPr>
              <w:t>Basic</w:t>
            </w:r>
          </w:p>
        </w:tc>
        <w:tc>
          <w:tcPr>
            <w:tcW w:w="0" w:type="auto"/>
            <w:gridSpan w:val="3"/>
            <w:shd w:val="clear" w:color="auto" w:fill="auto"/>
            <w:tcMar>
              <w:top w:w="0" w:type="dxa"/>
              <w:left w:w="20" w:type="dxa"/>
              <w:bottom w:w="0" w:type="dxa"/>
              <w:right w:w="20" w:type="dxa"/>
            </w:tcMar>
            <w:vAlign w:val="bottom"/>
          </w:tcPr>
          <w:p w14:paraId="39D9732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28" w14:textId="77777777" w:rsidR="00996AD7" w:rsidRDefault="00D96458">
            <w:pPr>
              <w:jc w:val="right"/>
              <w:textAlignment w:val="bottom"/>
            </w:pPr>
            <w:r>
              <w:rPr>
                <w:rFonts w:ascii="Arial" w:eastAsia="宋体" w:hAnsi="Arial" w:cs="Arial"/>
                <w:b/>
                <w:bCs/>
                <w:color w:val="0068B5"/>
                <w:sz w:val="18"/>
                <w:szCs w:val="18"/>
              </w:rPr>
              <w:t>4,061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32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2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2B" w14:textId="77777777" w:rsidR="00996AD7" w:rsidRDefault="00D96458">
            <w:pPr>
              <w:jc w:val="right"/>
              <w:textAlignment w:val="bottom"/>
            </w:pPr>
            <w:r>
              <w:rPr>
                <w:rFonts w:ascii="Arial" w:eastAsia="宋体" w:hAnsi="Arial" w:cs="Arial"/>
                <w:b/>
                <w:bCs/>
                <w:color w:val="262626"/>
                <w:sz w:val="18"/>
                <w:szCs w:val="18"/>
              </w:rPr>
              <w:t>4,188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32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2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2E" w14:textId="77777777" w:rsidR="00996AD7" w:rsidRDefault="00D96458">
            <w:pPr>
              <w:jc w:val="right"/>
              <w:textAlignment w:val="bottom"/>
            </w:pPr>
            <w:r>
              <w:rPr>
                <w:rFonts w:ascii="Arial" w:eastAsia="宋体" w:hAnsi="Arial" w:cs="Arial"/>
                <w:b/>
                <w:bCs/>
                <w:color w:val="0068B5"/>
                <w:sz w:val="18"/>
                <w:szCs w:val="18"/>
              </w:rPr>
              <w:t>4,055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32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3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31" w14:textId="77777777" w:rsidR="00996AD7" w:rsidRDefault="00D96458">
            <w:pPr>
              <w:jc w:val="right"/>
              <w:textAlignment w:val="bottom"/>
            </w:pPr>
            <w:r>
              <w:rPr>
                <w:rFonts w:ascii="Arial" w:eastAsia="宋体" w:hAnsi="Arial" w:cs="Arial"/>
                <w:b/>
                <w:bCs/>
                <w:color w:val="262626"/>
                <w:sz w:val="18"/>
                <w:szCs w:val="18"/>
              </w:rPr>
              <w:t>4,233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332" w14:textId="77777777" w:rsidR="00996AD7" w:rsidRDefault="00996AD7">
            <w:pPr>
              <w:jc w:val="right"/>
              <w:rPr>
                <w:rFonts w:ascii="宋体"/>
              </w:rPr>
            </w:pPr>
          </w:p>
        </w:tc>
      </w:tr>
      <w:tr w:rsidR="00996AD7" w14:paraId="39D97341" w14:textId="77777777">
        <w:tc>
          <w:tcPr>
            <w:tcW w:w="0" w:type="auto"/>
            <w:gridSpan w:val="3"/>
            <w:shd w:val="clear" w:color="auto" w:fill="auto"/>
            <w:tcMar>
              <w:top w:w="40" w:type="dxa"/>
              <w:left w:w="185" w:type="dxa"/>
              <w:bottom w:w="40" w:type="dxa"/>
              <w:right w:w="20" w:type="dxa"/>
            </w:tcMar>
          </w:tcPr>
          <w:p w14:paraId="39D97334" w14:textId="77777777" w:rsidR="00996AD7" w:rsidRDefault="00D96458">
            <w:pPr>
              <w:textAlignment w:val="top"/>
            </w:pPr>
            <w:r>
              <w:rPr>
                <w:rFonts w:ascii="Arial" w:eastAsia="宋体" w:hAnsi="Arial" w:cs="Arial"/>
                <w:b/>
                <w:bCs/>
                <w:color w:val="262626"/>
                <w:sz w:val="18"/>
                <w:szCs w:val="18"/>
              </w:rPr>
              <w:t>Diluted</w:t>
            </w:r>
          </w:p>
        </w:tc>
        <w:tc>
          <w:tcPr>
            <w:tcW w:w="0" w:type="auto"/>
            <w:gridSpan w:val="3"/>
            <w:shd w:val="clear" w:color="auto" w:fill="auto"/>
            <w:tcMar>
              <w:top w:w="0" w:type="dxa"/>
              <w:left w:w="20" w:type="dxa"/>
              <w:bottom w:w="0" w:type="dxa"/>
              <w:right w:w="20" w:type="dxa"/>
            </w:tcMar>
            <w:vAlign w:val="bottom"/>
          </w:tcPr>
          <w:p w14:paraId="39D97335" w14:textId="77777777" w:rsidR="00996AD7" w:rsidRDefault="00996AD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39D97336" w14:textId="77777777" w:rsidR="00996AD7" w:rsidRDefault="00D96458">
            <w:pPr>
              <w:jc w:val="right"/>
              <w:textAlignment w:val="bottom"/>
            </w:pPr>
            <w:r>
              <w:rPr>
                <w:rFonts w:ascii="Arial" w:eastAsia="宋体" w:hAnsi="Arial" w:cs="Arial"/>
                <w:b/>
                <w:bCs/>
                <w:color w:val="0068B5"/>
                <w:sz w:val="18"/>
                <w:szCs w:val="18"/>
              </w:rPr>
              <w:t>4,086</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39D9733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38" w14:textId="77777777" w:rsidR="00996AD7" w:rsidRDefault="00996AD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39D97339" w14:textId="77777777" w:rsidR="00996AD7" w:rsidRDefault="00D96458">
            <w:pPr>
              <w:jc w:val="right"/>
              <w:textAlignment w:val="bottom"/>
            </w:pPr>
            <w:r>
              <w:rPr>
                <w:rFonts w:ascii="Arial" w:eastAsia="宋体" w:hAnsi="Arial" w:cs="Arial"/>
                <w:b/>
                <w:bCs/>
                <w:color w:val="262626"/>
                <w:sz w:val="18"/>
                <w:szCs w:val="18"/>
              </w:rPr>
              <w:t>4,211</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39D9733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3B" w14:textId="77777777" w:rsidR="00996AD7" w:rsidRDefault="00996AD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39D9733C" w14:textId="77777777" w:rsidR="00996AD7" w:rsidRDefault="00D96458">
            <w:pPr>
              <w:jc w:val="right"/>
              <w:textAlignment w:val="bottom"/>
            </w:pPr>
            <w:r>
              <w:rPr>
                <w:rFonts w:ascii="Arial" w:eastAsia="宋体" w:hAnsi="Arial" w:cs="Arial"/>
                <w:b/>
                <w:bCs/>
                <w:color w:val="0068B5"/>
                <w:sz w:val="18"/>
                <w:szCs w:val="18"/>
              </w:rPr>
              <w:t>4,089</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39D9733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3E" w14:textId="77777777" w:rsidR="00996AD7" w:rsidRDefault="00996AD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39D9733F" w14:textId="77777777" w:rsidR="00996AD7" w:rsidRDefault="00D96458">
            <w:pPr>
              <w:jc w:val="right"/>
              <w:textAlignment w:val="bottom"/>
            </w:pPr>
            <w:r>
              <w:rPr>
                <w:rFonts w:ascii="Arial" w:eastAsia="宋体" w:hAnsi="Arial" w:cs="Arial"/>
                <w:b/>
                <w:bCs/>
                <w:color w:val="262626"/>
                <w:sz w:val="18"/>
                <w:szCs w:val="18"/>
              </w:rPr>
              <w:t>4,269</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39D97340" w14:textId="77777777" w:rsidR="00996AD7" w:rsidRDefault="00996AD7">
            <w:pPr>
              <w:jc w:val="right"/>
              <w:rPr>
                <w:rFonts w:ascii="宋体"/>
              </w:rPr>
            </w:pPr>
          </w:p>
        </w:tc>
      </w:tr>
    </w:tbl>
    <w:p w14:paraId="39D97342" w14:textId="77777777" w:rsidR="00996AD7" w:rsidRDefault="00D96458">
      <w:pPr>
        <w:spacing w:before="20"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60"/>
        <w:gridCol w:w="3917"/>
        <w:gridCol w:w="36"/>
        <w:gridCol w:w="60"/>
        <w:gridCol w:w="1969"/>
        <w:gridCol w:w="36"/>
      </w:tblGrid>
      <w:tr w:rsidR="00996AD7" w14:paraId="39D9734F" w14:textId="77777777">
        <w:tc>
          <w:tcPr>
            <w:tcW w:w="50" w:type="pct"/>
            <w:shd w:val="clear" w:color="auto" w:fill="auto"/>
            <w:vAlign w:val="bottom"/>
          </w:tcPr>
          <w:p w14:paraId="39D97343" w14:textId="77777777" w:rsidR="00996AD7" w:rsidRDefault="00996AD7">
            <w:pPr>
              <w:rPr>
                <w:rFonts w:ascii="宋体"/>
              </w:rPr>
            </w:pPr>
          </w:p>
        </w:tc>
        <w:tc>
          <w:tcPr>
            <w:tcW w:w="238" w:type="pct"/>
            <w:shd w:val="clear" w:color="auto" w:fill="auto"/>
            <w:vAlign w:val="bottom"/>
          </w:tcPr>
          <w:p w14:paraId="39D97344" w14:textId="77777777" w:rsidR="00996AD7" w:rsidRDefault="00996AD7">
            <w:pPr>
              <w:rPr>
                <w:rFonts w:ascii="宋体"/>
              </w:rPr>
            </w:pPr>
          </w:p>
        </w:tc>
        <w:tc>
          <w:tcPr>
            <w:tcW w:w="5" w:type="pct"/>
            <w:shd w:val="clear" w:color="auto" w:fill="auto"/>
            <w:vAlign w:val="bottom"/>
          </w:tcPr>
          <w:p w14:paraId="39D97345" w14:textId="77777777" w:rsidR="00996AD7" w:rsidRDefault="00996AD7">
            <w:pPr>
              <w:rPr>
                <w:rFonts w:ascii="宋体"/>
              </w:rPr>
            </w:pPr>
          </w:p>
        </w:tc>
        <w:tc>
          <w:tcPr>
            <w:tcW w:w="50" w:type="pct"/>
            <w:shd w:val="clear" w:color="auto" w:fill="auto"/>
            <w:vAlign w:val="bottom"/>
          </w:tcPr>
          <w:p w14:paraId="39D97346" w14:textId="77777777" w:rsidR="00996AD7" w:rsidRDefault="00996AD7">
            <w:pPr>
              <w:rPr>
                <w:rFonts w:ascii="宋体"/>
              </w:rPr>
            </w:pPr>
          </w:p>
        </w:tc>
        <w:tc>
          <w:tcPr>
            <w:tcW w:w="983" w:type="pct"/>
            <w:shd w:val="clear" w:color="auto" w:fill="auto"/>
            <w:vAlign w:val="bottom"/>
          </w:tcPr>
          <w:p w14:paraId="39D97347" w14:textId="77777777" w:rsidR="00996AD7" w:rsidRDefault="00996AD7">
            <w:pPr>
              <w:rPr>
                <w:rFonts w:ascii="宋体"/>
              </w:rPr>
            </w:pPr>
          </w:p>
        </w:tc>
        <w:tc>
          <w:tcPr>
            <w:tcW w:w="5" w:type="pct"/>
            <w:shd w:val="clear" w:color="auto" w:fill="auto"/>
            <w:vAlign w:val="bottom"/>
          </w:tcPr>
          <w:p w14:paraId="39D97348" w14:textId="77777777" w:rsidR="00996AD7" w:rsidRDefault="00996AD7">
            <w:pPr>
              <w:rPr>
                <w:rFonts w:ascii="宋体"/>
              </w:rPr>
            </w:pPr>
          </w:p>
        </w:tc>
        <w:tc>
          <w:tcPr>
            <w:tcW w:w="50" w:type="pct"/>
            <w:shd w:val="clear" w:color="auto" w:fill="auto"/>
            <w:vAlign w:val="bottom"/>
          </w:tcPr>
          <w:p w14:paraId="39D97349" w14:textId="77777777" w:rsidR="00996AD7" w:rsidRDefault="00996AD7">
            <w:pPr>
              <w:rPr>
                <w:rFonts w:ascii="宋体"/>
              </w:rPr>
            </w:pPr>
          </w:p>
        </w:tc>
        <w:tc>
          <w:tcPr>
            <w:tcW w:w="2363" w:type="pct"/>
            <w:shd w:val="clear" w:color="auto" w:fill="auto"/>
            <w:vAlign w:val="bottom"/>
          </w:tcPr>
          <w:p w14:paraId="39D9734A" w14:textId="77777777" w:rsidR="00996AD7" w:rsidRDefault="00996AD7">
            <w:pPr>
              <w:rPr>
                <w:rFonts w:ascii="宋体"/>
              </w:rPr>
            </w:pPr>
          </w:p>
        </w:tc>
        <w:tc>
          <w:tcPr>
            <w:tcW w:w="5" w:type="pct"/>
            <w:shd w:val="clear" w:color="auto" w:fill="auto"/>
            <w:vAlign w:val="bottom"/>
          </w:tcPr>
          <w:p w14:paraId="39D9734B" w14:textId="77777777" w:rsidR="00996AD7" w:rsidRDefault="00996AD7">
            <w:pPr>
              <w:rPr>
                <w:rFonts w:ascii="宋体"/>
              </w:rPr>
            </w:pPr>
          </w:p>
        </w:tc>
        <w:tc>
          <w:tcPr>
            <w:tcW w:w="50" w:type="pct"/>
            <w:shd w:val="clear" w:color="auto" w:fill="auto"/>
            <w:vAlign w:val="bottom"/>
          </w:tcPr>
          <w:p w14:paraId="39D9734C" w14:textId="77777777" w:rsidR="00996AD7" w:rsidRDefault="00996AD7">
            <w:pPr>
              <w:rPr>
                <w:rFonts w:ascii="宋体"/>
              </w:rPr>
            </w:pPr>
          </w:p>
        </w:tc>
        <w:tc>
          <w:tcPr>
            <w:tcW w:w="1195" w:type="pct"/>
            <w:shd w:val="clear" w:color="auto" w:fill="auto"/>
            <w:vAlign w:val="bottom"/>
          </w:tcPr>
          <w:p w14:paraId="39D9734D" w14:textId="77777777" w:rsidR="00996AD7" w:rsidRDefault="00996AD7">
            <w:pPr>
              <w:rPr>
                <w:rFonts w:ascii="宋体"/>
              </w:rPr>
            </w:pPr>
          </w:p>
        </w:tc>
        <w:tc>
          <w:tcPr>
            <w:tcW w:w="5" w:type="pct"/>
            <w:shd w:val="clear" w:color="auto" w:fill="auto"/>
            <w:vAlign w:val="bottom"/>
          </w:tcPr>
          <w:p w14:paraId="39D9734E" w14:textId="77777777" w:rsidR="00996AD7" w:rsidRDefault="00996AD7">
            <w:pPr>
              <w:rPr>
                <w:rFonts w:ascii="宋体"/>
              </w:rPr>
            </w:pPr>
          </w:p>
        </w:tc>
      </w:tr>
      <w:tr w:rsidR="00996AD7" w14:paraId="39D9735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350"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9C" wp14:editId="39D9A39D">
                  <wp:extent cx="304800" cy="304800"/>
                  <wp:effectExtent l="0" t="0" r="0" b="0"/>
                  <wp:docPr id="111" name="图片 45"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5"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351"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7352" w14:textId="77777777" w:rsidR="00996AD7" w:rsidRDefault="00D96458">
            <w:pPr>
              <w:textAlignment w:val="center"/>
            </w:pPr>
            <w:r>
              <w:rPr>
                <w:rFonts w:ascii="Arial" w:eastAsia="宋体" w:hAnsi="Arial" w:cs="Arial"/>
                <w:color w:val="262626"/>
                <w:sz w:val="16"/>
                <w:szCs w:val="16"/>
              </w:rPr>
              <w:t>  Consolidated Condensed Statements of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353" w14:textId="77777777" w:rsidR="00996AD7" w:rsidRDefault="00D96458">
            <w:pPr>
              <w:jc w:val="right"/>
              <w:textAlignment w:val="center"/>
            </w:pPr>
            <w:r>
              <w:rPr>
                <w:rFonts w:ascii="Arial" w:eastAsia="宋体" w:hAnsi="Arial" w:cs="Arial"/>
                <w:color w:val="262626"/>
                <w:sz w:val="16"/>
                <w:szCs w:val="16"/>
              </w:rPr>
              <w:t>3</w:t>
            </w:r>
          </w:p>
        </w:tc>
      </w:tr>
    </w:tbl>
    <w:p w14:paraId="39D97355" w14:textId="77777777" w:rsidR="00996AD7" w:rsidRDefault="00D96458">
      <w:r>
        <w:pict w14:anchorId="39D9A39E">
          <v:rect id="_x0000_i1029" style="width:415.3pt;height:1.5pt" o:hralign="center" o:hrstd="t" o:hr="t" fillcolor="#a0a0a0" stroked="f"/>
        </w:pict>
      </w:r>
    </w:p>
    <w:p w14:paraId="39D97356" w14:textId="77777777" w:rsidR="00996AD7" w:rsidRDefault="00D96458">
      <w:pPr>
        <w:spacing w:after="180"/>
        <w:jc w:val="right"/>
      </w:pPr>
      <w:hyperlink r:id="rId30" w:anchor="i94e6cc3aa83643b8b968bd5bab038338_7" w:history="1">
        <w:r>
          <w:rPr>
            <w:rStyle w:val="a5"/>
            <w:rFonts w:ascii="Arial" w:eastAsia="宋体" w:hAnsi="Arial" w:cs="Arial"/>
            <w:b/>
            <w:bCs/>
            <w:color w:val="0068B5"/>
            <w:sz w:val="16"/>
            <w:szCs w:val="16"/>
          </w:rPr>
          <w:t>Table of Contents</w:t>
        </w:r>
      </w:hyperlink>
    </w:p>
    <w:p w14:paraId="39D97357"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96AD7" w14:paraId="39D9735E" w14:textId="77777777">
        <w:tc>
          <w:tcPr>
            <w:tcW w:w="50" w:type="pct"/>
            <w:shd w:val="clear" w:color="auto" w:fill="auto"/>
            <w:vAlign w:val="bottom"/>
          </w:tcPr>
          <w:p w14:paraId="39D97358" w14:textId="77777777" w:rsidR="00996AD7" w:rsidRDefault="00996AD7">
            <w:pPr>
              <w:rPr>
                <w:rFonts w:ascii="宋体"/>
              </w:rPr>
            </w:pPr>
          </w:p>
        </w:tc>
        <w:tc>
          <w:tcPr>
            <w:tcW w:w="4870" w:type="pct"/>
            <w:shd w:val="clear" w:color="auto" w:fill="auto"/>
            <w:vAlign w:val="bottom"/>
          </w:tcPr>
          <w:p w14:paraId="39D97359" w14:textId="77777777" w:rsidR="00996AD7" w:rsidRDefault="00996AD7">
            <w:pPr>
              <w:rPr>
                <w:rFonts w:ascii="宋体"/>
              </w:rPr>
            </w:pPr>
          </w:p>
        </w:tc>
        <w:tc>
          <w:tcPr>
            <w:tcW w:w="5" w:type="pct"/>
            <w:shd w:val="clear" w:color="auto" w:fill="auto"/>
            <w:vAlign w:val="bottom"/>
          </w:tcPr>
          <w:p w14:paraId="39D9735A" w14:textId="77777777" w:rsidR="00996AD7" w:rsidRDefault="00996AD7">
            <w:pPr>
              <w:rPr>
                <w:rFonts w:ascii="宋体"/>
              </w:rPr>
            </w:pPr>
          </w:p>
        </w:tc>
        <w:tc>
          <w:tcPr>
            <w:tcW w:w="5" w:type="pct"/>
            <w:shd w:val="clear" w:color="auto" w:fill="auto"/>
            <w:vAlign w:val="bottom"/>
          </w:tcPr>
          <w:p w14:paraId="39D9735B" w14:textId="77777777" w:rsidR="00996AD7" w:rsidRDefault="00996AD7">
            <w:pPr>
              <w:rPr>
                <w:rFonts w:ascii="宋体"/>
              </w:rPr>
            </w:pPr>
          </w:p>
        </w:tc>
        <w:tc>
          <w:tcPr>
            <w:tcW w:w="64" w:type="pct"/>
            <w:shd w:val="clear" w:color="auto" w:fill="auto"/>
            <w:vAlign w:val="bottom"/>
          </w:tcPr>
          <w:p w14:paraId="39D9735C" w14:textId="77777777" w:rsidR="00996AD7" w:rsidRDefault="00996AD7">
            <w:pPr>
              <w:rPr>
                <w:rFonts w:ascii="宋体"/>
              </w:rPr>
            </w:pPr>
          </w:p>
        </w:tc>
        <w:tc>
          <w:tcPr>
            <w:tcW w:w="5" w:type="pct"/>
            <w:shd w:val="clear" w:color="auto" w:fill="auto"/>
            <w:vAlign w:val="bottom"/>
          </w:tcPr>
          <w:p w14:paraId="39D9735D" w14:textId="77777777" w:rsidR="00996AD7" w:rsidRDefault="00996AD7">
            <w:pPr>
              <w:rPr>
                <w:rFonts w:ascii="宋体"/>
              </w:rPr>
            </w:pPr>
          </w:p>
        </w:tc>
      </w:tr>
      <w:tr w:rsidR="00996AD7" w14:paraId="39D97361" w14:textId="77777777">
        <w:tc>
          <w:tcPr>
            <w:tcW w:w="0" w:type="auto"/>
            <w:gridSpan w:val="3"/>
            <w:shd w:val="clear" w:color="auto" w:fill="004A86"/>
            <w:tcMar>
              <w:top w:w="40" w:type="dxa"/>
              <w:left w:w="20" w:type="dxa"/>
              <w:bottom w:w="40" w:type="dxa"/>
              <w:right w:w="20" w:type="dxa"/>
            </w:tcMar>
            <w:vAlign w:val="center"/>
          </w:tcPr>
          <w:p w14:paraId="39D9735F" w14:textId="77777777" w:rsidR="00996AD7" w:rsidRDefault="00D96458">
            <w:pPr>
              <w:textAlignment w:val="center"/>
            </w:pPr>
            <w:r>
              <w:rPr>
                <w:rFonts w:ascii="Arial" w:eastAsia="宋体" w:hAnsi="Arial" w:cs="Arial"/>
                <w:color w:val="FFFFFF"/>
                <w:sz w:val="36"/>
                <w:szCs w:val="36"/>
              </w:rPr>
              <w:t>Consolidated Condensed Statements of Comprehensive Income</w:t>
            </w:r>
          </w:p>
        </w:tc>
        <w:tc>
          <w:tcPr>
            <w:tcW w:w="0" w:type="auto"/>
            <w:gridSpan w:val="3"/>
            <w:shd w:val="clear" w:color="auto" w:fill="auto"/>
            <w:tcMar>
              <w:top w:w="0" w:type="dxa"/>
              <w:left w:w="20" w:type="dxa"/>
              <w:bottom w:w="0" w:type="dxa"/>
              <w:right w:w="20" w:type="dxa"/>
            </w:tcMar>
            <w:vAlign w:val="bottom"/>
          </w:tcPr>
          <w:p w14:paraId="39D97360" w14:textId="77777777" w:rsidR="00996AD7" w:rsidRDefault="00996AD7">
            <w:pPr>
              <w:rPr>
                <w:rFonts w:ascii="宋体"/>
              </w:rPr>
            </w:pPr>
          </w:p>
        </w:tc>
      </w:tr>
      <w:tr w:rsidR="00996AD7" w14:paraId="39D97364" w14:textId="77777777">
        <w:trPr>
          <w:trHeight w:val="160"/>
        </w:trPr>
        <w:tc>
          <w:tcPr>
            <w:tcW w:w="0" w:type="auto"/>
            <w:gridSpan w:val="3"/>
            <w:shd w:val="clear" w:color="auto" w:fill="auto"/>
            <w:tcMar>
              <w:top w:w="0" w:type="dxa"/>
              <w:left w:w="20" w:type="dxa"/>
              <w:bottom w:w="0" w:type="dxa"/>
              <w:right w:w="20" w:type="dxa"/>
            </w:tcMar>
            <w:vAlign w:val="bottom"/>
          </w:tcPr>
          <w:p w14:paraId="39D97362" w14:textId="77777777" w:rsidR="00996AD7" w:rsidRDefault="00996AD7">
            <w:pPr>
              <w:rPr>
                <w:rFonts w:ascii="宋体"/>
              </w:rPr>
            </w:pPr>
          </w:p>
        </w:tc>
        <w:tc>
          <w:tcPr>
            <w:tcW w:w="0" w:type="auto"/>
            <w:gridSpan w:val="3"/>
            <w:shd w:val="clear" w:color="auto" w:fill="00A3F6"/>
            <w:tcMar>
              <w:top w:w="0" w:type="dxa"/>
              <w:left w:w="20" w:type="dxa"/>
              <w:bottom w:w="0" w:type="dxa"/>
              <w:right w:w="20" w:type="dxa"/>
            </w:tcMar>
            <w:vAlign w:val="bottom"/>
          </w:tcPr>
          <w:p w14:paraId="39D97363" w14:textId="77777777" w:rsidR="00996AD7" w:rsidRDefault="00996AD7">
            <w:pPr>
              <w:rPr>
                <w:rFonts w:ascii="宋体"/>
              </w:rPr>
            </w:pPr>
          </w:p>
        </w:tc>
      </w:tr>
    </w:tbl>
    <w:p w14:paraId="39D97365"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995"/>
        <w:gridCol w:w="38"/>
        <w:gridCol w:w="36"/>
        <w:gridCol w:w="36"/>
        <w:gridCol w:w="36"/>
        <w:gridCol w:w="122"/>
        <w:gridCol w:w="804"/>
        <w:gridCol w:w="37"/>
        <w:gridCol w:w="37"/>
        <w:gridCol w:w="36"/>
        <w:gridCol w:w="36"/>
        <w:gridCol w:w="121"/>
        <w:gridCol w:w="803"/>
        <w:gridCol w:w="36"/>
        <w:gridCol w:w="36"/>
        <w:gridCol w:w="36"/>
        <w:gridCol w:w="36"/>
        <w:gridCol w:w="121"/>
        <w:gridCol w:w="793"/>
        <w:gridCol w:w="36"/>
        <w:gridCol w:w="36"/>
        <w:gridCol w:w="36"/>
        <w:gridCol w:w="36"/>
        <w:gridCol w:w="121"/>
        <w:gridCol w:w="801"/>
        <w:gridCol w:w="36"/>
      </w:tblGrid>
      <w:tr w:rsidR="00996AD7" w14:paraId="39D97381" w14:textId="77777777">
        <w:tc>
          <w:tcPr>
            <w:tcW w:w="50" w:type="pct"/>
            <w:shd w:val="clear" w:color="auto" w:fill="auto"/>
            <w:vAlign w:val="bottom"/>
          </w:tcPr>
          <w:p w14:paraId="39D97366" w14:textId="77777777" w:rsidR="00996AD7" w:rsidRDefault="00996AD7">
            <w:pPr>
              <w:rPr>
                <w:rFonts w:ascii="宋体"/>
              </w:rPr>
            </w:pPr>
          </w:p>
        </w:tc>
        <w:tc>
          <w:tcPr>
            <w:tcW w:w="2431" w:type="pct"/>
            <w:shd w:val="clear" w:color="auto" w:fill="auto"/>
            <w:vAlign w:val="bottom"/>
          </w:tcPr>
          <w:p w14:paraId="39D97367" w14:textId="77777777" w:rsidR="00996AD7" w:rsidRDefault="00996AD7">
            <w:pPr>
              <w:rPr>
                <w:rFonts w:ascii="宋体"/>
              </w:rPr>
            </w:pPr>
          </w:p>
        </w:tc>
        <w:tc>
          <w:tcPr>
            <w:tcW w:w="5" w:type="pct"/>
            <w:shd w:val="clear" w:color="auto" w:fill="auto"/>
            <w:vAlign w:val="bottom"/>
          </w:tcPr>
          <w:p w14:paraId="39D97368" w14:textId="77777777" w:rsidR="00996AD7" w:rsidRDefault="00996AD7">
            <w:pPr>
              <w:rPr>
                <w:rFonts w:ascii="宋体"/>
              </w:rPr>
            </w:pPr>
          </w:p>
        </w:tc>
        <w:tc>
          <w:tcPr>
            <w:tcW w:w="5" w:type="pct"/>
            <w:shd w:val="clear" w:color="auto" w:fill="auto"/>
            <w:vAlign w:val="bottom"/>
          </w:tcPr>
          <w:p w14:paraId="39D97369" w14:textId="77777777" w:rsidR="00996AD7" w:rsidRDefault="00996AD7">
            <w:pPr>
              <w:rPr>
                <w:rFonts w:ascii="宋体"/>
              </w:rPr>
            </w:pPr>
          </w:p>
        </w:tc>
        <w:tc>
          <w:tcPr>
            <w:tcW w:w="24" w:type="pct"/>
            <w:shd w:val="clear" w:color="auto" w:fill="auto"/>
            <w:vAlign w:val="bottom"/>
          </w:tcPr>
          <w:p w14:paraId="39D9736A" w14:textId="77777777" w:rsidR="00996AD7" w:rsidRDefault="00996AD7">
            <w:pPr>
              <w:rPr>
                <w:rFonts w:ascii="宋体"/>
              </w:rPr>
            </w:pPr>
          </w:p>
        </w:tc>
        <w:tc>
          <w:tcPr>
            <w:tcW w:w="5" w:type="pct"/>
            <w:shd w:val="clear" w:color="auto" w:fill="auto"/>
            <w:vAlign w:val="bottom"/>
          </w:tcPr>
          <w:p w14:paraId="39D9736B" w14:textId="77777777" w:rsidR="00996AD7" w:rsidRDefault="00996AD7">
            <w:pPr>
              <w:rPr>
                <w:rFonts w:ascii="宋体"/>
              </w:rPr>
            </w:pPr>
          </w:p>
        </w:tc>
        <w:tc>
          <w:tcPr>
            <w:tcW w:w="50" w:type="pct"/>
            <w:shd w:val="clear" w:color="auto" w:fill="auto"/>
            <w:vAlign w:val="bottom"/>
          </w:tcPr>
          <w:p w14:paraId="39D9736C" w14:textId="77777777" w:rsidR="00996AD7" w:rsidRDefault="00996AD7">
            <w:pPr>
              <w:rPr>
                <w:rFonts w:ascii="宋体"/>
              </w:rPr>
            </w:pPr>
          </w:p>
        </w:tc>
        <w:tc>
          <w:tcPr>
            <w:tcW w:w="539" w:type="pct"/>
            <w:shd w:val="clear" w:color="auto" w:fill="auto"/>
            <w:vAlign w:val="bottom"/>
          </w:tcPr>
          <w:p w14:paraId="39D9736D" w14:textId="77777777" w:rsidR="00996AD7" w:rsidRDefault="00996AD7">
            <w:pPr>
              <w:rPr>
                <w:rFonts w:ascii="宋体"/>
              </w:rPr>
            </w:pPr>
          </w:p>
        </w:tc>
        <w:tc>
          <w:tcPr>
            <w:tcW w:w="5" w:type="pct"/>
            <w:shd w:val="clear" w:color="auto" w:fill="auto"/>
            <w:vAlign w:val="bottom"/>
          </w:tcPr>
          <w:p w14:paraId="39D9736E" w14:textId="77777777" w:rsidR="00996AD7" w:rsidRDefault="00996AD7">
            <w:pPr>
              <w:rPr>
                <w:rFonts w:ascii="宋体"/>
              </w:rPr>
            </w:pPr>
          </w:p>
        </w:tc>
        <w:tc>
          <w:tcPr>
            <w:tcW w:w="5" w:type="pct"/>
            <w:shd w:val="clear" w:color="auto" w:fill="auto"/>
            <w:vAlign w:val="bottom"/>
          </w:tcPr>
          <w:p w14:paraId="39D9736F" w14:textId="77777777" w:rsidR="00996AD7" w:rsidRDefault="00996AD7">
            <w:pPr>
              <w:rPr>
                <w:rFonts w:ascii="宋体"/>
              </w:rPr>
            </w:pPr>
          </w:p>
        </w:tc>
        <w:tc>
          <w:tcPr>
            <w:tcW w:w="24" w:type="pct"/>
            <w:shd w:val="clear" w:color="auto" w:fill="auto"/>
            <w:vAlign w:val="bottom"/>
          </w:tcPr>
          <w:p w14:paraId="39D97370" w14:textId="77777777" w:rsidR="00996AD7" w:rsidRDefault="00996AD7">
            <w:pPr>
              <w:rPr>
                <w:rFonts w:ascii="宋体"/>
              </w:rPr>
            </w:pPr>
          </w:p>
        </w:tc>
        <w:tc>
          <w:tcPr>
            <w:tcW w:w="5" w:type="pct"/>
            <w:shd w:val="clear" w:color="auto" w:fill="auto"/>
            <w:vAlign w:val="bottom"/>
          </w:tcPr>
          <w:p w14:paraId="39D97371" w14:textId="77777777" w:rsidR="00996AD7" w:rsidRDefault="00996AD7">
            <w:pPr>
              <w:rPr>
                <w:rFonts w:ascii="宋体"/>
              </w:rPr>
            </w:pPr>
          </w:p>
        </w:tc>
        <w:tc>
          <w:tcPr>
            <w:tcW w:w="50" w:type="pct"/>
            <w:shd w:val="clear" w:color="auto" w:fill="auto"/>
            <w:vAlign w:val="bottom"/>
          </w:tcPr>
          <w:p w14:paraId="39D97372" w14:textId="77777777" w:rsidR="00996AD7" w:rsidRDefault="00996AD7">
            <w:pPr>
              <w:rPr>
                <w:rFonts w:ascii="宋体"/>
              </w:rPr>
            </w:pPr>
          </w:p>
        </w:tc>
        <w:tc>
          <w:tcPr>
            <w:tcW w:w="539" w:type="pct"/>
            <w:shd w:val="clear" w:color="auto" w:fill="auto"/>
            <w:vAlign w:val="bottom"/>
          </w:tcPr>
          <w:p w14:paraId="39D97373" w14:textId="77777777" w:rsidR="00996AD7" w:rsidRDefault="00996AD7">
            <w:pPr>
              <w:rPr>
                <w:rFonts w:ascii="宋体"/>
              </w:rPr>
            </w:pPr>
          </w:p>
        </w:tc>
        <w:tc>
          <w:tcPr>
            <w:tcW w:w="5" w:type="pct"/>
            <w:shd w:val="clear" w:color="auto" w:fill="auto"/>
            <w:vAlign w:val="bottom"/>
          </w:tcPr>
          <w:p w14:paraId="39D97374" w14:textId="77777777" w:rsidR="00996AD7" w:rsidRDefault="00996AD7">
            <w:pPr>
              <w:rPr>
                <w:rFonts w:ascii="宋体"/>
              </w:rPr>
            </w:pPr>
          </w:p>
        </w:tc>
        <w:tc>
          <w:tcPr>
            <w:tcW w:w="5" w:type="pct"/>
            <w:shd w:val="clear" w:color="auto" w:fill="auto"/>
            <w:vAlign w:val="bottom"/>
          </w:tcPr>
          <w:p w14:paraId="39D97375" w14:textId="77777777" w:rsidR="00996AD7" w:rsidRDefault="00996AD7">
            <w:pPr>
              <w:rPr>
                <w:rFonts w:ascii="宋体"/>
              </w:rPr>
            </w:pPr>
          </w:p>
        </w:tc>
        <w:tc>
          <w:tcPr>
            <w:tcW w:w="24" w:type="pct"/>
            <w:shd w:val="clear" w:color="auto" w:fill="auto"/>
            <w:vAlign w:val="bottom"/>
          </w:tcPr>
          <w:p w14:paraId="39D97376" w14:textId="77777777" w:rsidR="00996AD7" w:rsidRDefault="00996AD7">
            <w:pPr>
              <w:rPr>
                <w:rFonts w:ascii="宋体"/>
              </w:rPr>
            </w:pPr>
          </w:p>
        </w:tc>
        <w:tc>
          <w:tcPr>
            <w:tcW w:w="5" w:type="pct"/>
            <w:shd w:val="clear" w:color="auto" w:fill="auto"/>
            <w:vAlign w:val="bottom"/>
          </w:tcPr>
          <w:p w14:paraId="39D97377" w14:textId="77777777" w:rsidR="00996AD7" w:rsidRDefault="00996AD7">
            <w:pPr>
              <w:rPr>
                <w:rFonts w:ascii="宋体"/>
              </w:rPr>
            </w:pPr>
          </w:p>
        </w:tc>
        <w:tc>
          <w:tcPr>
            <w:tcW w:w="50" w:type="pct"/>
            <w:shd w:val="clear" w:color="auto" w:fill="auto"/>
            <w:vAlign w:val="bottom"/>
          </w:tcPr>
          <w:p w14:paraId="39D97378" w14:textId="77777777" w:rsidR="00996AD7" w:rsidRDefault="00996AD7">
            <w:pPr>
              <w:rPr>
                <w:rFonts w:ascii="宋体"/>
              </w:rPr>
            </w:pPr>
          </w:p>
        </w:tc>
        <w:tc>
          <w:tcPr>
            <w:tcW w:w="539" w:type="pct"/>
            <w:shd w:val="clear" w:color="auto" w:fill="auto"/>
            <w:vAlign w:val="bottom"/>
          </w:tcPr>
          <w:p w14:paraId="39D97379" w14:textId="77777777" w:rsidR="00996AD7" w:rsidRDefault="00996AD7">
            <w:pPr>
              <w:rPr>
                <w:rFonts w:ascii="宋体"/>
              </w:rPr>
            </w:pPr>
          </w:p>
        </w:tc>
        <w:tc>
          <w:tcPr>
            <w:tcW w:w="5" w:type="pct"/>
            <w:shd w:val="clear" w:color="auto" w:fill="auto"/>
            <w:vAlign w:val="bottom"/>
          </w:tcPr>
          <w:p w14:paraId="39D9737A" w14:textId="77777777" w:rsidR="00996AD7" w:rsidRDefault="00996AD7">
            <w:pPr>
              <w:rPr>
                <w:rFonts w:ascii="宋体"/>
              </w:rPr>
            </w:pPr>
          </w:p>
        </w:tc>
        <w:tc>
          <w:tcPr>
            <w:tcW w:w="5" w:type="pct"/>
            <w:shd w:val="clear" w:color="auto" w:fill="auto"/>
            <w:vAlign w:val="bottom"/>
          </w:tcPr>
          <w:p w14:paraId="39D9737B" w14:textId="77777777" w:rsidR="00996AD7" w:rsidRDefault="00996AD7">
            <w:pPr>
              <w:rPr>
                <w:rFonts w:ascii="宋体"/>
              </w:rPr>
            </w:pPr>
          </w:p>
        </w:tc>
        <w:tc>
          <w:tcPr>
            <w:tcW w:w="24" w:type="pct"/>
            <w:shd w:val="clear" w:color="auto" w:fill="auto"/>
            <w:vAlign w:val="bottom"/>
          </w:tcPr>
          <w:p w14:paraId="39D9737C" w14:textId="77777777" w:rsidR="00996AD7" w:rsidRDefault="00996AD7">
            <w:pPr>
              <w:rPr>
                <w:rFonts w:ascii="宋体"/>
              </w:rPr>
            </w:pPr>
          </w:p>
        </w:tc>
        <w:tc>
          <w:tcPr>
            <w:tcW w:w="5" w:type="pct"/>
            <w:shd w:val="clear" w:color="auto" w:fill="auto"/>
            <w:vAlign w:val="bottom"/>
          </w:tcPr>
          <w:p w14:paraId="39D9737D" w14:textId="77777777" w:rsidR="00996AD7" w:rsidRDefault="00996AD7">
            <w:pPr>
              <w:rPr>
                <w:rFonts w:ascii="宋体"/>
              </w:rPr>
            </w:pPr>
          </w:p>
        </w:tc>
        <w:tc>
          <w:tcPr>
            <w:tcW w:w="50" w:type="pct"/>
            <w:shd w:val="clear" w:color="auto" w:fill="auto"/>
            <w:vAlign w:val="bottom"/>
          </w:tcPr>
          <w:p w14:paraId="39D9737E" w14:textId="77777777" w:rsidR="00996AD7" w:rsidRDefault="00996AD7">
            <w:pPr>
              <w:rPr>
                <w:rFonts w:ascii="宋体"/>
              </w:rPr>
            </w:pPr>
          </w:p>
        </w:tc>
        <w:tc>
          <w:tcPr>
            <w:tcW w:w="539" w:type="pct"/>
            <w:shd w:val="clear" w:color="auto" w:fill="auto"/>
            <w:vAlign w:val="bottom"/>
          </w:tcPr>
          <w:p w14:paraId="39D9737F" w14:textId="77777777" w:rsidR="00996AD7" w:rsidRDefault="00996AD7">
            <w:pPr>
              <w:rPr>
                <w:rFonts w:ascii="宋体"/>
              </w:rPr>
            </w:pPr>
          </w:p>
        </w:tc>
        <w:tc>
          <w:tcPr>
            <w:tcW w:w="5" w:type="pct"/>
            <w:shd w:val="clear" w:color="auto" w:fill="auto"/>
            <w:vAlign w:val="bottom"/>
          </w:tcPr>
          <w:p w14:paraId="39D97380" w14:textId="77777777" w:rsidR="00996AD7" w:rsidRDefault="00996AD7">
            <w:pPr>
              <w:rPr>
                <w:rFonts w:ascii="宋体"/>
              </w:rPr>
            </w:pPr>
          </w:p>
        </w:tc>
      </w:tr>
      <w:tr w:rsidR="00996AD7" w14:paraId="39D97387" w14:textId="77777777">
        <w:tc>
          <w:tcPr>
            <w:tcW w:w="0" w:type="auto"/>
            <w:gridSpan w:val="3"/>
            <w:shd w:val="clear" w:color="auto" w:fill="auto"/>
            <w:tcMar>
              <w:top w:w="0" w:type="dxa"/>
              <w:left w:w="20" w:type="dxa"/>
              <w:bottom w:w="0" w:type="dxa"/>
              <w:right w:w="20" w:type="dxa"/>
            </w:tcMar>
            <w:vAlign w:val="bottom"/>
          </w:tcPr>
          <w:p w14:paraId="39D9738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383"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center"/>
          </w:tcPr>
          <w:p w14:paraId="39D97384" w14:textId="77777777" w:rsidR="00996AD7" w:rsidRDefault="00D96458">
            <w:pPr>
              <w:jc w:val="center"/>
              <w:textAlignment w:val="center"/>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39D97385"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center"/>
          </w:tcPr>
          <w:p w14:paraId="39D97386" w14:textId="77777777" w:rsidR="00996AD7" w:rsidRDefault="00D96458">
            <w:pPr>
              <w:jc w:val="center"/>
              <w:textAlignment w:val="center"/>
            </w:pPr>
            <w:r>
              <w:rPr>
                <w:rFonts w:ascii="Arial" w:eastAsia="宋体" w:hAnsi="Arial" w:cs="Arial"/>
                <w:b/>
                <w:bCs/>
                <w:color w:val="262626"/>
                <w:sz w:val="18"/>
                <w:szCs w:val="18"/>
              </w:rPr>
              <w:t>Nine Months Ended</w:t>
            </w:r>
          </w:p>
        </w:tc>
      </w:tr>
      <w:tr w:rsidR="00996AD7" w14:paraId="39D97391" w14:textId="77777777">
        <w:tc>
          <w:tcPr>
            <w:tcW w:w="0" w:type="auto"/>
            <w:gridSpan w:val="3"/>
            <w:shd w:val="clear" w:color="auto" w:fill="auto"/>
            <w:tcMar>
              <w:top w:w="40" w:type="dxa"/>
              <w:left w:w="20" w:type="dxa"/>
              <w:bottom w:w="40" w:type="dxa"/>
              <w:right w:w="20" w:type="dxa"/>
            </w:tcMar>
            <w:vAlign w:val="bottom"/>
          </w:tcPr>
          <w:p w14:paraId="39D97388" w14:textId="77777777" w:rsidR="00996AD7" w:rsidRDefault="00D96458">
            <w:pPr>
              <w:ind w:hanging="180"/>
              <w:textAlignment w:val="bottom"/>
            </w:pPr>
            <w:r>
              <w:rPr>
                <w:rFonts w:ascii="Arial" w:eastAsia="宋体" w:hAnsi="Arial" w:cs="Arial"/>
                <w:b/>
                <w:bCs/>
                <w:color w:val="262626"/>
                <w:sz w:val="18"/>
                <w:szCs w:val="18"/>
              </w:rPr>
              <w:t>(In Millions; Unaudited)</w:t>
            </w:r>
          </w:p>
        </w:tc>
        <w:tc>
          <w:tcPr>
            <w:tcW w:w="0" w:type="auto"/>
            <w:gridSpan w:val="3"/>
            <w:shd w:val="clear" w:color="auto" w:fill="auto"/>
            <w:tcMar>
              <w:top w:w="0" w:type="dxa"/>
              <w:left w:w="20" w:type="dxa"/>
              <w:bottom w:w="0" w:type="dxa"/>
              <w:right w:w="20" w:type="dxa"/>
            </w:tcMar>
            <w:vAlign w:val="bottom"/>
          </w:tcPr>
          <w:p w14:paraId="39D97389"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38A"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38B"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38C"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gridSpan w:val="3"/>
            <w:shd w:val="clear" w:color="auto" w:fill="auto"/>
            <w:tcMar>
              <w:top w:w="0" w:type="dxa"/>
              <w:left w:w="20" w:type="dxa"/>
              <w:bottom w:w="0" w:type="dxa"/>
              <w:right w:w="20" w:type="dxa"/>
            </w:tcMar>
            <w:vAlign w:val="bottom"/>
          </w:tcPr>
          <w:p w14:paraId="39D9738D"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38E"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38F"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390" w14:textId="77777777" w:rsidR="00996AD7" w:rsidRDefault="00D96458">
            <w:pPr>
              <w:jc w:val="center"/>
              <w:textAlignment w:val="bottom"/>
            </w:pPr>
            <w:r>
              <w:rPr>
                <w:rFonts w:ascii="Arial" w:eastAsia="宋体" w:hAnsi="Arial" w:cs="Arial"/>
                <w:b/>
                <w:bCs/>
                <w:color w:val="262626"/>
                <w:sz w:val="18"/>
                <w:szCs w:val="18"/>
              </w:rPr>
              <w:t>Sep 26, 2020</w:t>
            </w:r>
          </w:p>
        </w:tc>
      </w:tr>
      <w:tr w:rsidR="00996AD7" w14:paraId="39D973A3"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7392" w14:textId="77777777" w:rsidR="00996AD7" w:rsidRDefault="00D96458">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39D97393"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394"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395" w14:textId="77777777" w:rsidR="00996AD7" w:rsidRDefault="00D96458">
            <w:pPr>
              <w:jc w:val="right"/>
              <w:textAlignment w:val="bottom"/>
            </w:pPr>
            <w:r>
              <w:rPr>
                <w:rFonts w:ascii="Arial" w:eastAsia="宋体" w:hAnsi="Arial" w:cs="Arial"/>
                <w:b/>
                <w:bCs/>
                <w:color w:val="0068B5"/>
                <w:sz w:val="18"/>
                <w:szCs w:val="18"/>
              </w:rPr>
              <w:t>6,823</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39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97"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398"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399" w14:textId="77777777" w:rsidR="00996AD7" w:rsidRDefault="00D96458">
            <w:pPr>
              <w:jc w:val="right"/>
              <w:textAlignment w:val="bottom"/>
            </w:pPr>
            <w:r>
              <w:rPr>
                <w:rFonts w:ascii="Arial" w:eastAsia="宋体" w:hAnsi="Arial" w:cs="Arial"/>
                <w:b/>
                <w:bCs/>
                <w:color w:val="262626"/>
                <w:sz w:val="18"/>
                <w:szCs w:val="18"/>
              </w:rPr>
              <w:t>4,276</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39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9B"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39C"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39D" w14:textId="77777777" w:rsidR="00996AD7" w:rsidRDefault="00D96458">
            <w:pPr>
              <w:jc w:val="right"/>
              <w:textAlignment w:val="bottom"/>
            </w:pPr>
            <w:r>
              <w:rPr>
                <w:rFonts w:ascii="Arial" w:eastAsia="宋体" w:hAnsi="Arial" w:cs="Arial"/>
                <w:b/>
                <w:bCs/>
                <w:color w:val="0068B5"/>
                <w:sz w:val="18"/>
                <w:szCs w:val="18"/>
              </w:rPr>
              <w:t>15,245</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39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9F"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3A0"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3A1" w14:textId="77777777" w:rsidR="00996AD7" w:rsidRDefault="00D96458">
            <w:pPr>
              <w:jc w:val="right"/>
              <w:textAlignment w:val="bottom"/>
            </w:pPr>
            <w:r>
              <w:rPr>
                <w:rFonts w:ascii="Arial" w:eastAsia="宋体" w:hAnsi="Arial" w:cs="Arial"/>
                <w:b/>
                <w:bCs/>
                <w:color w:val="262626"/>
                <w:sz w:val="18"/>
                <w:szCs w:val="18"/>
              </w:rPr>
              <w:t>15,042</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3A2" w14:textId="77777777" w:rsidR="00996AD7" w:rsidRDefault="00996AD7">
            <w:pPr>
              <w:jc w:val="right"/>
              <w:rPr>
                <w:rFonts w:ascii="宋体"/>
              </w:rPr>
            </w:pPr>
          </w:p>
        </w:tc>
      </w:tr>
      <w:tr w:rsidR="00996AD7" w14:paraId="39D973AD" w14:textId="77777777">
        <w:tc>
          <w:tcPr>
            <w:tcW w:w="0" w:type="auto"/>
            <w:gridSpan w:val="3"/>
            <w:shd w:val="clear" w:color="auto" w:fill="auto"/>
            <w:tcMar>
              <w:top w:w="40" w:type="dxa"/>
              <w:left w:w="20" w:type="dxa"/>
              <w:bottom w:w="40" w:type="dxa"/>
              <w:right w:w="20" w:type="dxa"/>
            </w:tcMar>
          </w:tcPr>
          <w:p w14:paraId="39D973A4" w14:textId="77777777" w:rsidR="00996AD7" w:rsidRDefault="00D96458">
            <w:pPr>
              <w:textAlignment w:val="top"/>
            </w:pPr>
            <w:r>
              <w:rPr>
                <w:rFonts w:ascii="Arial" w:eastAsia="宋体" w:hAnsi="Arial" w:cs="Arial"/>
                <w:color w:val="262626"/>
                <w:sz w:val="18"/>
                <w:szCs w:val="18"/>
              </w:rPr>
              <w:t>Changes in other comprehensive income, net of tax:</w:t>
            </w:r>
          </w:p>
        </w:tc>
        <w:tc>
          <w:tcPr>
            <w:tcW w:w="0" w:type="auto"/>
            <w:gridSpan w:val="3"/>
            <w:shd w:val="clear" w:color="auto" w:fill="auto"/>
            <w:tcMar>
              <w:top w:w="0" w:type="dxa"/>
              <w:left w:w="20" w:type="dxa"/>
              <w:bottom w:w="0" w:type="dxa"/>
              <w:right w:w="20" w:type="dxa"/>
            </w:tcMar>
            <w:vAlign w:val="bottom"/>
          </w:tcPr>
          <w:p w14:paraId="39D973A5"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73A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3A7"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73A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3A9"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73A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3AB"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73AC" w14:textId="77777777" w:rsidR="00996AD7" w:rsidRDefault="00996AD7">
            <w:pPr>
              <w:rPr>
                <w:rFonts w:ascii="宋体"/>
              </w:rPr>
            </w:pPr>
          </w:p>
        </w:tc>
      </w:tr>
      <w:tr w:rsidR="00996AD7" w14:paraId="39D973B7" w14:textId="77777777">
        <w:trPr>
          <w:hidden/>
        </w:trPr>
        <w:tc>
          <w:tcPr>
            <w:tcW w:w="0" w:type="auto"/>
            <w:gridSpan w:val="3"/>
            <w:shd w:val="clear" w:color="auto" w:fill="auto"/>
            <w:vAlign w:val="bottom"/>
          </w:tcPr>
          <w:p w14:paraId="39D973AE" w14:textId="77777777" w:rsidR="00996AD7" w:rsidRDefault="00996AD7">
            <w:pPr>
              <w:rPr>
                <w:rFonts w:ascii="宋体"/>
                <w:vanish/>
              </w:rPr>
            </w:pPr>
          </w:p>
        </w:tc>
        <w:tc>
          <w:tcPr>
            <w:tcW w:w="0" w:type="auto"/>
            <w:gridSpan w:val="3"/>
            <w:shd w:val="clear" w:color="auto" w:fill="auto"/>
            <w:vAlign w:val="bottom"/>
          </w:tcPr>
          <w:p w14:paraId="39D973AF" w14:textId="77777777" w:rsidR="00996AD7" w:rsidRDefault="00996AD7">
            <w:pPr>
              <w:rPr>
                <w:rFonts w:ascii="宋体"/>
                <w:vanish/>
              </w:rPr>
            </w:pPr>
          </w:p>
        </w:tc>
        <w:tc>
          <w:tcPr>
            <w:tcW w:w="0" w:type="auto"/>
            <w:gridSpan w:val="3"/>
            <w:shd w:val="clear" w:color="auto" w:fill="auto"/>
            <w:vAlign w:val="bottom"/>
          </w:tcPr>
          <w:p w14:paraId="39D973B0" w14:textId="77777777" w:rsidR="00996AD7" w:rsidRDefault="00996AD7">
            <w:pPr>
              <w:rPr>
                <w:rFonts w:ascii="宋体"/>
                <w:vanish/>
              </w:rPr>
            </w:pPr>
          </w:p>
        </w:tc>
        <w:tc>
          <w:tcPr>
            <w:tcW w:w="0" w:type="auto"/>
            <w:gridSpan w:val="3"/>
            <w:shd w:val="clear" w:color="auto" w:fill="auto"/>
            <w:vAlign w:val="bottom"/>
          </w:tcPr>
          <w:p w14:paraId="39D973B1" w14:textId="77777777" w:rsidR="00996AD7" w:rsidRDefault="00996AD7">
            <w:pPr>
              <w:rPr>
                <w:rFonts w:ascii="宋体"/>
                <w:vanish/>
              </w:rPr>
            </w:pPr>
          </w:p>
        </w:tc>
        <w:tc>
          <w:tcPr>
            <w:tcW w:w="0" w:type="auto"/>
            <w:gridSpan w:val="3"/>
            <w:shd w:val="clear" w:color="auto" w:fill="auto"/>
            <w:vAlign w:val="bottom"/>
          </w:tcPr>
          <w:p w14:paraId="39D973B2" w14:textId="77777777" w:rsidR="00996AD7" w:rsidRDefault="00996AD7">
            <w:pPr>
              <w:rPr>
                <w:rFonts w:ascii="宋体"/>
                <w:vanish/>
              </w:rPr>
            </w:pPr>
          </w:p>
        </w:tc>
        <w:tc>
          <w:tcPr>
            <w:tcW w:w="0" w:type="auto"/>
            <w:gridSpan w:val="3"/>
            <w:shd w:val="clear" w:color="auto" w:fill="auto"/>
            <w:vAlign w:val="bottom"/>
          </w:tcPr>
          <w:p w14:paraId="39D973B3" w14:textId="77777777" w:rsidR="00996AD7" w:rsidRDefault="00996AD7">
            <w:pPr>
              <w:rPr>
                <w:rFonts w:ascii="宋体"/>
                <w:vanish/>
              </w:rPr>
            </w:pPr>
          </w:p>
        </w:tc>
        <w:tc>
          <w:tcPr>
            <w:tcW w:w="0" w:type="auto"/>
            <w:gridSpan w:val="3"/>
            <w:shd w:val="clear" w:color="auto" w:fill="auto"/>
            <w:vAlign w:val="bottom"/>
          </w:tcPr>
          <w:p w14:paraId="39D973B4" w14:textId="77777777" w:rsidR="00996AD7" w:rsidRDefault="00996AD7">
            <w:pPr>
              <w:rPr>
                <w:rFonts w:ascii="宋体"/>
                <w:vanish/>
              </w:rPr>
            </w:pPr>
          </w:p>
        </w:tc>
        <w:tc>
          <w:tcPr>
            <w:tcW w:w="0" w:type="auto"/>
            <w:gridSpan w:val="3"/>
            <w:shd w:val="clear" w:color="auto" w:fill="auto"/>
            <w:vAlign w:val="bottom"/>
          </w:tcPr>
          <w:p w14:paraId="39D973B5" w14:textId="77777777" w:rsidR="00996AD7" w:rsidRDefault="00996AD7">
            <w:pPr>
              <w:rPr>
                <w:rFonts w:ascii="宋体"/>
                <w:vanish/>
              </w:rPr>
            </w:pPr>
          </w:p>
        </w:tc>
        <w:tc>
          <w:tcPr>
            <w:tcW w:w="0" w:type="auto"/>
            <w:gridSpan w:val="3"/>
            <w:shd w:val="clear" w:color="auto" w:fill="auto"/>
            <w:vAlign w:val="bottom"/>
          </w:tcPr>
          <w:p w14:paraId="39D973B6" w14:textId="77777777" w:rsidR="00996AD7" w:rsidRDefault="00996AD7">
            <w:pPr>
              <w:rPr>
                <w:rFonts w:ascii="宋体"/>
                <w:vanish/>
              </w:rPr>
            </w:pPr>
          </w:p>
        </w:tc>
      </w:tr>
      <w:tr w:rsidR="00996AD7" w14:paraId="39D973C1" w14:textId="77777777">
        <w:trPr>
          <w:hidden/>
        </w:trPr>
        <w:tc>
          <w:tcPr>
            <w:tcW w:w="0" w:type="auto"/>
            <w:gridSpan w:val="3"/>
            <w:shd w:val="clear" w:color="auto" w:fill="auto"/>
            <w:vAlign w:val="bottom"/>
          </w:tcPr>
          <w:p w14:paraId="39D973B8" w14:textId="77777777" w:rsidR="00996AD7" w:rsidRDefault="00996AD7">
            <w:pPr>
              <w:rPr>
                <w:rFonts w:ascii="宋体"/>
                <w:vanish/>
              </w:rPr>
            </w:pPr>
          </w:p>
        </w:tc>
        <w:tc>
          <w:tcPr>
            <w:tcW w:w="0" w:type="auto"/>
            <w:gridSpan w:val="3"/>
            <w:shd w:val="clear" w:color="auto" w:fill="auto"/>
            <w:vAlign w:val="bottom"/>
          </w:tcPr>
          <w:p w14:paraId="39D973B9" w14:textId="77777777" w:rsidR="00996AD7" w:rsidRDefault="00996AD7">
            <w:pPr>
              <w:rPr>
                <w:rFonts w:ascii="宋体"/>
                <w:vanish/>
              </w:rPr>
            </w:pPr>
          </w:p>
        </w:tc>
        <w:tc>
          <w:tcPr>
            <w:tcW w:w="0" w:type="auto"/>
            <w:gridSpan w:val="3"/>
            <w:shd w:val="clear" w:color="auto" w:fill="auto"/>
            <w:vAlign w:val="bottom"/>
          </w:tcPr>
          <w:p w14:paraId="39D973BA" w14:textId="77777777" w:rsidR="00996AD7" w:rsidRDefault="00996AD7">
            <w:pPr>
              <w:rPr>
                <w:rFonts w:ascii="宋体"/>
                <w:vanish/>
              </w:rPr>
            </w:pPr>
          </w:p>
        </w:tc>
        <w:tc>
          <w:tcPr>
            <w:tcW w:w="0" w:type="auto"/>
            <w:gridSpan w:val="3"/>
            <w:shd w:val="clear" w:color="auto" w:fill="auto"/>
            <w:vAlign w:val="bottom"/>
          </w:tcPr>
          <w:p w14:paraId="39D973BB" w14:textId="77777777" w:rsidR="00996AD7" w:rsidRDefault="00996AD7">
            <w:pPr>
              <w:rPr>
                <w:rFonts w:ascii="宋体"/>
                <w:vanish/>
              </w:rPr>
            </w:pPr>
          </w:p>
        </w:tc>
        <w:tc>
          <w:tcPr>
            <w:tcW w:w="0" w:type="auto"/>
            <w:gridSpan w:val="3"/>
            <w:shd w:val="clear" w:color="auto" w:fill="auto"/>
            <w:vAlign w:val="bottom"/>
          </w:tcPr>
          <w:p w14:paraId="39D973BC" w14:textId="77777777" w:rsidR="00996AD7" w:rsidRDefault="00996AD7">
            <w:pPr>
              <w:rPr>
                <w:rFonts w:ascii="宋体"/>
                <w:vanish/>
              </w:rPr>
            </w:pPr>
          </w:p>
        </w:tc>
        <w:tc>
          <w:tcPr>
            <w:tcW w:w="0" w:type="auto"/>
            <w:gridSpan w:val="3"/>
            <w:shd w:val="clear" w:color="auto" w:fill="auto"/>
            <w:vAlign w:val="bottom"/>
          </w:tcPr>
          <w:p w14:paraId="39D973BD" w14:textId="77777777" w:rsidR="00996AD7" w:rsidRDefault="00996AD7">
            <w:pPr>
              <w:rPr>
                <w:rFonts w:ascii="宋体"/>
                <w:vanish/>
              </w:rPr>
            </w:pPr>
          </w:p>
        </w:tc>
        <w:tc>
          <w:tcPr>
            <w:tcW w:w="0" w:type="auto"/>
            <w:gridSpan w:val="3"/>
            <w:shd w:val="clear" w:color="auto" w:fill="auto"/>
            <w:vAlign w:val="bottom"/>
          </w:tcPr>
          <w:p w14:paraId="39D973BE" w14:textId="77777777" w:rsidR="00996AD7" w:rsidRDefault="00996AD7">
            <w:pPr>
              <w:rPr>
                <w:rFonts w:ascii="宋体"/>
                <w:vanish/>
              </w:rPr>
            </w:pPr>
          </w:p>
        </w:tc>
        <w:tc>
          <w:tcPr>
            <w:tcW w:w="0" w:type="auto"/>
            <w:gridSpan w:val="3"/>
            <w:shd w:val="clear" w:color="auto" w:fill="auto"/>
            <w:vAlign w:val="bottom"/>
          </w:tcPr>
          <w:p w14:paraId="39D973BF" w14:textId="77777777" w:rsidR="00996AD7" w:rsidRDefault="00996AD7">
            <w:pPr>
              <w:rPr>
                <w:rFonts w:ascii="宋体"/>
                <w:vanish/>
              </w:rPr>
            </w:pPr>
          </w:p>
        </w:tc>
        <w:tc>
          <w:tcPr>
            <w:tcW w:w="0" w:type="auto"/>
            <w:gridSpan w:val="3"/>
            <w:shd w:val="clear" w:color="auto" w:fill="auto"/>
            <w:vAlign w:val="bottom"/>
          </w:tcPr>
          <w:p w14:paraId="39D973C0" w14:textId="77777777" w:rsidR="00996AD7" w:rsidRDefault="00996AD7">
            <w:pPr>
              <w:rPr>
                <w:rFonts w:ascii="宋体"/>
                <w:vanish/>
              </w:rPr>
            </w:pPr>
          </w:p>
        </w:tc>
      </w:tr>
      <w:tr w:rsidR="00996AD7" w14:paraId="39D973CF" w14:textId="77777777">
        <w:tc>
          <w:tcPr>
            <w:tcW w:w="0" w:type="auto"/>
            <w:gridSpan w:val="3"/>
            <w:shd w:val="clear" w:color="auto" w:fill="auto"/>
            <w:tcMar>
              <w:top w:w="40" w:type="dxa"/>
              <w:left w:w="140" w:type="dxa"/>
              <w:bottom w:w="40" w:type="dxa"/>
              <w:right w:w="20" w:type="dxa"/>
            </w:tcMar>
          </w:tcPr>
          <w:p w14:paraId="39D973C2" w14:textId="77777777" w:rsidR="00996AD7" w:rsidRDefault="00D96458">
            <w:pPr>
              <w:textAlignment w:val="top"/>
            </w:pPr>
            <w:r>
              <w:rPr>
                <w:rFonts w:ascii="Arial" w:eastAsia="宋体" w:hAnsi="Arial" w:cs="Arial"/>
                <w:color w:val="262626"/>
                <w:sz w:val="18"/>
                <w:szCs w:val="18"/>
              </w:rPr>
              <w:t xml:space="preserve">Net unrealized holding gains </w:t>
            </w:r>
            <w:r>
              <w:rPr>
                <w:rFonts w:ascii="Arial" w:eastAsia="宋体" w:hAnsi="Arial" w:cs="Arial"/>
                <w:color w:val="262626"/>
                <w:sz w:val="18"/>
                <w:szCs w:val="18"/>
              </w:rPr>
              <w:t>(losses) on derivatives</w:t>
            </w:r>
          </w:p>
        </w:tc>
        <w:tc>
          <w:tcPr>
            <w:tcW w:w="0" w:type="auto"/>
            <w:gridSpan w:val="3"/>
            <w:shd w:val="clear" w:color="auto" w:fill="auto"/>
            <w:tcMar>
              <w:top w:w="0" w:type="dxa"/>
              <w:left w:w="20" w:type="dxa"/>
              <w:bottom w:w="0" w:type="dxa"/>
              <w:right w:w="20" w:type="dxa"/>
            </w:tcMar>
            <w:vAlign w:val="bottom"/>
          </w:tcPr>
          <w:p w14:paraId="39D973C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C4" w14:textId="77777777" w:rsidR="00996AD7" w:rsidRDefault="00D96458">
            <w:pPr>
              <w:jc w:val="right"/>
              <w:textAlignment w:val="bottom"/>
            </w:pPr>
            <w:r>
              <w:rPr>
                <w:rFonts w:ascii="Arial" w:eastAsia="宋体" w:hAnsi="Arial" w:cs="Arial"/>
                <w:color w:val="0068B5"/>
                <w:sz w:val="18"/>
                <w:szCs w:val="18"/>
              </w:rPr>
              <w:t>(46)</w:t>
            </w:r>
          </w:p>
        </w:tc>
        <w:tc>
          <w:tcPr>
            <w:tcW w:w="0" w:type="auto"/>
            <w:shd w:val="clear" w:color="auto" w:fill="auto"/>
            <w:tcMar>
              <w:top w:w="40" w:type="dxa"/>
              <w:left w:w="0" w:type="dxa"/>
              <w:bottom w:w="40" w:type="dxa"/>
              <w:right w:w="20" w:type="dxa"/>
            </w:tcMar>
            <w:vAlign w:val="bottom"/>
          </w:tcPr>
          <w:p w14:paraId="39D973C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C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C7" w14:textId="77777777" w:rsidR="00996AD7" w:rsidRDefault="00D96458">
            <w:pPr>
              <w:jc w:val="right"/>
              <w:textAlignment w:val="bottom"/>
            </w:pPr>
            <w:r>
              <w:rPr>
                <w:rFonts w:ascii="Arial" w:eastAsia="宋体" w:hAnsi="Arial" w:cs="Arial"/>
                <w:color w:val="262626"/>
                <w:sz w:val="18"/>
                <w:szCs w:val="18"/>
              </w:rPr>
              <w:t>206 </w:t>
            </w:r>
          </w:p>
        </w:tc>
        <w:tc>
          <w:tcPr>
            <w:tcW w:w="0" w:type="auto"/>
            <w:shd w:val="clear" w:color="auto" w:fill="auto"/>
            <w:tcMar>
              <w:top w:w="40" w:type="dxa"/>
              <w:left w:w="0" w:type="dxa"/>
              <w:bottom w:w="40" w:type="dxa"/>
              <w:right w:w="20" w:type="dxa"/>
            </w:tcMar>
            <w:vAlign w:val="bottom"/>
          </w:tcPr>
          <w:p w14:paraId="39D973C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C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CA" w14:textId="77777777" w:rsidR="00996AD7" w:rsidRDefault="00D96458">
            <w:pPr>
              <w:jc w:val="right"/>
              <w:textAlignment w:val="bottom"/>
            </w:pPr>
            <w:r>
              <w:rPr>
                <w:rFonts w:ascii="Arial" w:eastAsia="宋体" w:hAnsi="Arial" w:cs="Arial"/>
                <w:color w:val="0068B5"/>
                <w:sz w:val="18"/>
                <w:szCs w:val="18"/>
              </w:rPr>
              <w:t>(390)</w:t>
            </w:r>
          </w:p>
        </w:tc>
        <w:tc>
          <w:tcPr>
            <w:tcW w:w="0" w:type="auto"/>
            <w:shd w:val="clear" w:color="auto" w:fill="auto"/>
            <w:tcMar>
              <w:top w:w="40" w:type="dxa"/>
              <w:left w:w="0" w:type="dxa"/>
              <w:bottom w:w="40" w:type="dxa"/>
              <w:right w:w="20" w:type="dxa"/>
            </w:tcMar>
            <w:vAlign w:val="bottom"/>
          </w:tcPr>
          <w:p w14:paraId="39D973C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C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CD" w14:textId="77777777" w:rsidR="00996AD7" w:rsidRDefault="00D96458">
            <w:pPr>
              <w:jc w:val="right"/>
              <w:textAlignment w:val="bottom"/>
            </w:pPr>
            <w:r>
              <w:rPr>
                <w:rFonts w:ascii="Arial" w:eastAsia="宋体" w:hAnsi="Arial" w:cs="Arial"/>
                <w:color w:val="262626"/>
                <w:sz w:val="18"/>
                <w:szCs w:val="18"/>
              </w:rPr>
              <w:t>257 </w:t>
            </w:r>
          </w:p>
        </w:tc>
        <w:tc>
          <w:tcPr>
            <w:tcW w:w="0" w:type="auto"/>
            <w:shd w:val="clear" w:color="auto" w:fill="auto"/>
            <w:tcMar>
              <w:top w:w="40" w:type="dxa"/>
              <w:left w:w="0" w:type="dxa"/>
              <w:bottom w:w="40" w:type="dxa"/>
              <w:right w:w="20" w:type="dxa"/>
            </w:tcMar>
            <w:vAlign w:val="bottom"/>
          </w:tcPr>
          <w:p w14:paraId="39D973CE" w14:textId="77777777" w:rsidR="00996AD7" w:rsidRDefault="00996AD7">
            <w:pPr>
              <w:jc w:val="right"/>
              <w:rPr>
                <w:rFonts w:ascii="宋体"/>
              </w:rPr>
            </w:pPr>
          </w:p>
        </w:tc>
      </w:tr>
      <w:tr w:rsidR="00996AD7" w14:paraId="39D973DD" w14:textId="77777777">
        <w:tc>
          <w:tcPr>
            <w:tcW w:w="0" w:type="auto"/>
            <w:gridSpan w:val="3"/>
            <w:shd w:val="clear" w:color="auto" w:fill="auto"/>
            <w:tcMar>
              <w:top w:w="40" w:type="dxa"/>
              <w:left w:w="140" w:type="dxa"/>
              <w:bottom w:w="40" w:type="dxa"/>
              <w:right w:w="20" w:type="dxa"/>
            </w:tcMar>
          </w:tcPr>
          <w:p w14:paraId="39D973D0" w14:textId="77777777" w:rsidR="00996AD7" w:rsidRDefault="00D96458">
            <w:pPr>
              <w:textAlignment w:val="top"/>
            </w:pPr>
            <w:r>
              <w:rPr>
                <w:rFonts w:ascii="Arial" w:eastAsia="宋体" w:hAnsi="Arial" w:cs="Arial"/>
                <w:color w:val="262626"/>
                <w:sz w:val="18"/>
                <w:szCs w:val="18"/>
              </w:rPr>
              <w:t>Actuarial valuation and other pension benefits (expenses), net</w:t>
            </w:r>
          </w:p>
        </w:tc>
        <w:tc>
          <w:tcPr>
            <w:tcW w:w="0" w:type="auto"/>
            <w:gridSpan w:val="3"/>
            <w:shd w:val="clear" w:color="auto" w:fill="auto"/>
            <w:tcMar>
              <w:top w:w="0" w:type="dxa"/>
              <w:left w:w="20" w:type="dxa"/>
              <w:bottom w:w="0" w:type="dxa"/>
              <w:right w:w="20" w:type="dxa"/>
            </w:tcMar>
            <w:vAlign w:val="bottom"/>
          </w:tcPr>
          <w:p w14:paraId="39D973D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D2" w14:textId="77777777" w:rsidR="00996AD7" w:rsidRDefault="00D96458">
            <w:pPr>
              <w:jc w:val="right"/>
              <w:textAlignment w:val="bottom"/>
            </w:pPr>
            <w:r>
              <w:rPr>
                <w:rFonts w:ascii="Arial" w:eastAsia="宋体" w:hAnsi="Arial" w:cs="Arial"/>
                <w:color w:val="0068B5"/>
                <w:sz w:val="18"/>
                <w:szCs w:val="18"/>
              </w:rPr>
              <w:t>13 </w:t>
            </w:r>
          </w:p>
        </w:tc>
        <w:tc>
          <w:tcPr>
            <w:tcW w:w="0" w:type="auto"/>
            <w:shd w:val="clear" w:color="auto" w:fill="auto"/>
            <w:tcMar>
              <w:top w:w="40" w:type="dxa"/>
              <w:left w:w="0" w:type="dxa"/>
              <w:bottom w:w="40" w:type="dxa"/>
              <w:right w:w="20" w:type="dxa"/>
            </w:tcMar>
            <w:vAlign w:val="bottom"/>
          </w:tcPr>
          <w:p w14:paraId="39D973D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D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D5" w14:textId="77777777" w:rsidR="00996AD7" w:rsidRDefault="00D96458">
            <w:pPr>
              <w:jc w:val="right"/>
              <w:textAlignment w:val="bottom"/>
            </w:pPr>
            <w:r>
              <w:rPr>
                <w:rFonts w:ascii="Arial" w:eastAsia="宋体" w:hAnsi="Arial" w:cs="Arial"/>
                <w:color w:val="262626"/>
                <w:sz w:val="18"/>
                <w:szCs w:val="18"/>
              </w:rPr>
              <w:t>11 </w:t>
            </w:r>
          </w:p>
        </w:tc>
        <w:tc>
          <w:tcPr>
            <w:tcW w:w="0" w:type="auto"/>
            <w:shd w:val="clear" w:color="auto" w:fill="auto"/>
            <w:tcMar>
              <w:top w:w="40" w:type="dxa"/>
              <w:left w:w="0" w:type="dxa"/>
              <w:bottom w:w="40" w:type="dxa"/>
              <w:right w:w="20" w:type="dxa"/>
            </w:tcMar>
            <w:vAlign w:val="bottom"/>
          </w:tcPr>
          <w:p w14:paraId="39D973D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D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D8" w14:textId="77777777" w:rsidR="00996AD7" w:rsidRDefault="00D96458">
            <w:pPr>
              <w:jc w:val="right"/>
              <w:textAlignment w:val="bottom"/>
            </w:pPr>
            <w:r>
              <w:rPr>
                <w:rFonts w:ascii="Arial" w:eastAsia="宋体" w:hAnsi="Arial" w:cs="Arial"/>
                <w:color w:val="0068B5"/>
                <w:sz w:val="18"/>
                <w:szCs w:val="18"/>
              </w:rPr>
              <w:t>38 </w:t>
            </w:r>
          </w:p>
        </w:tc>
        <w:tc>
          <w:tcPr>
            <w:tcW w:w="0" w:type="auto"/>
            <w:shd w:val="clear" w:color="auto" w:fill="auto"/>
            <w:tcMar>
              <w:top w:w="40" w:type="dxa"/>
              <w:left w:w="0" w:type="dxa"/>
              <w:bottom w:w="40" w:type="dxa"/>
              <w:right w:w="20" w:type="dxa"/>
            </w:tcMar>
            <w:vAlign w:val="bottom"/>
          </w:tcPr>
          <w:p w14:paraId="39D973D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D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DB" w14:textId="77777777" w:rsidR="00996AD7" w:rsidRDefault="00D96458">
            <w:pPr>
              <w:jc w:val="right"/>
              <w:textAlignment w:val="bottom"/>
            </w:pPr>
            <w:r>
              <w:rPr>
                <w:rFonts w:ascii="Arial" w:eastAsia="宋体" w:hAnsi="Arial" w:cs="Arial"/>
                <w:color w:val="262626"/>
                <w:sz w:val="18"/>
                <w:szCs w:val="18"/>
              </w:rPr>
              <w:t>34 </w:t>
            </w:r>
          </w:p>
        </w:tc>
        <w:tc>
          <w:tcPr>
            <w:tcW w:w="0" w:type="auto"/>
            <w:shd w:val="clear" w:color="auto" w:fill="auto"/>
            <w:tcMar>
              <w:top w:w="40" w:type="dxa"/>
              <w:left w:w="0" w:type="dxa"/>
              <w:bottom w:w="40" w:type="dxa"/>
              <w:right w:w="20" w:type="dxa"/>
            </w:tcMar>
            <w:vAlign w:val="bottom"/>
          </w:tcPr>
          <w:p w14:paraId="39D973DC" w14:textId="77777777" w:rsidR="00996AD7" w:rsidRDefault="00996AD7">
            <w:pPr>
              <w:jc w:val="right"/>
              <w:rPr>
                <w:rFonts w:ascii="宋体"/>
              </w:rPr>
            </w:pPr>
          </w:p>
        </w:tc>
      </w:tr>
      <w:tr w:rsidR="00996AD7" w14:paraId="39D973EB" w14:textId="77777777">
        <w:tc>
          <w:tcPr>
            <w:tcW w:w="0" w:type="auto"/>
            <w:gridSpan w:val="3"/>
            <w:shd w:val="clear" w:color="auto" w:fill="auto"/>
            <w:tcMar>
              <w:top w:w="40" w:type="dxa"/>
              <w:left w:w="140" w:type="dxa"/>
              <w:bottom w:w="40" w:type="dxa"/>
              <w:right w:w="20" w:type="dxa"/>
            </w:tcMar>
          </w:tcPr>
          <w:p w14:paraId="39D973DE" w14:textId="77777777" w:rsidR="00996AD7" w:rsidRDefault="00D96458">
            <w:pPr>
              <w:textAlignment w:val="top"/>
            </w:pPr>
            <w:r>
              <w:rPr>
                <w:rFonts w:ascii="Arial" w:eastAsia="宋体" w:hAnsi="Arial" w:cs="Arial"/>
                <w:color w:val="262626"/>
                <w:sz w:val="18"/>
                <w:szCs w:val="18"/>
              </w:rPr>
              <w:t>Translation adjustments and other</w:t>
            </w:r>
          </w:p>
        </w:tc>
        <w:tc>
          <w:tcPr>
            <w:tcW w:w="0" w:type="auto"/>
            <w:gridSpan w:val="3"/>
            <w:shd w:val="clear" w:color="auto" w:fill="auto"/>
            <w:tcMar>
              <w:top w:w="0" w:type="dxa"/>
              <w:left w:w="20" w:type="dxa"/>
              <w:bottom w:w="0" w:type="dxa"/>
              <w:right w:w="20" w:type="dxa"/>
            </w:tcMar>
            <w:vAlign w:val="bottom"/>
          </w:tcPr>
          <w:p w14:paraId="39D973D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E0" w14:textId="77777777" w:rsidR="00996AD7" w:rsidRDefault="00D96458">
            <w:pPr>
              <w:jc w:val="right"/>
              <w:textAlignment w:val="bottom"/>
            </w:pPr>
            <w:r>
              <w:rPr>
                <w:rFonts w:ascii="Arial" w:eastAsia="宋体" w:hAnsi="Arial" w:cs="Arial"/>
                <w:color w:val="0068B5"/>
                <w:sz w:val="18"/>
                <w:szCs w:val="18"/>
              </w:rPr>
              <w:t>(19)</w:t>
            </w:r>
          </w:p>
        </w:tc>
        <w:tc>
          <w:tcPr>
            <w:tcW w:w="0" w:type="auto"/>
            <w:shd w:val="clear" w:color="auto" w:fill="auto"/>
            <w:tcMar>
              <w:top w:w="40" w:type="dxa"/>
              <w:left w:w="0" w:type="dxa"/>
              <w:bottom w:w="40" w:type="dxa"/>
              <w:right w:w="20" w:type="dxa"/>
            </w:tcMar>
            <w:vAlign w:val="bottom"/>
          </w:tcPr>
          <w:p w14:paraId="39D973E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E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E3" w14:textId="77777777" w:rsidR="00996AD7" w:rsidRDefault="00D96458">
            <w:pPr>
              <w:jc w:val="right"/>
              <w:textAlignment w:val="bottom"/>
            </w:pPr>
            <w:r>
              <w:rPr>
                <w:rFonts w:ascii="Arial" w:eastAsia="宋体" w:hAnsi="Arial" w:cs="Arial"/>
                <w:color w:val="262626"/>
                <w:sz w:val="18"/>
                <w:szCs w:val="18"/>
              </w:rPr>
              <w:t>(5)</w:t>
            </w:r>
          </w:p>
        </w:tc>
        <w:tc>
          <w:tcPr>
            <w:tcW w:w="0" w:type="auto"/>
            <w:shd w:val="clear" w:color="auto" w:fill="auto"/>
            <w:tcMar>
              <w:top w:w="40" w:type="dxa"/>
              <w:left w:w="0" w:type="dxa"/>
              <w:bottom w:w="40" w:type="dxa"/>
              <w:right w:w="20" w:type="dxa"/>
            </w:tcMar>
            <w:vAlign w:val="bottom"/>
          </w:tcPr>
          <w:p w14:paraId="39D973E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E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E6" w14:textId="77777777" w:rsidR="00996AD7" w:rsidRDefault="00D96458">
            <w:pPr>
              <w:jc w:val="right"/>
              <w:textAlignment w:val="bottom"/>
            </w:pPr>
            <w:r>
              <w:rPr>
                <w:rFonts w:ascii="Arial" w:eastAsia="宋体" w:hAnsi="Arial" w:cs="Arial"/>
                <w:color w:val="0068B5"/>
                <w:sz w:val="18"/>
                <w:szCs w:val="18"/>
              </w:rPr>
              <w:t>(44)</w:t>
            </w:r>
          </w:p>
        </w:tc>
        <w:tc>
          <w:tcPr>
            <w:tcW w:w="0" w:type="auto"/>
            <w:shd w:val="clear" w:color="auto" w:fill="auto"/>
            <w:tcMar>
              <w:top w:w="40" w:type="dxa"/>
              <w:left w:w="0" w:type="dxa"/>
              <w:bottom w:w="40" w:type="dxa"/>
              <w:right w:w="20" w:type="dxa"/>
            </w:tcMar>
            <w:vAlign w:val="bottom"/>
          </w:tcPr>
          <w:p w14:paraId="39D973E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E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3E9" w14:textId="77777777" w:rsidR="00996AD7" w:rsidRDefault="00D96458">
            <w:pPr>
              <w:jc w:val="right"/>
              <w:textAlignment w:val="bottom"/>
            </w:pPr>
            <w:r>
              <w:rPr>
                <w:rFonts w:ascii="Arial" w:eastAsia="宋体" w:hAnsi="Arial" w:cs="Arial"/>
                <w:color w:val="262626"/>
                <w:sz w:val="18"/>
                <w:szCs w:val="18"/>
              </w:rPr>
              <w:t>49 </w:t>
            </w:r>
          </w:p>
        </w:tc>
        <w:tc>
          <w:tcPr>
            <w:tcW w:w="0" w:type="auto"/>
            <w:shd w:val="clear" w:color="auto" w:fill="auto"/>
            <w:tcMar>
              <w:top w:w="40" w:type="dxa"/>
              <w:left w:w="0" w:type="dxa"/>
              <w:bottom w:w="40" w:type="dxa"/>
              <w:right w:w="20" w:type="dxa"/>
            </w:tcMar>
            <w:vAlign w:val="bottom"/>
          </w:tcPr>
          <w:p w14:paraId="39D973EA" w14:textId="77777777" w:rsidR="00996AD7" w:rsidRDefault="00996AD7">
            <w:pPr>
              <w:jc w:val="right"/>
              <w:rPr>
                <w:rFonts w:ascii="宋体"/>
              </w:rPr>
            </w:pPr>
          </w:p>
        </w:tc>
      </w:tr>
      <w:tr w:rsidR="00996AD7" w14:paraId="39D973F9" w14:textId="77777777">
        <w:tc>
          <w:tcPr>
            <w:tcW w:w="0" w:type="auto"/>
            <w:gridSpan w:val="3"/>
            <w:shd w:val="clear" w:color="auto" w:fill="auto"/>
            <w:tcMar>
              <w:top w:w="40" w:type="dxa"/>
              <w:left w:w="20" w:type="dxa"/>
              <w:bottom w:w="40" w:type="dxa"/>
              <w:right w:w="20" w:type="dxa"/>
            </w:tcMar>
          </w:tcPr>
          <w:p w14:paraId="39D973EC" w14:textId="77777777" w:rsidR="00996AD7" w:rsidRDefault="00D96458">
            <w:pPr>
              <w:textAlignment w:val="top"/>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39D973ED"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3EE" w14:textId="77777777" w:rsidR="00996AD7" w:rsidRDefault="00D96458">
            <w:pPr>
              <w:jc w:val="right"/>
              <w:textAlignment w:val="bottom"/>
            </w:pPr>
            <w:r>
              <w:rPr>
                <w:rFonts w:ascii="Arial" w:eastAsia="宋体" w:hAnsi="Arial" w:cs="Arial"/>
                <w:b/>
                <w:bCs/>
                <w:color w:val="0068B5"/>
                <w:sz w:val="18"/>
                <w:szCs w:val="18"/>
              </w:rPr>
              <w:t>(52)</w:t>
            </w:r>
          </w:p>
        </w:tc>
        <w:tc>
          <w:tcPr>
            <w:tcW w:w="0" w:type="auto"/>
            <w:tcBorders>
              <w:top w:val="single" w:sz="4" w:space="0" w:color="262626"/>
            </w:tcBorders>
            <w:shd w:val="clear" w:color="auto" w:fill="auto"/>
            <w:tcMar>
              <w:top w:w="40" w:type="dxa"/>
              <w:left w:w="0" w:type="dxa"/>
              <w:bottom w:w="40" w:type="dxa"/>
              <w:right w:w="20" w:type="dxa"/>
            </w:tcMar>
            <w:vAlign w:val="bottom"/>
          </w:tcPr>
          <w:p w14:paraId="39D973E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F0"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3F1" w14:textId="77777777" w:rsidR="00996AD7" w:rsidRDefault="00D96458">
            <w:pPr>
              <w:jc w:val="right"/>
              <w:textAlignment w:val="bottom"/>
            </w:pPr>
            <w:r>
              <w:rPr>
                <w:rFonts w:ascii="Arial" w:eastAsia="宋体" w:hAnsi="Arial" w:cs="Arial"/>
                <w:b/>
                <w:bCs/>
                <w:color w:val="262626"/>
                <w:sz w:val="18"/>
                <w:szCs w:val="18"/>
              </w:rPr>
              <w:t>212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3F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F3"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3F4" w14:textId="77777777" w:rsidR="00996AD7" w:rsidRDefault="00D96458">
            <w:pPr>
              <w:jc w:val="right"/>
              <w:textAlignment w:val="bottom"/>
            </w:pPr>
            <w:r>
              <w:rPr>
                <w:rFonts w:ascii="Arial" w:eastAsia="宋体" w:hAnsi="Arial" w:cs="Arial"/>
                <w:b/>
                <w:bCs/>
                <w:color w:val="0068B5"/>
                <w:sz w:val="18"/>
                <w:szCs w:val="18"/>
              </w:rPr>
              <w:t>(396)</w:t>
            </w:r>
          </w:p>
        </w:tc>
        <w:tc>
          <w:tcPr>
            <w:tcW w:w="0" w:type="auto"/>
            <w:tcBorders>
              <w:top w:val="single" w:sz="4" w:space="0" w:color="262626"/>
            </w:tcBorders>
            <w:shd w:val="clear" w:color="auto" w:fill="auto"/>
            <w:tcMar>
              <w:top w:w="40" w:type="dxa"/>
              <w:left w:w="0" w:type="dxa"/>
              <w:bottom w:w="40" w:type="dxa"/>
              <w:right w:w="20" w:type="dxa"/>
            </w:tcMar>
            <w:vAlign w:val="bottom"/>
          </w:tcPr>
          <w:p w14:paraId="39D973F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F6"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3F7" w14:textId="77777777" w:rsidR="00996AD7" w:rsidRDefault="00D96458">
            <w:pPr>
              <w:jc w:val="right"/>
              <w:textAlignment w:val="bottom"/>
            </w:pPr>
            <w:r>
              <w:rPr>
                <w:rFonts w:ascii="Arial" w:eastAsia="宋体" w:hAnsi="Arial" w:cs="Arial"/>
                <w:b/>
                <w:bCs/>
                <w:color w:val="262626"/>
                <w:sz w:val="18"/>
                <w:szCs w:val="18"/>
              </w:rPr>
              <w:t>340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3F8" w14:textId="77777777" w:rsidR="00996AD7" w:rsidRDefault="00996AD7">
            <w:pPr>
              <w:jc w:val="right"/>
              <w:rPr>
                <w:rFonts w:ascii="宋体"/>
              </w:rPr>
            </w:pPr>
          </w:p>
        </w:tc>
      </w:tr>
      <w:tr w:rsidR="00996AD7" w14:paraId="39D9740B" w14:textId="77777777">
        <w:tc>
          <w:tcPr>
            <w:tcW w:w="0" w:type="auto"/>
            <w:gridSpan w:val="3"/>
            <w:shd w:val="clear" w:color="auto" w:fill="auto"/>
            <w:tcMar>
              <w:top w:w="40" w:type="dxa"/>
              <w:left w:w="20" w:type="dxa"/>
              <w:bottom w:w="40" w:type="dxa"/>
              <w:right w:w="20" w:type="dxa"/>
            </w:tcMar>
          </w:tcPr>
          <w:p w14:paraId="39D973FA" w14:textId="77777777" w:rsidR="00996AD7" w:rsidRDefault="00D96458">
            <w:pPr>
              <w:textAlignment w:val="top"/>
            </w:pPr>
            <w:r>
              <w:rPr>
                <w:rFonts w:ascii="Arial" w:eastAsia="宋体" w:hAnsi="Arial" w:cs="Arial"/>
                <w:b/>
                <w:bCs/>
                <w:color w:val="262626"/>
                <w:sz w:val="18"/>
                <w:szCs w:val="18"/>
              </w:rPr>
              <w:t>Total comprehensive income</w:t>
            </w:r>
          </w:p>
        </w:tc>
        <w:tc>
          <w:tcPr>
            <w:tcW w:w="0" w:type="auto"/>
            <w:gridSpan w:val="3"/>
            <w:shd w:val="clear" w:color="auto" w:fill="auto"/>
            <w:tcMar>
              <w:top w:w="0" w:type="dxa"/>
              <w:left w:w="20" w:type="dxa"/>
              <w:bottom w:w="0" w:type="dxa"/>
              <w:right w:w="20" w:type="dxa"/>
            </w:tcMar>
            <w:vAlign w:val="bottom"/>
          </w:tcPr>
          <w:p w14:paraId="39D973FB"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3FC"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3FD" w14:textId="77777777" w:rsidR="00996AD7" w:rsidRDefault="00D96458">
            <w:pPr>
              <w:jc w:val="right"/>
              <w:textAlignment w:val="bottom"/>
            </w:pPr>
            <w:r>
              <w:rPr>
                <w:rFonts w:ascii="Arial" w:eastAsia="宋体" w:hAnsi="Arial" w:cs="Arial"/>
                <w:b/>
                <w:bCs/>
                <w:color w:val="0068B5"/>
                <w:sz w:val="18"/>
                <w:szCs w:val="18"/>
              </w:rPr>
              <w:t>6,771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3F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3FF"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400"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401" w14:textId="77777777" w:rsidR="00996AD7" w:rsidRDefault="00D96458">
            <w:pPr>
              <w:jc w:val="right"/>
              <w:textAlignment w:val="bottom"/>
            </w:pPr>
            <w:r>
              <w:rPr>
                <w:rFonts w:ascii="Arial" w:eastAsia="宋体" w:hAnsi="Arial" w:cs="Arial"/>
                <w:b/>
                <w:bCs/>
                <w:color w:val="262626"/>
                <w:sz w:val="18"/>
                <w:szCs w:val="18"/>
              </w:rPr>
              <w:t>4,488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40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03"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404"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405" w14:textId="77777777" w:rsidR="00996AD7" w:rsidRDefault="00D96458">
            <w:pPr>
              <w:jc w:val="right"/>
              <w:textAlignment w:val="bottom"/>
            </w:pPr>
            <w:r>
              <w:rPr>
                <w:rFonts w:ascii="Arial" w:eastAsia="宋体" w:hAnsi="Arial" w:cs="Arial"/>
                <w:b/>
                <w:bCs/>
                <w:color w:val="0068B5"/>
                <w:sz w:val="18"/>
                <w:szCs w:val="18"/>
              </w:rPr>
              <w:t>14,849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40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07"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408"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409" w14:textId="77777777" w:rsidR="00996AD7" w:rsidRDefault="00D96458">
            <w:pPr>
              <w:jc w:val="right"/>
              <w:textAlignment w:val="bottom"/>
            </w:pPr>
            <w:r>
              <w:rPr>
                <w:rFonts w:ascii="Arial" w:eastAsia="宋体" w:hAnsi="Arial" w:cs="Arial"/>
                <w:b/>
                <w:bCs/>
                <w:color w:val="262626"/>
                <w:sz w:val="18"/>
                <w:szCs w:val="18"/>
              </w:rPr>
              <w:t>15,382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40A" w14:textId="77777777" w:rsidR="00996AD7" w:rsidRDefault="00996AD7">
            <w:pPr>
              <w:jc w:val="right"/>
              <w:rPr>
                <w:rFonts w:ascii="宋体"/>
              </w:rPr>
            </w:pPr>
          </w:p>
        </w:tc>
      </w:tr>
    </w:tbl>
    <w:p w14:paraId="39D9740C" w14:textId="77777777" w:rsidR="00996AD7" w:rsidRDefault="00D96458">
      <w:pPr>
        <w:spacing w:before="20" w:after="180"/>
      </w:pPr>
      <w:r>
        <w:rPr>
          <w:rFonts w:ascii="Arial" w:eastAsia="宋体" w:hAnsi="Arial" w:cs="Arial"/>
          <w:i/>
          <w:iCs/>
          <w:color w:val="262626"/>
          <w:sz w:val="16"/>
          <w:szCs w:val="16"/>
        </w:rPr>
        <w:t xml:space="preserve">See accompanying notes. </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60"/>
        <w:gridCol w:w="3917"/>
        <w:gridCol w:w="36"/>
        <w:gridCol w:w="60"/>
        <w:gridCol w:w="1969"/>
        <w:gridCol w:w="36"/>
      </w:tblGrid>
      <w:tr w:rsidR="00996AD7" w14:paraId="39D97419" w14:textId="77777777">
        <w:tc>
          <w:tcPr>
            <w:tcW w:w="50" w:type="pct"/>
            <w:shd w:val="clear" w:color="auto" w:fill="auto"/>
            <w:vAlign w:val="bottom"/>
          </w:tcPr>
          <w:p w14:paraId="39D9740D" w14:textId="77777777" w:rsidR="00996AD7" w:rsidRDefault="00996AD7">
            <w:pPr>
              <w:rPr>
                <w:rFonts w:ascii="宋体"/>
              </w:rPr>
            </w:pPr>
          </w:p>
        </w:tc>
        <w:tc>
          <w:tcPr>
            <w:tcW w:w="238" w:type="pct"/>
            <w:shd w:val="clear" w:color="auto" w:fill="auto"/>
            <w:vAlign w:val="bottom"/>
          </w:tcPr>
          <w:p w14:paraId="39D9740E" w14:textId="77777777" w:rsidR="00996AD7" w:rsidRDefault="00996AD7">
            <w:pPr>
              <w:rPr>
                <w:rFonts w:ascii="宋体"/>
              </w:rPr>
            </w:pPr>
          </w:p>
        </w:tc>
        <w:tc>
          <w:tcPr>
            <w:tcW w:w="5" w:type="pct"/>
            <w:shd w:val="clear" w:color="auto" w:fill="auto"/>
            <w:vAlign w:val="bottom"/>
          </w:tcPr>
          <w:p w14:paraId="39D9740F" w14:textId="77777777" w:rsidR="00996AD7" w:rsidRDefault="00996AD7">
            <w:pPr>
              <w:rPr>
                <w:rFonts w:ascii="宋体"/>
              </w:rPr>
            </w:pPr>
          </w:p>
        </w:tc>
        <w:tc>
          <w:tcPr>
            <w:tcW w:w="50" w:type="pct"/>
            <w:shd w:val="clear" w:color="auto" w:fill="auto"/>
            <w:vAlign w:val="bottom"/>
          </w:tcPr>
          <w:p w14:paraId="39D97410" w14:textId="77777777" w:rsidR="00996AD7" w:rsidRDefault="00996AD7">
            <w:pPr>
              <w:rPr>
                <w:rFonts w:ascii="宋体"/>
              </w:rPr>
            </w:pPr>
          </w:p>
        </w:tc>
        <w:tc>
          <w:tcPr>
            <w:tcW w:w="983" w:type="pct"/>
            <w:shd w:val="clear" w:color="auto" w:fill="auto"/>
            <w:vAlign w:val="bottom"/>
          </w:tcPr>
          <w:p w14:paraId="39D97411" w14:textId="77777777" w:rsidR="00996AD7" w:rsidRDefault="00996AD7">
            <w:pPr>
              <w:rPr>
                <w:rFonts w:ascii="宋体"/>
              </w:rPr>
            </w:pPr>
          </w:p>
        </w:tc>
        <w:tc>
          <w:tcPr>
            <w:tcW w:w="5" w:type="pct"/>
            <w:shd w:val="clear" w:color="auto" w:fill="auto"/>
            <w:vAlign w:val="bottom"/>
          </w:tcPr>
          <w:p w14:paraId="39D97412" w14:textId="77777777" w:rsidR="00996AD7" w:rsidRDefault="00996AD7">
            <w:pPr>
              <w:rPr>
                <w:rFonts w:ascii="宋体"/>
              </w:rPr>
            </w:pPr>
          </w:p>
        </w:tc>
        <w:tc>
          <w:tcPr>
            <w:tcW w:w="50" w:type="pct"/>
            <w:shd w:val="clear" w:color="auto" w:fill="auto"/>
            <w:vAlign w:val="bottom"/>
          </w:tcPr>
          <w:p w14:paraId="39D97413" w14:textId="77777777" w:rsidR="00996AD7" w:rsidRDefault="00996AD7">
            <w:pPr>
              <w:rPr>
                <w:rFonts w:ascii="宋体"/>
              </w:rPr>
            </w:pPr>
          </w:p>
        </w:tc>
        <w:tc>
          <w:tcPr>
            <w:tcW w:w="2363" w:type="pct"/>
            <w:shd w:val="clear" w:color="auto" w:fill="auto"/>
            <w:vAlign w:val="bottom"/>
          </w:tcPr>
          <w:p w14:paraId="39D97414" w14:textId="77777777" w:rsidR="00996AD7" w:rsidRDefault="00996AD7">
            <w:pPr>
              <w:rPr>
                <w:rFonts w:ascii="宋体"/>
              </w:rPr>
            </w:pPr>
          </w:p>
        </w:tc>
        <w:tc>
          <w:tcPr>
            <w:tcW w:w="5" w:type="pct"/>
            <w:shd w:val="clear" w:color="auto" w:fill="auto"/>
            <w:vAlign w:val="bottom"/>
          </w:tcPr>
          <w:p w14:paraId="39D97415" w14:textId="77777777" w:rsidR="00996AD7" w:rsidRDefault="00996AD7">
            <w:pPr>
              <w:rPr>
                <w:rFonts w:ascii="宋体"/>
              </w:rPr>
            </w:pPr>
          </w:p>
        </w:tc>
        <w:tc>
          <w:tcPr>
            <w:tcW w:w="50" w:type="pct"/>
            <w:shd w:val="clear" w:color="auto" w:fill="auto"/>
            <w:vAlign w:val="bottom"/>
          </w:tcPr>
          <w:p w14:paraId="39D97416" w14:textId="77777777" w:rsidR="00996AD7" w:rsidRDefault="00996AD7">
            <w:pPr>
              <w:rPr>
                <w:rFonts w:ascii="宋体"/>
              </w:rPr>
            </w:pPr>
          </w:p>
        </w:tc>
        <w:tc>
          <w:tcPr>
            <w:tcW w:w="1195" w:type="pct"/>
            <w:shd w:val="clear" w:color="auto" w:fill="auto"/>
            <w:vAlign w:val="bottom"/>
          </w:tcPr>
          <w:p w14:paraId="39D97417" w14:textId="77777777" w:rsidR="00996AD7" w:rsidRDefault="00996AD7">
            <w:pPr>
              <w:rPr>
                <w:rFonts w:ascii="宋体"/>
              </w:rPr>
            </w:pPr>
          </w:p>
        </w:tc>
        <w:tc>
          <w:tcPr>
            <w:tcW w:w="5" w:type="pct"/>
            <w:shd w:val="clear" w:color="auto" w:fill="auto"/>
            <w:vAlign w:val="bottom"/>
          </w:tcPr>
          <w:p w14:paraId="39D97418" w14:textId="77777777" w:rsidR="00996AD7" w:rsidRDefault="00996AD7">
            <w:pPr>
              <w:rPr>
                <w:rFonts w:ascii="宋体"/>
              </w:rPr>
            </w:pPr>
          </w:p>
        </w:tc>
      </w:tr>
      <w:tr w:rsidR="00996AD7" w14:paraId="39D9741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41A"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9F" wp14:editId="39D9A3A0">
                  <wp:extent cx="304800" cy="304800"/>
                  <wp:effectExtent l="0" t="0" r="0" b="0"/>
                  <wp:docPr id="110" name="图片 4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7"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41B"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741C" w14:textId="77777777" w:rsidR="00996AD7" w:rsidRDefault="00D96458">
            <w:pPr>
              <w:textAlignment w:val="center"/>
            </w:pPr>
            <w:r>
              <w:rPr>
                <w:rFonts w:ascii="Arial" w:eastAsia="宋体" w:hAnsi="Arial" w:cs="Arial"/>
                <w:color w:val="262626"/>
                <w:sz w:val="16"/>
                <w:szCs w:val="16"/>
              </w:rPr>
              <w:t>  Consolidated Condensed Statements of Comprehensive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41D" w14:textId="77777777" w:rsidR="00996AD7" w:rsidRDefault="00D96458">
            <w:pPr>
              <w:jc w:val="right"/>
              <w:textAlignment w:val="center"/>
            </w:pPr>
            <w:r>
              <w:rPr>
                <w:rFonts w:ascii="Arial" w:eastAsia="宋体" w:hAnsi="Arial" w:cs="Arial"/>
                <w:color w:val="262626"/>
                <w:sz w:val="16"/>
                <w:szCs w:val="16"/>
              </w:rPr>
              <w:t>4</w:t>
            </w:r>
          </w:p>
        </w:tc>
      </w:tr>
    </w:tbl>
    <w:p w14:paraId="39D9741F" w14:textId="77777777" w:rsidR="00996AD7" w:rsidRDefault="00D96458">
      <w:r>
        <w:pict w14:anchorId="39D9A3A1">
          <v:rect id="_x0000_i1030" style="width:415.3pt;height:1.5pt" o:hralign="center" o:hrstd="t" o:hr="t" fillcolor="#a0a0a0" stroked="f"/>
        </w:pict>
      </w:r>
    </w:p>
    <w:p w14:paraId="39D97420" w14:textId="77777777" w:rsidR="00996AD7" w:rsidRDefault="00D96458">
      <w:pPr>
        <w:spacing w:after="180"/>
        <w:jc w:val="right"/>
      </w:pPr>
      <w:hyperlink r:id="rId31" w:anchor="i94e6cc3aa83643b8b968bd5bab038338_7" w:history="1">
        <w:r>
          <w:rPr>
            <w:rStyle w:val="a5"/>
            <w:rFonts w:ascii="Arial" w:eastAsia="宋体" w:hAnsi="Arial" w:cs="Arial"/>
            <w:b/>
            <w:bCs/>
            <w:color w:val="0068B5"/>
            <w:sz w:val="16"/>
            <w:szCs w:val="16"/>
          </w:rPr>
          <w:t>Table of Contents</w:t>
        </w:r>
      </w:hyperlink>
    </w:p>
    <w:p w14:paraId="39D97421"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96AD7" w14:paraId="39D97428" w14:textId="77777777">
        <w:tc>
          <w:tcPr>
            <w:tcW w:w="50" w:type="pct"/>
            <w:shd w:val="clear" w:color="auto" w:fill="auto"/>
            <w:vAlign w:val="bottom"/>
          </w:tcPr>
          <w:p w14:paraId="39D97422" w14:textId="77777777" w:rsidR="00996AD7" w:rsidRDefault="00996AD7">
            <w:pPr>
              <w:rPr>
                <w:rFonts w:ascii="宋体"/>
              </w:rPr>
            </w:pPr>
          </w:p>
        </w:tc>
        <w:tc>
          <w:tcPr>
            <w:tcW w:w="4870" w:type="pct"/>
            <w:shd w:val="clear" w:color="auto" w:fill="auto"/>
            <w:vAlign w:val="bottom"/>
          </w:tcPr>
          <w:p w14:paraId="39D97423" w14:textId="77777777" w:rsidR="00996AD7" w:rsidRDefault="00996AD7">
            <w:pPr>
              <w:rPr>
                <w:rFonts w:ascii="宋体"/>
              </w:rPr>
            </w:pPr>
          </w:p>
        </w:tc>
        <w:tc>
          <w:tcPr>
            <w:tcW w:w="5" w:type="pct"/>
            <w:shd w:val="clear" w:color="auto" w:fill="auto"/>
            <w:vAlign w:val="bottom"/>
          </w:tcPr>
          <w:p w14:paraId="39D97424" w14:textId="77777777" w:rsidR="00996AD7" w:rsidRDefault="00996AD7">
            <w:pPr>
              <w:rPr>
                <w:rFonts w:ascii="宋体"/>
              </w:rPr>
            </w:pPr>
          </w:p>
        </w:tc>
        <w:tc>
          <w:tcPr>
            <w:tcW w:w="5" w:type="pct"/>
            <w:shd w:val="clear" w:color="auto" w:fill="auto"/>
            <w:vAlign w:val="bottom"/>
          </w:tcPr>
          <w:p w14:paraId="39D97425" w14:textId="77777777" w:rsidR="00996AD7" w:rsidRDefault="00996AD7">
            <w:pPr>
              <w:rPr>
                <w:rFonts w:ascii="宋体"/>
              </w:rPr>
            </w:pPr>
          </w:p>
        </w:tc>
        <w:tc>
          <w:tcPr>
            <w:tcW w:w="64" w:type="pct"/>
            <w:shd w:val="clear" w:color="auto" w:fill="auto"/>
            <w:vAlign w:val="bottom"/>
          </w:tcPr>
          <w:p w14:paraId="39D97426" w14:textId="77777777" w:rsidR="00996AD7" w:rsidRDefault="00996AD7">
            <w:pPr>
              <w:rPr>
                <w:rFonts w:ascii="宋体"/>
              </w:rPr>
            </w:pPr>
          </w:p>
        </w:tc>
        <w:tc>
          <w:tcPr>
            <w:tcW w:w="5" w:type="pct"/>
            <w:shd w:val="clear" w:color="auto" w:fill="auto"/>
            <w:vAlign w:val="bottom"/>
          </w:tcPr>
          <w:p w14:paraId="39D97427" w14:textId="77777777" w:rsidR="00996AD7" w:rsidRDefault="00996AD7">
            <w:pPr>
              <w:rPr>
                <w:rFonts w:ascii="宋体"/>
              </w:rPr>
            </w:pPr>
          </w:p>
        </w:tc>
      </w:tr>
      <w:tr w:rsidR="00996AD7" w14:paraId="39D9742B" w14:textId="77777777">
        <w:tc>
          <w:tcPr>
            <w:tcW w:w="0" w:type="auto"/>
            <w:gridSpan w:val="3"/>
            <w:shd w:val="clear" w:color="auto" w:fill="004A86"/>
            <w:tcMar>
              <w:top w:w="40" w:type="dxa"/>
              <w:left w:w="20" w:type="dxa"/>
              <w:bottom w:w="40" w:type="dxa"/>
              <w:right w:w="20" w:type="dxa"/>
            </w:tcMar>
            <w:vAlign w:val="center"/>
          </w:tcPr>
          <w:p w14:paraId="39D97429" w14:textId="77777777" w:rsidR="00996AD7" w:rsidRDefault="00D96458">
            <w:pPr>
              <w:textAlignment w:val="center"/>
            </w:pPr>
            <w:r>
              <w:rPr>
                <w:rFonts w:ascii="Arial" w:eastAsia="宋体" w:hAnsi="Arial" w:cs="Arial"/>
                <w:color w:val="FFFFFF"/>
                <w:sz w:val="36"/>
                <w:szCs w:val="36"/>
              </w:rPr>
              <w:t>Consolidated Condensed Balance Sheets</w:t>
            </w:r>
          </w:p>
        </w:tc>
        <w:tc>
          <w:tcPr>
            <w:tcW w:w="0" w:type="auto"/>
            <w:gridSpan w:val="3"/>
            <w:shd w:val="clear" w:color="auto" w:fill="auto"/>
            <w:tcMar>
              <w:top w:w="0" w:type="dxa"/>
              <w:left w:w="20" w:type="dxa"/>
              <w:bottom w:w="0" w:type="dxa"/>
              <w:right w:w="20" w:type="dxa"/>
            </w:tcMar>
            <w:vAlign w:val="bottom"/>
          </w:tcPr>
          <w:p w14:paraId="39D9742A" w14:textId="77777777" w:rsidR="00996AD7" w:rsidRDefault="00996AD7">
            <w:pPr>
              <w:rPr>
                <w:rFonts w:ascii="宋体"/>
              </w:rPr>
            </w:pPr>
          </w:p>
        </w:tc>
      </w:tr>
      <w:tr w:rsidR="00996AD7" w14:paraId="39D9742E" w14:textId="77777777">
        <w:trPr>
          <w:trHeight w:val="160"/>
        </w:trPr>
        <w:tc>
          <w:tcPr>
            <w:tcW w:w="0" w:type="auto"/>
            <w:gridSpan w:val="3"/>
            <w:shd w:val="clear" w:color="auto" w:fill="auto"/>
            <w:tcMar>
              <w:top w:w="0" w:type="dxa"/>
              <w:left w:w="20" w:type="dxa"/>
              <w:bottom w:w="0" w:type="dxa"/>
              <w:right w:w="20" w:type="dxa"/>
            </w:tcMar>
            <w:vAlign w:val="bottom"/>
          </w:tcPr>
          <w:p w14:paraId="39D9742C" w14:textId="77777777" w:rsidR="00996AD7" w:rsidRDefault="00996AD7">
            <w:pPr>
              <w:rPr>
                <w:rFonts w:ascii="宋体"/>
              </w:rPr>
            </w:pPr>
          </w:p>
        </w:tc>
        <w:tc>
          <w:tcPr>
            <w:tcW w:w="0" w:type="auto"/>
            <w:gridSpan w:val="3"/>
            <w:shd w:val="clear" w:color="auto" w:fill="00A3F6"/>
            <w:tcMar>
              <w:top w:w="0" w:type="dxa"/>
              <w:left w:w="20" w:type="dxa"/>
              <w:bottom w:w="0" w:type="dxa"/>
              <w:right w:w="20" w:type="dxa"/>
            </w:tcMar>
            <w:vAlign w:val="bottom"/>
          </w:tcPr>
          <w:p w14:paraId="39D9742D" w14:textId="77777777" w:rsidR="00996AD7" w:rsidRDefault="00996AD7">
            <w:pPr>
              <w:rPr>
                <w:rFonts w:ascii="宋体"/>
              </w:rPr>
            </w:pPr>
          </w:p>
        </w:tc>
      </w:tr>
    </w:tbl>
    <w:p w14:paraId="39D9742F" w14:textId="77777777" w:rsidR="00996AD7" w:rsidRDefault="00996AD7">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2"/>
        <w:gridCol w:w="6087"/>
        <w:gridCol w:w="41"/>
        <w:gridCol w:w="36"/>
        <w:gridCol w:w="36"/>
        <w:gridCol w:w="36"/>
        <w:gridCol w:w="122"/>
        <w:gridCol w:w="864"/>
        <w:gridCol w:w="37"/>
        <w:gridCol w:w="36"/>
        <w:gridCol w:w="36"/>
        <w:gridCol w:w="36"/>
        <w:gridCol w:w="121"/>
        <w:gridCol w:w="758"/>
        <w:gridCol w:w="36"/>
      </w:tblGrid>
      <w:tr w:rsidR="00996AD7" w14:paraId="39D9743F" w14:textId="77777777">
        <w:tc>
          <w:tcPr>
            <w:tcW w:w="50" w:type="pct"/>
            <w:shd w:val="clear" w:color="auto" w:fill="auto"/>
            <w:vAlign w:val="bottom"/>
          </w:tcPr>
          <w:p w14:paraId="39D97430" w14:textId="77777777" w:rsidR="00996AD7" w:rsidRDefault="00996AD7">
            <w:pPr>
              <w:rPr>
                <w:rFonts w:ascii="宋体"/>
              </w:rPr>
            </w:pPr>
          </w:p>
        </w:tc>
        <w:tc>
          <w:tcPr>
            <w:tcW w:w="3686" w:type="pct"/>
            <w:shd w:val="clear" w:color="auto" w:fill="auto"/>
            <w:vAlign w:val="bottom"/>
          </w:tcPr>
          <w:p w14:paraId="39D97431" w14:textId="77777777" w:rsidR="00996AD7" w:rsidRDefault="00996AD7">
            <w:pPr>
              <w:rPr>
                <w:rFonts w:ascii="宋体"/>
              </w:rPr>
            </w:pPr>
          </w:p>
        </w:tc>
        <w:tc>
          <w:tcPr>
            <w:tcW w:w="5" w:type="pct"/>
            <w:shd w:val="clear" w:color="auto" w:fill="auto"/>
            <w:vAlign w:val="bottom"/>
          </w:tcPr>
          <w:p w14:paraId="39D97432" w14:textId="77777777" w:rsidR="00996AD7" w:rsidRDefault="00996AD7">
            <w:pPr>
              <w:rPr>
                <w:rFonts w:ascii="宋体"/>
              </w:rPr>
            </w:pPr>
          </w:p>
        </w:tc>
        <w:tc>
          <w:tcPr>
            <w:tcW w:w="5" w:type="pct"/>
            <w:shd w:val="clear" w:color="auto" w:fill="auto"/>
            <w:vAlign w:val="bottom"/>
          </w:tcPr>
          <w:p w14:paraId="39D97433" w14:textId="77777777" w:rsidR="00996AD7" w:rsidRDefault="00996AD7">
            <w:pPr>
              <w:rPr>
                <w:rFonts w:ascii="宋体"/>
              </w:rPr>
            </w:pPr>
          </w:p>
        </w:tc>
        <w:tc>
          <w:tcPr>
            <w:tcW w:w="24" w:type="pct"/>
            <w:shd w:val="clear" w:color="auto" w:fill="auto"/>
            <w:vAlign w:val="bottom"/>
          </w:tcPr>
          <w:p w14:paraId="39D97434" w14:textId="77777777" w:rsidR="00996AD7" w:rsidRDefault="00996AD7">
            <w:pPr>
              <w:rPr>
                <w:rFonts w:ascii="宋体"/>
              </w:rPr>
            </w:pPr>
          </w:p>
        </w:tc>
        <w:tc>
          <w:tcPr>
            <w:tcW w:w="5" w:type="pct"/>
            <w:shd w:val="clear" w:color="auto" w:fill="auto"/>
            <w:vAlign w:val="bottom"/>
          </w:tcPr>
          <w:p w14:paraId="39D97435" w14:textId="77777777" w:rsidR="00996AD7" w:rsidRDefault="00996AD7">
            <w:pPr>
              <w:rPr>
                <w:rFonts w:ascii="宋体"/>
              </w:rPr>
            </w:pPr>
          </w:p>
        </w:tc>
        <w:tc>
          <w:tcPr>
            <w:tcW w:w="50" w:type="pct"/>
            <w:shd w:val="clear" w:color="auto" w:fill="auto"/>
            <w:vAlign w:val="bottom"/>
          </w:tcPr>
          <w:p w14:paraId="39D97436" w14:textId="77777777" w:rsidR="00996AD7" w:rsidRDefault="00996AD7">
            <w:pPr>
              <w:rPr>
                <w:rFonts w:ascii="宋体"/>
              </w:rPr>
            </w:pPr>
          </w:p>
        </w:tc>
        <w:tc>
          <w:tcPr>
            <w:tcW w:w="540" w:type="pct"/>
            <w:shd w:val="clear" w:color="auto" w:fill="auto"/>
            <w:vAlign w:val="bottom"/>
          </w:tcPr>
          <w:p w14:paraId="39D97437" w14:textId="77777777" w:rsidR="00996AD7" w:rsidRDefault="00996AD7">
            <w:pPr>
              <w:rPr>
                <w:rFonts w:ascii="宋体"/>
              </w:rPr>
            </w:pPr>
          </w:p>
        </w:tc>
        <w:tc>
          <w:tcPr>
            <w:tcW w:w="5" w:type="pct"/>
            <w:shd w:val="clear" w:color="auto" w:fill="auto"/>
            <w:vAlign w:val="bottom"/>
          </w:tcPr>
          <w:p w14:paraId="39D97438" w14:textId="77777777" w:rsidR="00996AD7" w:rsidRDefault="00996AD7">
            <w:pPr>
              <w:rPr>
                <w:rFonts w:ascii="宋体"/>
              </w:rPr>
            </w:pPr>
          </w:p>
        </w:tc>
        <w:tc>
          <w:tcPr>
            <w:tcW w:w="5" w:type="pct"/>
            <w:shd w:val="clear" w:color="auto" w:fill="auto"/>
            <w:vAlign w:val="bottom"/>
          </w:tcPr>
          <w:p w14:paraId="39D97439" w14:textId="77777777" w:rsidR="00996AD7" w:rsidRDefault="00996AD7">
            <w:pPr>
              <w:rPr>
                <w:rFonts w:ascii="宋体"/>
              </w:rPr>
            </w:pPr>
          </w:p>
        </w:tc>
        <w:tc>
          <w:tcPr>
            <w:tcW w:w="24" w:type="pct"/>
            <w:shd w:val="clear" w:color="auto" w:fill="auto"/>
            <w:vAlign w:val="bottom"/>
          </w:tcPr>
          <w:p w14:paraId="39D9743A" w14:textId="77777777" w:rsidR="00996AD7" w:rsidRDefault="00996AD7">
            <w:pPr>
              <w:rPr>
                <w:rFonts w:ascii="宋体"/>
              </w:rPr>
            </w:pPr>
          </w:p>
        </w:tc>
        <w:tc>
          <w:tcPr>
            <w:tcW w:w="5" w:type="pct"/>
            <w:shd w:val="clear" w:color="auto" w:fill="auto"/>
            <w:vAlign w:val="bottom"/>
          </w:tcPr>
          <w:p w14:paraId="39D9743B" w14:textId="77777777" w:rsidR="00996AD7" w:rsidRDefault="00996AD7">
            <w:pPr>
              <w:rPr>
                <w:rFonts w:ascii="宋体"/>
              </w:rPr>
            </w:pPr>
          </w:p>
        </w:tc>
        <w:tc>
          <w:tcPr>
            <w:tcW w:w="50" w:type="pct"/>
            <w:shd w:val="clear" w:color="auto" w:fill="auto"/>
            <w:vAlign w:val="bottom"/>
          </w:tcPr>
          <w:p w14:paraId="39D9743C" w14:textId="77777777" w:rsidR="00996AD7" w:rsidRDefault="00996AD7">
            <w:pPr>
              <w:rPr>
                <w:rFonts w:ascii="宋体"/>
              </w:rPr>
            </w:pPr>
          </w:p>
        </w:tc>
        <w:tc>
          <w:tcPr>
            <w:tcW w:w="540" w:type="pct"/>
            <w:shd w:val="clear" w:color="auto" w:fill="auto"/>
            <w:vAlign w:val="bottom"/>
          </w:tcPr>
          <w:p w14:paraId="39D9743D" w14:textId="77777777" w:rsidR="00996AD7" w:rsidRDefault="00996AD7">
            <w:pPr>
              <w:rPr>
                <w:rFonts w:ascii="宋体"/>
              </w:rPr>
            </w:pPr>
          </w:p>
        </w:tc>
        <w:tc>
          <w:tcPr>
            <w:tcW w:w="5" w:type="pct"/>
            <w:shd w:val="clear" w:color="auto" w:fill="auto"/>
            <w:vAlign w:val="bottom"/>
          </w:tcPr>
          <w:p w14:paraId="39D9743E" w14:textId="77777777" w:rsidR="00996AD7" w:rsidRDefault="00996AD7">
            <w:pPr>
              <w:rPr>
                <w:rFonts w:ascii="宋体"/>
              </w:rPr>
            </w:pPr>
          </w:p>
        </w:tc>
      </w:tr>
      <w:tr w:rsidR="00996AD7" w14:paraId="39D97445" w14:textId="77777777">
        <w:tc>
          <w:tcPr>
            <w:tcW w:w="0" w:type="auto"/>
            <w:gridSpan w:val="3"/>
            <w:shd w:val="clear" w:color="auto" w:fill="auto"/>
            <w:tcMar>
              <w:top w:w="40" w:type="dxa"/>
              <w:left w:w="20" w:type="dxa"/>
              <w:bottom w:w="40" w:type="dxa"/>
              <w:right w:w="20" w:type="dxa"/>
            </w:tcMar>
            <w:vAlign w:val="bottom"/>
          </w:tcPr>
          <w:p w14:paraId="39D97440" w14:textId="77777777" w:rsidR="00996AD7" w:rsidRDefault="00D96458">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39D97441"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7442"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39D97443"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7444" w14:textId="77777777" w:rsidR="00996AD7" w:rsidRDefault="00D96458">
            <w:pPr>
              <w:jc w:val="center"/>
              <w:textAlignment w:val="bottom"/>
            </w:pPr>
            <w:r>
              <w:rPr>
                <w:rFonts w:ascii="Arial" w:eastAsia="宋体" w:hAnsi="Arial" w:cs="Arial"/>
                <w:b/>
                <w:bCs/>
                <w:color w:val="262626"/>
                <w:sz w:val="18"/>
                <w:szCs w:val="18"/>
              </w:rPr>
              <w:t>Dec 26, 2020</w:t>
            </w:r>
          </w:p>
        </w:tc>
      </w:tr>
      <w:tr w:rsidR="00996AD7" w14:paraId="39D9744B"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44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47"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7448" w14:textId="77777777" w:rsidR="00996AD7" w:rsidRDefault="00D96458">
            <w:pPr>
              <w:jc w:val="center"/>
              <w:textAlignment w:val="bottom"/>
            </w:pPr>
            <w:r>
              <w:rPr>
                <w:rFonts w:ascii="Arial" w:eastAsia="宋体" w:hAnsi="Arial" w:cs="Arial"/>
                <w:color w:val="262626"/>
                <w:sz w:val="18"/>
                <w:szCs w:val="18"/>
              </w:rPr>
              <w:t>(unaudited)</w:t>
            </w:r>
          </w:p>
        </w:tc>
        <w:tc>
          <w:tcPr>
            <w:tcW w:w="0" w:type="auto"/>
            <w:gridSpan w:val="3"/>
            <w:shd w:val="clear" w:color="auto" w:fill="auto"/>
            <w:tcMar>
              <w:top w:w="0" w:type="dxa"/>
              <w:left w:w="20" w:type="dxa"/>
              <w:bottom w:w="0" w:type="dxa"/>
              <w:right w:w="20" w:type="dxa"/>
            </w:tcMar>
            <w:vAlign w:val="bottom"/>
          </w:tcPr>
          <w:p w14:paraId="39D97449"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44A" w14:textId="77777777" w:rsidR="00996AD7" w:rsidRDefault="00996AD7">
            <w:pPr>
              <w:rPr>
                <w:rFonts w:ascii="宋体"/>
              </w:rPr>
            </w:pPr>
          </w:p>
        </w:tc>
      </w:tr>
      <w:tr w:rsidR="00996AD7" w14:paraId="39D97451" w14:textId="77777777">
        <w:tc>
          <w:tcPr>
            <w:tcW w:w="0" w:type="auto"/>
            <w:gridSpan w:val="3"/>
            <w:shd w:val="clear" w:color="auto" w:fill="auto"/>
            <w:tcMar>
              <w:top w:w="40" w:type="dxa"/>
              <w:left w:w="20" w:type="dxa"/>
              <w:bottom w:w="40" w:type="dxa"/>
              <w:right w:w="20" w:type="dxa"/>
            </w:tcMar>
          </w:tcPr>
          <w:p w14:paraId="39D9744C" w14:textId="77777777" w:rsidR="00996AD7" w:rsidRDefault="00D96458">
            <w:pPr>
              <w:textAlignment w:val="top"/>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39D9744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4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4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50" w14:textId="77777777" w:rsidR="00996AD7" w:rsidRDefault="00996AD7">
            <w:pPr>
              <w:rPr>
                <w:rFonts w:ascii="宋体"/>
              </w:rPr>
            </w:pPr>
          </w:p>
        </w:tc>
      </w:tr>
      <w:tr w:rsidR="00996AD7" w14:paraId="39D97457" w14:textId="77777777">
        <w:tc>
          <w:tcPr>
            <w:tcW w:w="0" w:type="auto"/>
            <w:gridSpan w:val="3"/>
            <w:shd w:val="clear" w:color="auto" w:fill="auto"/>
            <w:tcMar>
              <w:top w:w="40" w:type="dxa"/>
              <w:left w:w="20" w:type="dxa"/>
              <w:bottom w:w="40" w:type="dxa"/>
              <w:right w:w="20" w:type="dxa"/>
            </w:tcMar>
          </w:tcPr>
          <w:p w14:paraId="39D97452" w14:textId="77777777" w:rsidR="00996AD7" w:rsidRDefault="00D96458">
            <w:pPr>
              <w:textAlignment w:val="top"/>
            </w:pPr>
            <w:r>
              <w:rPr>
                <w:rFonts w:ascii="Arial" w:eastAsia="宋体" w:hAnsi="Arial" w:cs="Arial"/>
                <w:color w:val="262626"/>
                <w:sz w:val="18"/>
                <w:szCs w:val="18"/>
              </w:rPr>
              <w:t>Current assets:</w:t>
            </w:r>
          </w:p>
        </w:tc>
        <w:tc>
          <w:tcPr>
            <w:tcW w:w="0" w:type="auto"/>
            <w:gridSpan w:val="3"/>
            <w:shd w:val="clear" w:color="auto" w:fill="auto"/>
            <w:tcMar>
              <w:top w:w="0" w:type="dxa"/>
              <w:left w:w="20" w:type="dxa"/>
              <w:bottom w:w="0" w:type="dxa"/>
              <w:right w:w="20" w:type="dxa"/>
            </w:tcMar>
            <w:vAlign w:val="bottom"/>
          </w:tcPr>
          <w:p w14:paraId="39D9745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5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5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56" w14:textId="77777777" w:rsidR="00996AD7" w:rsidRDefault="00996AD7">
            <w:pPr>
              <w:rPr>
                <w:rFonts w:ascii="宋体"/>
              </w:rPr>
            </w:pPr>
          </w:p>
        </w:tc>
      </w:tr>
      <w:tr w:rsidR="00996AD7" w14:paraId="39D97461" w14:textId="77777777">
        <w:tc>
          <w:tcPr>
            <w:tcW w:w="0" w:type="auto"/>
            <w:gridSpan w:val="3"/>
            <w:shd w:val="clear" w:color="auto" w:fill="auto"/>
            <w:tcMar>
              <w:top w:w="40" w:type="dxa"/>
              <w:left w:w="140" w:type="dxa"/>
              <w:bottom w:w="40" w:type="dxa"/>
              <w:right w:w="20" w:type="dxa"/>
            </w:tcMar>
          </w:tcPr>
          <w:p w14:paraId="39D97458" w14:textId="77777777" w:rsidR="00996AD7" w:rsidRDefault="00D96458">
            <w:pPr>
              <w:textAlignment w:val="top"/>
            </w:pPr>
            <w:r>
              <w:rPr>
                <w:rFonts w:ascii="Arial" w:eastAsia="宋体" w:hAnsi="Arial" w:cs="Arial"/>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39D97459"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45A"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745B" w14:textId="77777777" w:rsidR="00996AD7" w:rsidRDefault="00D96458">
            <w:pPr>
              <w:jc w:val="right"/>
              <w:textAlignment w:val="bottom"/>
            </w:pPr>
            <w:r>
              <w:rPr>
                <w:rFonts w:ascii="Arial" w:eastAsia="宋体" w:hAnsi="Arial" w:cs="Arial"/>
                <w:color w:val="0068B5"/>
                <w:sz w:val="18"/>
                <w:szCs w:val="18"/>
              </w:rPr>
              <w:t>7,870 </w:t>
            </w:r>
          </w:p>
        </w:tc>
        <w:tc>
          <w:tcPr>
            <w:tcW w:w="0" w:type="auto"/>
            <w:shd w:val="clear" w:color="auto" w:fill="auto"/>
            <w:tcMar>
              <w:top w:w="40" w:type="dxa"/>
              <w:left w:w="0" w:type="dxa"/>
              <w:bottom w:w="40" w:type="dxa"/>
              <w:right w:w="20" w:type="dxa"/>
            </w:tcMar>
            <w:vAlign w:val="bottom"/>
          </w:tcPr>
          <w:p w14:paraId="39D9745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5D"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45E"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745F" w14:textId="77777777" w:rsidR="00996AD7" w:rsidRDefault="00D96458">
            <w:pPr>
              <w:jc w:val="right"/>
              <w:textAlignment w:val="bottom"/>
            </w:pPr>
            <w:r>
              <w:rPr>
                <w:rFonts w:ascii="Arial" w:eastAsia="宋体" w:hAnsi="Arial" w:cs="Arial"/>
                <w:color w:val="262626"/>
                <w:sz w:val="18"/>
                <w:szCs w:val="18"/>
              </w:rPr>
              <w:t>5,865 </w:t>
            </w:r>
          </w:p>
        </w:tc>
        <w:tc>
          <w:tcPr>
            <w:tcW w:w="0" w:type="auto"/>
            <w:shd w:val="clear" w:color="auto" w:fill="auto"/>
            <w:tcMar>
              <w:top w:w="40" w:type="dxa"/>
              <w:left w:w="0" w:type="dxa"/>
              <w:bottom w:w="40" w:type="dxa"/>
              <w:right w:w="20" w:type="dxa"/>
            </w:tcMar>
            <w:vAlign w:val="bottom"/>
          </w:tcPr>
          <w:p w14:paraId="39D97460" w14:textId="77777777" w:rsidR="00996AD7" w:rsidRDefault="00996AD7">
            <w:pPr>
              <w:jc w:val="right"/>
              <w:rPr>
                <w:rFonts w:ascii="宋体"/>
              </w:rPr>
            </w:pPr>
          </w:p>
        </w:tc>
      </w:tr>
      <w:tr w:rsidR="00996AD7" w14:paraId="39D97469" w14:textId="77777777">
        <w:tc>
          <w:tcPr>
            <w:tcW w:w="0" w:type="auto"/>
            <w:gridSpan w:val="3"/>
            <w:shd w:val="clear" w:color="auto" w:fill="auto"/>
            <w:tcMar>
              <w:top w:w="40" w:type="dxa"/>
              <w:left w:w="140" w:type="dxa"/>
              <w:bottom w:w="40" w:type="dxa"/>
              <w:right w:w="20" w:type="dxa"/>
            </w:tcMar>
          </w:tcPr>
          <w:p w14:paraId="39D97462" w14:textId="77777777" w:rsidR="00996AD7" w:rsidRDefault="00D96458">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39D9746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64" w14:textId="77777777" w:rsidR="00996AD7" w:rsidRDefault="00D96458">
            <w:pPr>
              <w:jc w:val="right"/>
              <w:textAlignment w:val="bottom"/>
            </w:pPr>
            <w:r>
              <w:rPr>
                <w:rFonts w:ascii="Arial" w:eastAsia="宋体" w:hAnsi="Arial" w:cs="Arial"/>
                <w:color w:val="0068B5"/>
                <w:sz w:val="18"/>
                <w:szCs w:val="18"/>
              </w:rPr>
              <w:t>4,004 </w:t>
            </w:r>
          </w:p>
        </w:tc>
        <w:tc>
          <w:tcPr>
            <w:tcW w:w="0" w:type="auto"/>
            <w:shd w:val="clear" w:color="auto" w:fill="auto"/>
            <w:tcMar>
              <w:top w:w="40" w:type="dxa"/>
              <w:left w:w="0" w:type="dxa"/>
              <w:bottom w:w="40" w:type="dxa"/>
              <w:right w:w="20" w:type="dxa"/>
            </w:tcMar>
            <w:vAlign w:val="bottom"/>
          </w:tcPr>
          <w:p w14:paraId="39D9746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6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67" w14:textId="77777777" w:rsidR="00996AD7" w:rsidRDefault="00D96458">
            <w:pPr>
              <w:jc w:val="right"/>
              <w:textAlignment w:val="bottom"/>
            </w:pPr>
            <w:r>
              <w:rPr>
                <w:rFonts w:ascii="Arial" w:eastAsia="宋体" w:hAnsi="Arial" w:cs="Arial"/>
                <w:color w:val="262626"/>
                <w:sz w:val="18"/>
                <w:szCs w:val="18"/>
              </w:rPr>
              <w:t>2,292 </w:t>
            </w:r>
          </w:p>
        </w:tc>
        <w:tc>
          <w:tcPr>
            <w:tcW w:w="0" w:type="auto"/>
            <w:shd w:val="clear" w:color="auto" w:fill="auto"/>
            <w:tcMar>
              <w:top w:w="40" w:type="dxa"/>
              <w:left w:w="0" w:type="dxa"/>
              <w:bottom w:w="40" w:type="dxa"/>
              <w:right w:w="20" w:type="dxa"/>
            </w:tcMar>
            <w:vAlign w:val="bottom"/>
          </w:tcPr>
          <w:p w14:paraId="39D97468" w14:textId="77777777" w:rsidR="00996AD7" w:rsidRDefault="00996AD7">
            <w:pPr>
              <w:jc w:val="right"/>
              <w:rPr>
                <w:rFonts w:ascii="宋体"/>
              </w:rPr>
            </w:pPr>
          </w:p>
        </w:tc>
      </w:tr>
      <w:tr w:rsidR="00996AD7" w14:paraId="39D97471" w14:textId="77777777">
        <w:tc>
          <w:tcPr>
            <w:tcW w:w="0" w:type="auto"/>
            <w:gridSpan w:val="3"/>
            <w:shd w:val="clear" w:color="auto" w:fill="auto"/>
            <w:tcMar>
              <w:top w:w="40" w:type="dxa"/>
              <w:left w:w="140" w:type="dxa"/>
              <w:bottom w:w="40" w:type="dxa"/>
              <w:right w:w="20" w:type="dxa"/>
            </w:tcMar>
          </w:tcPr>
          <w:p w14:paraId="39D9746A" w14:textId="77777777" w:rsidR="00996AD7" w:rsidRDefault="00D96458">
            <w:pPr>
              <w:textAlignment w:val="top"/>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vAlign w:val="bottom"/>
          </w:tcPr>
          <w:p w14:paraId="39D9746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6C" w14:textId="77777777" w:rsidR="00996AD7" w:rsidRDefault="00D96458">
            <w:pPr>
              <w:jc w:val="right"/>
              <w:textAlignment w:val="bottom"/>
            </w:pPr>
            <w:r>
              <w:rPr>
                <w:rFonts w:ascii="Arial" w:eastAsia="宋体" w:hAnsi="Arial" w:cs="Arial"/>
                <w:color w:val="0068B5"/>
                <w:sz w:val="18"/>
                <w:szCs w:val="18"/>
              </w:rPr>
              <w:t>22,761 </w:t>
            </w:r>
          </w:p>
        </w:tc>
        <w:tc>
          <w:tcPr>
            <w:tcW w:w="0" w:type="auto"/>
            <w:shd w:val="clear" w:color="auto" w:fill="auto"/>
            <w:tcMar>
              <w:top w:w="40" w:type="dxa"/>
              <w:left w:w="0" w:type="dxa"/>
              <w:bottom w:w="40" w:type="dxa"/>
              <w:right w:w="20" w:type="dxa"/>
            </w:tcMar>
            <w:vAlign w:val="bottom"/>
          </w:tcPr>
          <w:p w14:paraId="39D9746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6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6F" w14:textId="77777777" w:rsidR="00996AD7" w:rsidRDefault="00D96458">
            <w:pPr>
              <w:jc w:val="right"/>
              <w:textAlignment w:val="bottom"/>
            </w:pPr>
            <w:r>
              <w:rPr>
                <w:rFonts w:ascii="Arial" w:eastAsia="宋体" w:hAnsi="Arial" w:cs="Arial"/>
                <w:color w:val="262626"/>
                <w:sz w:val="18"/>
                <w:szCs w:val="18"/>
              </w:rPr>
              <w:t>15,738 </w:t>
            </w:r>
          </w:p>
        </w:tc>
        <w:tc>
          <w:tcPr>
            <w:tcW w:w="0" w:type="auto"/>
            <w:shd w:val="clear" w:color="auto" w:fill="auto"/>
            <w:tcMar>
              <w:top w:w="40" w:type="dxa"/>
              <w:left w:w="0" w:type="dxa"/>
              <w:bottom w:w="40" w:type="dxa"/>
              <w:right w:w="20" w:type="dxa"/>
            </w:tcMar>
            <w:vAlign w:val="bottom"/>
          </w:tcPr>
          <w:p w14:paraId="39D97470" w14:textId="77777777" w:rsidR="00996AD7" w:rsidRDefault="00996AD7">
            <w:pPr>
              <w:jc w:val="right"/>
              <w:rPr>
                <w:rFonts w:ascii="宋体"/>
              </w:rPr>
            </w:pPr>
          </w:p>
        </w:tc>
      </w:tr>
      <w:tr w:rsidR="00996AD7" w14:paraId="39D97479" w14:textId="77777777">
        <w:tc>
          <w:tcPr>
            <w:tcW w:w="0" w:type="auto"/>
            <w:gridSpan w:val="3"/>
            <w:shd w:val="clear" w:color="auto" w:fill="auto"/>
            <w:tcMar>
              <w:top w:w="40" w:type="dxa"/>
              <w:left w:w="140" w:type="dxa"/>
              <w:bottom w:w="40" w:type="dxa"/>
              <w:right w:w="20" w:type="dxa"/>
            </w:tcMar>
          </w:tcPr>
          <w:p w14:paraId="39D97472" w14:textId="77777777" w:rsidR="00996AD7" w:rsidRDefault="00D96458">
            <w:pPr>
              <w:textAlignment w:val="top"/>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vAlign w:val="bottom"/>
          </w:tcPr>
          <w:p w14:paraId="39D9747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74" w14:textId="77777777" w:rsidR="00996AD7" w:rsidRDefault="00D96458">
            <w:pPr>
              <w:jc w:val="right"/>
              <w:textAlignment w:val="bottom"/>
            </w:pPr>
            <w:r>
              <w:rPr>
                <w:rFonts w:ascii="Arial" w:eastAsia="宋体" w:hAnsi="Arial" w:cs="Arial"/>
                <w:color w:val="0068B5"/>
                <w:sz w:val="18"/>
                <w:szCs w:val="18"/>
              </w:rPr>
              <w:t>8,400 </w:t>
            </w:r>
          </w:p>
        </w:tc>
        <w:tc>
          <w:tcPr>
            <w:tcW w:w="0" w:type="auto"/>
            <w:shd w:val="clear" w:color="auto" w:fill="auto"/>
            <w:tcMar>
              <w:top w:w="40" w:type="dxa"/>
              <w:left w:w="0" w:type="dxa"/>
              <w:bottom w:w="40" w:type="dxa"/>
              <w:right w:w="20" w:type="dxa"/>
            </w:tcMar>
            <w:vAlign w:val="bottom"/>
          </w:tcPr>
          <w:p w14:paraId="39D9747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7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77" w14:textId="77777777" w:rsidR="00996AD7" w:rsidRDefault="00D96458">
            <w:pPr>
              <w:jc w:val="right"/>
              <w:textAlignment w:val="bottom"/>
            </w:pPr>
            <w:r>
              <w:rPr>
                <w:rFonts w:ascii="Arial" w:eastAsia="宋体" w:hAnsi="Arial" w:cs="Arial"/>
                <w:color w:val="262626"/>
                <w:sz w:val="18"/>
                <w:szCs w:val="18"/>
              </w:rPr>
              <w:t>6,782 </w:t>
            </w:r>
          </w:p>
        </w:tc>
        <w:tc>
          <w:tcPr>
            <w:tcW w:w="0" w:type="auto"/>
            <w:shd w:val="clear" w:color="auto" w:fill="auto"/>
            <w:tcMar>
              <w:top w:w="40" w:type="dxa"/>
              <w:left w:w="0" w:type="dxa"/>
              <w:bottom w:w="40" w:type="dxa"/>
              <w:right w:w="20" w:type="dxa"/>
            </w:tcMar>
            <w:vAlign w:val="bottom"/>
          </w:tcPr>
          <w:p w14:paraId="39D97478" w14:textId="77777777" w:rsidR="00996AD7" w:rsidRDefault="00996AD7">
            <w:pPr>
              <w:jc w:val="right"/>
              <w:rPr>
                <w:rFonts w:ascii="宋体"/>
              </w:rPr>
            </w:pPr>
          </w:p>
        </w:tc>
      </w:tr>
      <w:tr w:rsidR="00996AD7" w14:paraId="39D97481" w14:textId="77777777">
        <w:tc>
          <w:tcPr>
            <w:tcW w:w="0" w:type="auto"/>
            <w:gridSpan w:val="3"/>
            <w:shd w:val="clear" w:color="auto" w:fill="auto"/>
            <w:tcMar>
              <w:top w:w="40" w:type="dxa"/>
              <w:left w:w="140" w:type="dxa"/>
              <w:bottom w:w="40" w:type="dxa"/>
              <w:right w:w="20" w:type="dxa"/>
            </w:tcMar>
          </w:tcPr>
          <w:p w14:paraId="39D9747A" w14:textId="77777777" w:rsidR="00996AD7" w:rsidRDefault="00D96458">
            <w:pPr>
              <w:textAlignment w:val="top"/>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39D9747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7C" w14:textId="77777777" w:rsidR="00996AD7" w:rsidRDefault="00D96458">
            <w:pPr>
              <w:jc w:val="right"/>
              <w:textAlignment w:val="bottom"/>
            </w:pPr>
            <w:r>
              <w:rPr>
                <w:rFonts w:ascii="Arial" w:eastAsia="宋体" w:hAnsi="Arial" w:cs="Arial"/>
                <w:color w:val="0068B5"/>
                <w:sz w:val="18"/>
                <w:szCs w:val="18"/>
              </w:rPr>
              <w:t>9,798 </w:t>
            </w:r>
          </w:p>
        </w:tc>
        <w:tc>
          <w:tcPr>
            <w:tcW w:w="0" w:type="auto"/>
            <w:shd w:val="clear" w:color="auto" w:fill="auto"/>
            <w:tcMar>
              <w:top w:w="40" w:type="dxa"/>
              <w:left w:w="0" w:type="dxa"/>
              <w:bottom w:w="40" w:type="dxa"/>
              <w:right w:w="20" w:type="dxa"/>
            </w:tcMar>
            <w:vAlign w:val="bottom"/>
          </w:tcPr>
          <w:p w14:paraId="39D9747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7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7F" w14:textId="77777777" w:rsidR="00996AD7" w:rsidRDefault="00D96458">
            <w:pPr>
              <w:jc w:val="right"/>
              <w:textAlignment w:val="bottom"/>
            </w:pPr>
            <w:r>
              <w:rPr>
                <w:rFonts w:ascii="Arial" w:eastAsia="宋体" w:hAnsi="Arial" w:cs="Arial"/>
                <w:color w:val="262626"/>
                <w:sz w:val="18"/>
                <w:szCs w:val="18"/>
              </w:rPr>
              <w:t>8,427 </w:t>
            </w:r>
          </w:p>
        </w:tc>
        <w:tc>
          <w:tcPr>
            <w:tcW w:w="0" w:type="auto"/>
            <w:shd w:val="clear" w:color="auto" w:fill="auto"/>
            <w:tcMar>
              <w:top w:w="40" w:type="dxa"/>
              <w:left w:w="0" w:type="dxa"/>
              <w:bottom w:w="40" w:type="dxa"/>
              <w:right w:w="20" w:type="dxa"/>
            </w:tcMar>
            <w:vAlign w:val="bottom"/>
          </w:tcPr>
          <w:p w14:paraId="39D97480" w14:textId="77777777" w:rsidR="00996AD7" w:rsidRDefault="00996AD7">
            <w:pPr>
              <w:jc w:val="right"/>
              <w:rPr>
                <w:rFonts w:ascii="宋体"/>
              </w:rPr>
            </w:pPr>
          </w:p>
        </w:tc>
      </w:tr>
      <w:tr w:rsidR="00996AD7" w14:paraId="39D97489" w14:textId="77777777">
        <w:tc>
          <w:tcPr>
            <w:tcW w:w="0" w:type="auto"/>
            <w:gridSpan w:val="3"/>
            <w:shd w:val="clear" w:color="auto" w:fill="auto"/>
            <w:tcMar>
              <w:top w:w="40" w:type="dxa"/>
              <w:left w:w="140" w:type="dxa"/>
              <w:bottom w:w="40" w:type="dxa"/>
              <w:right w:w="20" w:type="dxa"/>
            </w:tcMar>
          </w:tcPr>
          <w:p w14:paraId="39D97482" w14:textId="77777777" w:rsidR="00996AD7" w:rsidRDefault="00D96458">
            <w:pPr>
              <w:textAlignment w:val="top"/>
            </w:pPr>
            <w:r>
              <w:rPr>
                <w:rFonts w:ascii="Arial" w:eastAsia="宋体" w:hAnsi="Arial" w:cs="Arial"/>
                <w:color w:val="262626"/>
                <w:sz w:val="18"/>
                <w:szCs w:val="18"/>
              </w:rPr>
              <w:t>Assets held for sale</w:t>
            </w:r>
          </w:p>
        </w:tc>
        <w:tc>
          <w:tcPr>
            <w:tcW w:w="0" w:type="auto"/>
            <w:gridSpan w:val="3"/>
            <w:shd w:val="clear" w:color="auto" w:fill="auto"/>
            <w:tcMar>
              <w:top w:w="0" w:type="dxa"/>
              <w:left w:w="20" w:type="dxa"/>
              <w:bottom w:w="0" w:type="dxa"/>
              <w:right w:w="20" w:type="dxa"/>
            </w:tcMar>
            <w:vAlign w:val="bottom"/>
          </w:tcPr>
          <w:p w14:paraId="39D9748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84" w14:textId="77777777" w:rsidR="00996AD7" w:rsidRDefault="00D96458">
            <w:pPr>
              <w:jc w:val="right"/>
              <w:textAlignment w:val="bottom"/>
            </w:pPr>
            <w:r>
              <w:rPr>
                <w:rFonts w:ascii="Arial" w:eastAsia="宋体" w:hAnsi="Arial" w:cs="Arial"/>
                <w:color w:val="0068B5"/>
                <w:sz w:val="18"/>
                <w:szCs w:val="18"/>
              </w:rPr>
              <w:t>6,398 </w:t>
            </w:r>
          </w:p>
        </w:tc>
        <w:tc>
          <w:tcPr>
            <w:tcW w:w="0" w:type="auto"/>
            <w:shd w:val="clear" w:color="auto" w:fill="auto"/>
            <w:tcMar>
              <w:top w:w="40" w:type="dxa"/>
              <w:left w:w="0" w:type="dxa"/>
              <w:bottom w:w="40" w:type="dxa"/>
              <w:right w:w="20" w:type="dxa"/>
            </w:tcMar>
            <w:vAlign w:val="bottom"/>
          </w:tcPr>
          <w:p w14:paraId="39D9748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8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87" w14:textId="77777777" w:rsidR="00996AD7" w:rsidRDefault="00D96458">
            <w:pPr>
              <w:jc w:val="right"/>
              <w:textAlignment w:val="bottom"/>
            </w:pPr>
            <w:r>
              <w:rPr>
                <w:rFonts w:ascii="Arial" w:eastAsia="宋体" w:hAnsi="Arial" w:cs="Arial"/>
                <w:color w:val="262626"/>
                <w:sz w:val="18"/>
                <w:szCs w:val="18"/>
              </w:rPr>
              <w:t>5,400 </w:t>
            </w:r>
          </w:p>
        </w:tc>
        <w:tc>
          <w:tcPr>
            <w:tcW w:w="0" w:type="auto"/>
            <w:shd w:val="clear" w:color="auto" w:fill="auto"/>
            <w:tcMar>
              <w:top w:w="40" w:type="dxa"/>
              <w:left w:w="0" w:type="dxa"/>
              <w:bottom w:w="40" w:type="dxa"/>
              <w:right w:w="20" w:type="dxa"/>
            </w:tcMar>
            <w:vAlign w:val="bottom"/>
          </w:tcPr>
          <w:p w14:paraId="39D97488" w14:textId="77777777" w:rsidR="00996AD7" w:rsidRDefault="00996AD7">
            <w:pPr>
              <w:jc w:val="right"/>
              <w:rPr>
                <w:rFonts w:ascii="宋体"/>
              </w:rPr>
            </w:pPr>
          </w:p>
        </w:tc>
      </w:tr>
      <w:tr w:rsidR="00996AD7" w14:paraId="39D97491" w14:textId="77777777">
        <w:tc>
          <w:tcPr>
            <w:tcW w:w="0" w:type="auto"/>
            <w:gridSpan w:val="3"/>
            <w:shd w:val="clear" w:color="auto" w:fill="auto"/>
            <w:tcMar>
              <w:top w:w="40" w:type="dxa"/>
              <w:left w:w="140" w:type="dxa"/>
              <w:bottom w:w="40" w:type="dxa"/>
              <w:right w:w="20" w:type="dxa"/>
            </w:tcMar>
          </w:tcPr>
          <w:p w14:paraId="39D9748A" w14:textId="77777777" w:rsidR="00996AD7" w:rsidRDefault="00D96458">
            <w:pPr>
              <w:textAlignment w:val="top"/>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vAlign w:val="bottom"/>
          </w:tcPr>
          <w:p w14:paraId="39D9748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8C" w14:textId="77777777" w:rsidR="00996AD7" w:rsidRDefault="00D96458">
            <w:pPr>
              <w:jc w:val="right"/>
              <w:textAlignment w:val="bottom"/>
            </w:pPr>
            <w:r>
              <w:rPr>
                <w:rFonts w:ascii="Arial" w:eastAsia="宋体" w:hAnsi="Arial" w:cs="Arial"/>
                <w:color w:val="0068B5"/>
                <w:sz w:val="18"/>
                <w:szCs w:val="18"/>
              </w:rPr>
              <w:t>2,073 </w:t>
            </w:r>
          </w:p>
        </w:tc>
        <w:tc>
          <w:tcPr>
            <w:tcW w:w="0" w:type="auto"/>
            <w:shd w:val="clear" w:color="auto" w:fill="auto"/>
            <w:tcMar>
              <w:top w:w="40" w:type="dxa"/>
              <w:left w:w="0" w:type="dxa"/>
              <w:bottom w:w="40" w:type="dxa"/>
              <w:right w:w="20" w:type="dxa"/>
            </w:tcMar>
            <w:vAlign w:val="bottom"/>
          </w:tcPr>
          <w:p w14:paraId="39D9748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8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8F" w14:textId="77777777" w:rsidR="00996AD7" w:rsidRDefault="00D96458">
            <w:pPr>
              <w:jc w:val="right"/>
              <w:textAlignment w:val="bottom"/>
            </w:pPr>
            <w:r>
              <w:rPr>
                <w:rFonts w:ascii="Arial" w:eastAsia="宋体" w:hAnsi="Arial" w:cs="Arial"/>
                <w:color w:val="262626"/>
                <w:sz w:val="18"/>
                <w:szCs w:val="18"/>
              </w:rPr>
              <w:t>2,745 </w:t>
            </w:r>
          </w:p>
        </w:tc>
        <w:tc>
          <w:tcPr>
            <w:tcW w:w="0" w:type="auto"/>
            <w:shd w:val="clear" w:color="auto" w:fill="auto"/>
            <w:tcMar>
              <w:top w:w="40" w:type="dxa"/>
              <w:left w:w="0" w:type="dxa"/>
              <w:bottom w:w="40" w:type="dxa"/>
              <w:right w:w="20" w:type="dxa"/>
            </w:tcMar>
            <w:vAlign w:val="bottom"/>
          </w:tcPr>
          <w:p w14:paraId="39D97490" w14:textId="77777777" w:rsidR="00996AD7" w:rsidRDefault="00996AD7">
            <w:pPr>
              <w:jc w:val="right"/>
              <w:rPr>
                <w:rFonts w:ascii="宋体"/>
              </w:rPr>
            </w:pPr>
          </w:p>
        </w:tc>
      </w:tr>
      <w:tr w:rsidR="00996AD7" w14:paraId="39D97499" w14:textId="77777777">
        <w:tc>
          <w:tcPr>
            <w:tcW w:w="0" w:type="auto"/>
            <w:gridSpan w:val="3"/>
            <w:shd w:val="clear" w:color="auto" w:fill="auto"/>
            <w:tcMar>
              <w:top w:w="40" w:type="dxa"/>
              <w:left w:w="20" w:type="dxa"/>
              <w:bottom w:w="40" w:type="dxa"/>
              <w:right w:w="20" w:type="dxa"/>
            </w:tcMar>
          </w:tcPr>
          <w:p w14:paraId="39D97492" w14:textId="77777777" w:rsidR="00996AD7" w:rsidRDefault="00D96458">
            <w:pPr>
              <w:textAlignment w:val="top"/>
            </w:pPr>
            <w:r>
              <w:rPr>
                <w:rFonts w:ascii="Arial" w:eastAsia="宋体" w:hAnsi="Arial" w:cs="Arial"/>
                <w:b/>
                <w:bCs/>
                <w:color w:val="262626"/>
                <w:sz w:val="18"/>
                <w:szCs w:val="18"/>
              </w:rPr>
              <w:t>Total current assets</w:t>
            </w:r>
          </w:p>
        </w:tc>
        <w:tc>
          <w:tcPr>
            <w:tcW w:w="0" w:type="auto"/>
            <w:gridSpan w:val="3"/>
            <w:shd w:val="clear" w:color="auto" w:fill="auto"/>
            <w:tcMar>
              <w:top w:w="0" w:type="dxa"/>
              <w:left w:w="20" w:type="dxa"/>
              <w:bottom w:w="0" w:type="dxa"/>
              <w:right w:w="20" w:type="dxa"/>
            </w:tcMar>
            <w:vAlign w:val="bottom"/>
          </w:tcPr>
          <w:p w14:paraId="39D97493"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494" w14:textId="77777777" w:rsidR="00996AD7" w:rsidRDefault="00D96458">
            <w:pPr>
              <w:jc w:val="right"/>
              <w:textAlignment w:val="bottom"/>
            </w:pPr>
            <w:r>
              <w:rPr>
                <w:rFonts w:ascii="Arial" w:eastAsia="宋体" w:hAnsi="Arial" w:cs="Arial"/>
                <w:b/>
                <w:bCs/>
                <w:color w:val="0068B5"/>
                <w:sz w:val="18"/>
                <w:szCs w:val="18"/>
              </w:rPr>
              <w:t>61,304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49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96"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497" w14:textId="77777777" w:rsidR="00996AD7" w:rsidRDefault="00D96458">
            <w:pPr>
              <w:jc w:val="right"/>
              <w:textAlignment w:val="bottom"/>
            </w:pPr>
            <w:r>
              <w:rPr>
                <w:rFonts w:ascii="Arial" w:eastAsia="宋体" w:hAnsi="Arial" w:cs="Arial"/>
                <w:b/>
                <w:bCs/>
                <w:color w:val="262626"/>
                <w:sz w:val="18"/>
                <w:szCs w:val="18"/>
              </w:rPr>
              <w:t>47,249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498" w14:textId="77777777" w:rsidR="00996AD7" w:rsidRDefault="00996AD7">
            <w:pPr>
              <w:jc w:val="right"/>
              <w:rPr>
                <w:rFonts w:ascii="宋体"/>
              </w:rPr>
            </w:pPr>
          </w:p>
        </w:tc>
      </w:tr>
      <w:tr w:rsidR="00996AD7" w14:paraId="39D9749F" w14:textId="77777777">
        <w:trPr>
          <w:trHeight w:val="100"/>
        </w:trPr>
        <w:tc>
          <w:tcPr>
            <w:tcW w:w="0" w:type="auto"/>
            <w:gridSpan w:val="3"/>
            <w:shd w:val="clear" w:color="auto" w:fill="auto"/>
            <w:tcMar>
              <w:top w:w="0" w:type="dxa"/>
              <w:left w:w="20" w:type="dxa"/>
              <w:bottom w:w="0" w:type="dxa"/>
              <w:right w:w="20" w:type="dxa"/>
            </w:tcMar>
            <w:vAlign w:val="bottom"/>
          </w:tcPr>
          <w:p w14:paraId="39D9749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9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9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9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9E" w14:textId="77777777" w:rsidR="00996AD7" w:rsidRDefault="00996AD7">
            <w:pPr>
              <w:rPr>
                <w:rFonts w:ascii="宋体"/>
              </w:rPr>
            </w:pPr>
          </w:p>
        </w:tc>
      </w:tr>
      <w:tr w:rsidR="00996AD7" w14:paraId="39D974A7" w14:textId="77777777">
        <w:tc>
          <w:tcPr>
            <w:tcW w:w="0" w:type="auto"/>
            <w:gridSpan w:val="3"/>
            <w:shd w:val="clear" w:color="auto" w:fill="auto"/>
            <w:tcMar>
              <w:top w:w="40" w:type="dxa"/>
              <w:left w:w="20" w:type="dxa"/>
              <w:bottom w:w="40" w:type="dxa"/>
              <w:right w:w="20" w:type="dxa"/>
            </w:tcMar>
          </w:tcPr>
          <w:p w14:paraId="39D974A0" w14:textId="77777777" w:rsidR="00996AD7" w:rsidRDefault="00D96458">
            <w:pPr>
              <w:textAlignment w:val="top"/>
            </w:pPr>
            <w:r>
              <w:rPr>
                <w:rFonts w:ascii="Arial" w:eastAsia="宋体" w:hAnsi="Arial" w:cs="Arial"/>
                <w:b/>
                <w:bCs/>
                <w:color w:val="262626"/>
                <w:sz w:val="18"/>
                <w:szCs w:val="18"/>
              </w:rPr>
              <w:t xml:space="preserve">Property, plant and equipment, net of accumulated depreciation of $83,424 </w:t>
            </w:r>
            <w:r>
              <w:rPr>
                <w:rFonts w:ascii="Arial" w:eastAsia="宋体" w:hAnsi="Arial" w:cs="Arial"/>
                <w:b/>
                <w:bCs/>
                <w:color w:val="262626"/>
                <w:sz w:val="18"/>
                <w:szCs w:val="18"/>
              </w:rPr>
              <w:t>($77,645 as of December 26, 2020)</w:t>
            </w:r>
          </w:p>
        </w:tc>
        <w:tc>
          <w:tcPr>
            <w:tcW w:w="0" w:type="auto"/>
            <w:gridSpan w:val="3"/>
            <w:shd w:val="clear" w:color="auto" w:fill="auto"/>
            <w:tcMar>
              <w:top w:w="0" w:type="dxa"/>
              <w:left w:w="20" w:type="dxa"/>
              <w:bottom w:w="0" w:type="dxa"/>
              <w:right w:w="20" w:type="dxa"/>
            </w:tcMar>
            <w:vAlign w:val="bottom"/>
          </w:tcPr>
          <w:p w14:paraId="39D974A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A2" w14:textId="77777777" w:rsidR="00996AD7" w:rsidRDefault="00D96458">
            <w:pPr>
              <w:jc w:val="right"/>
              <w:textAlignment w:val="bottom"/>
            </w:pPr>
            <w:r>
              <w:rPr>
                <w:rFonts w:ascii="Arial" w:eastAsia="宋体" w:hAnsi="Arial" w:cs="Arial"/>
                <w:b/>
                <w:bCs/>
                <w:color w:val="0068B5"/>
                <w:sz w:val="18"/>
                <w:szCs w:val="18"/>
              </w:rPr>
              <w:t>59,733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4A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A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A5" w14:textId="77777777" w:rsidR="00996AD7" w:rsidRDefault="00D96458">
            <w:pPr>
              <w:jc w:val="right"/>
              <w:textAlignment w:val="bottom"/>
            </w:pPr>
            <w:r>
              <w:rPr>
                <w:rFonts w:ascii="Arial" w:eastAsia="宋体" w:hAnsi="Arial" w:cs="Arial"/>
                <w:b/>
                <w:bCs/>
                <w:color w:val="262626"/>
                <w:sz w:val="18"/>
                <w:szCs w:val="18"/>
              </w:rPr>
              <w:t>56,584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4A6" w14:textId="77777777" w:rsidR="00996AD7" w:rsidRDefault="00996AD7">
            <w:pPr>
              <w:jc w:val="right"/>
              <w:rPr>
                <w:rFonts w:ascii="宋体"/>
              </w:rPr>
            </w:pPr>
          </w:p>
        </w:tc>
      </w:tr>
      <w:tr w:rsidR="00996AD7" w14:paraId="39D974AF" w14:textId="77777777">
        <w:tc>
          <w:tcPr>
            <w:tcW w:w="0" w:type="auto"/>
            <w:gridSpan w:val="3"/>
            <w:shd w:val="clear" w:color="auto" w:fill="auto"/>
            <w:tcMar>
              <w:top w:w="40" w:type="dxa"/>
              <w:left w:w="20" w:type="dxa"/>
              <w:bottom w:w="40" w:type="dxa"/>
              <w:right w:w="20" w:type="dxa"/>
            </w:tcMar>
          </w:tcPr>
          <w:p w14:paraId="39D974A8" w14:textId="77777777" w:rsidR="00996AD7" w:rsidRDefault="00D96458">
            <w:pPr>
              <w:textAlignment w:val="top"/>
            </w:pPr>
            <w:r>
              <w:rPr>
                <w:rFonts w:ascii="Arial" w:eastAsia="宋体" w:hAnsi="Arial" w:cs="Arial"/>
                <w:b/>
                <w:bCs/>
                <w:color w:val="262626"/>
                <w:sz w:val="18"/>
                <w:szCs w:val="18"/>
              </w:rPr>
              <w:t>Equity investments</w:t>
            </w:r>
          </w:p>
        </w:tc>
        <w:tc>
          <w:tcPr>
            <w:tcW w:w="0" w:type="auto"/>
            <w:gridSpan w:val="3"/>
            <w:shd w:val="clear" w:color="auto" w:fill="auto"/>
            <w:tcMar>
              <w:top w:w="0" w:type="dxa"/>
              <w:left w:w="20" w:type="dxa"/>
              <w:bottom w:w="0" w:type="dxa"/>
              <w:right w:w="20" w:type="dxa"/>
            </w:tcMar>
            <w:vAlign w:val="bottom"/>
          </w:tcPr>
          <w:p w14:paraId="39D974A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AA" w14:textId="77777777" w:rsidR="00996AD7" w:rsidRDefault="00D96458">
            <w:pPr>
              <w:jc w:val="right"/>
              <w:textAlignment w:val="bottom"/>
            </w:pPr>
            <w:r>
              <w:rPr>
                <w:rFonts w:ascii="Arial" w:eastAsia="宋体" w:hAnsi="Arial" w:cs="Arial"/>
                <w:b/>
                <w:bCs/>
                <w:color w:val="0068B5"/>
                <w:sz w:val="18"/>
                <w:szCs w:val="18"/>
              </w:rPr>
              <w:t>6,050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4A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A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AD" w14:textId="77777777" w:rsidR="00996AD7" w:rsidRDefault="00D96458">
            <w:pPr>
              <w:jc w:val="right"/>
              <w:textAlignment w:val="bottom"/>
            </w:pPr>
            <w:r>
              <w:rPr>
                <w:rFonts w:ascii="Arial" w:eastAsia="宋体" w:hAnsi="Arial" w:cs="Arial"/>
                <w:b/>
                <w:bCs/>
                <w:color w:val="262626"/>
                <w:sz w:val="18"/>
                <w:szCs w:val="18"/>
              </w:rPr>
              <w:t>5,152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4AE" w14:textId="77777777" w:rsidR="00996AD7" w:rsidRDefault="00996AD7">
            <w:pPr>
              <w:jc w:val="right"/>
              <w:rPr>
                <w:rFonts w:ascii="宋体"/>
              </w:rPr>
            </w:pPr>
          </w:p>
        </w:tc>
      </w:tr>
      <w:tr w:rsidR="00996AD7" w14:paraId="39D974B7" w14:textId="77777777">
        <w:tc>
          <w:tcPr>
            <w:tcW w:w="0" w:type="auto"/>
            <w:gridSpan w:val="3"/>
            <w:shd w:val="clear" w:color="auto" w:fill="auto"/>
            <w:tcMar>
              <w:top w:w="40" w:type="dxa"/>
              <w:left w:w="20" w:type="dxa"/>
              <w:bottom w:w="40" w:type="dxa"/>
              <w:right w:w="20" w:type="dxa"/>
            </w:tcMar>
          </w:tcPr>
          <w:p w14:paraId="39D974B0" w14:textId="77777777" w:rsidR="00996AD7" w:rsidRDefault="00D96458">
            <w:pPr>
              <w:textAlignment w:val="top"/>
            </w:pPr>
            <w:r>
              <w:rPr>
                <w:rFonts w:ascii="Arial" w:eastAsia="宋体" w:hAnsi="Arial" w:cs="Arial"/>
                <w:b/>
                <w:bCs/>
                <w:color w:val="262626"/>
                <w:sz w:val="18"/>
                <w:szCs w:val="18"/>
              </w:rPr>
              <w:t>Other long-term investments</w:t>
            </w:r>
          </w:p>
        </w:tc>
        <w:tc>
          <w:tcPr>
            <w:tcW w:w="0" w:type="auto"/>
            <w:gridSpan w:val="3"/>
            <w:shd w:val="clear" w:color="auto" w:fill="auto"/>
            <w:tcMar>
              <w:top w:w="0" w:type="dxa"/>
              <w:left w:w="20" w:type="dxa"/>
              <w:bottom w:w="0" w:type="dxa"/>
              <w:right w:w="20" w:type="dxa"/>
            </w:tcMar>
            <w:vAlign w:val="bottom"/>
          </w:tcPr>
          <w:p w14:paraId="39D974B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B2" w14:textId="77777777" w:rsidR="00996AD7" w:rsidRDefault="00D96458">
            <w:pPr>
              <w:jc w:val="right"/>
              <w:textAlignment w:val="bottom"/>
            </w:pPr>
            <w:r>
              <w:rPr>
                <w:rFonts w:ascii="Arial" w:eastAsia="宋体" w:hAnsi="Arial" w:cs="Arial"/>
                <w:b/>
                <w:bCs/>
                <w:color w:val="0068B5"/>
                <w:sz w:val="18"/>
                <w:szCs w:val="18"/>
              </w:rPr>
              <w:t>953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4B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B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B5" w14:textId="77777777" w:rsidR="00996AD7" w:rsidRDefault="00D96458">
            <w:pPr>
              <w:jc w:val="right"/>
              <w:textAlignment w:val="bottom"/>
            </w:pPr>
            <w:r>
              <w:rPr>
                <w:rFonts w:ascii="Arial" w:eastAsia="宋体" w:hAnsi="Arial" w:cs="Arial"/>
                <w:b/>
                <w:bCs/>
                <w:color w:val="262626"/>
                <w:sz w:val="18"/>
                <w:szCs w:val="18"/>
              </w:rPr>
              <w:t>2,192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4B6" w14:textId="77777777" w:rsidR="00996AD7" w:rsidRDefault="00996AD7">
            <w:pPr>
              <w:jc w:val="right"/>
              <w:rPr>
                <w:rFonts w:ascii="宋体"/>
              </w:rPr>
            </w:pPr>
          </w:p>
        </w:tc>
      </w:tr>
      <w:tr w:rsidR="00996AD7" w14:paraId="39D974BF" w14:textId="77777777">
        <w:tc>
          <w:tcPr>
            <w:tcW w:w="0" w:type="auto"/>
            <w:gridSpan w:val="3"/>
            <w:shd w:val="clear" w:color="auto" w:fill="auto"/>
            <w:tcMar>
              <w:top w:w="40" w:type="dxa"/>
              <w:left w:w="20" w:type="dxa"/>
              <w:bottom w:w="40" w:type="dxa"/>
              <w:right w:w="20" w:type="dxa"/>
            </w:tcMar>
          </w:tcPr>
          <w:p w14:paraId="39D974B8" w14:textId="77777777" w:rsidR="00996AD7" w:rsidRDefault="00D96458">
            <w:pPr>
              <w:textAlignment w:val="top"/>
            </w:pPr>
            <w:r>
              <w:rPr>
                <w:rFonts w:ascii="Arial" w:eastAsia="宋体" w:hAnsi="Arial" w:cs="Arial"/>
                <w:b/>
                <w:bCs/>
                <w:color w:val="262626"/>
                <w:sz w:val="18"/>
                <w:szCs w:val="18"/>
              </w:rPr>
              <w:t>Goodwill</w:t>
            </w:r>
          </w:p>
        </w:tc>
        <w:tc>
          <w:tcPr>
            <w:tcW w:w="0" w:type="auto"/>
            <w:gridSpan w:val="3"/>
            <w:shd w:val="clear" w:color="auto" w:fill="auto"/>
            <w:tcMar>
              <w:top w:w="0" w:type="dxa"/>
              <w:left w:w="20" w:type="dxa"/>
              <w:bottom w:w="0" w:type="dxa"/>
              <w:right w:w="20" w:type="dxa"/>
            </w:tcMar>
            <w:vAlign w:val="bottom"/>
          </w:tcPr>
          <w:p w14:paraId="39D974B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BA" w14:textId="77777777" w:rsidR="00996AD7" w:rsidRDefault="00D96458">
            <w:pPr>
              <w:jc w:val="right"/>
              <w:textAlignment w:val="bottom"/>
            </w:pPr>
            <w:r>
              <w:rPr>
                <w:rFonts w:ascii="Arial" w:eastAsia="宋体" w:hAnsi="Arial" w:cs="Arial"/>
                <w:b/>
                <w:bCs/>
                <w:color w:val="0068B5"/>
                <w:sz w:val="18"/>
                <w:szCs w:val="18"/>
              </w:rPr>
              <w:t>26,786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4B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B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BD" w14:textId="77777777" w:rsidR="00996AD7" w:rsidRDefault="00D96458">
            <w:pPr>
              <w:jc w:val="right"/>
              <w:textAlignment w:val="bottom"/>
            </w:pPr>
            <w:r>
              <w:rPr>
                <w:rFonts w:ascii="Arial" w:eastAsia="宋体" w:hAnsi="Arial" w:cs="Arial"/>
                <w:b/>
                <w:bCs/>
                <w:color w:val="262626"/>
                <w:sz w:val="18"/>
                <w:szCs w:val="18"/>
              </w:rPr>
              <w:t>26,971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4BE" w14:textId="77777777" w:rsidR="00996AD7" w:rsidRDefault="00996AD7">
            <w:pPr>
              <w:jc w:val="right"/>
              <w:rPr>
                <w:rFonts w:ascii="宋体"/>
              </w:rPr>
            </w:pPr>
          </w:p>
        </w:tc>
      </w:tr>
      <w:tr w:rsidR="00996AD7" w14:paraId="39D974C7" w14:textId="77777777">
        <w:tc>
          <w:tcPr>
            <w:tcW w:w="0" w:type="auto"/>
            <w:gridSpan w:val="3"/>
            <w:shd w:val="clear" w:color="auto" w:fill="auto"/>
            <w:tcMar>
              <w:top w:w="40" w:type="dxa"/>
              <w:left w:w="20" w:type="dxa"/>
              <w:bottom w:w="40" w:type="dxa"/>
              <w:right w:w="20" w:type="dxa"/>
            </w:tcMar>
          </w:tcPr>
          <w:p w14:paraId="39D974C0" w14:textId="77777777" w:rsidR="00996AD7" w:rsidRDefault="00D96458">
            <w:pPr>
              <w:textAlignment w:val="top"/>
            </w:pPr>
            <w:r>
              <w:rPr>
                <w:rFonts w:ascii="Arial" w:eastAsia="宋体" w:hAnsi="Arial" w:cs="Arial"/>
                <w:b/>
                <w:bCs/>
                <w:color w:val="262626"/>
                <w:sz w:val="18"/>
                <w:szCs w:val="18"/>
              </w:rPr>
              <w:t>Identified intangible assets, net</w:t>
            </w:r>
          </w:p>
        </w:tc>
        <w:tc>
          <w:tcPr>
            <w:tcW w:w="0" w:type="auto"/>
            <w:gridSpan w:val="3"/>
            <w:shd w:val="clear" w:color="auto" w:fill="auto"/>
            <w:tcMar>
              <w:top w:w="0" w:type="dxa"/>
              <w:left w:w="20" w:type="dxa"/>
              <w:bottom w:w="0" w:type="dxa"/>
              <w:right w:w="20" w:type="dxa"/>
            </w:tcMar>
            <w:vAlign w:val="bottom"/>
          </w:tcPr>
          <w:p w14:paraId="39D974C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C2" w14:textId="77777777" w:rsidR="00996AD7" w:rsidRDefault="00D96458">
            <w:pPr>
              <w:jc w:val="right"/>
              <w:textAlignment w:val="bottom"/>
            </w:pPr>
            <w:r>
              <w:rPr>
                <w:rFonts w:ascii="Arial" w:eastAsia="宋体" w:hAnsi="Arial" w:cs="Arial"/>
                <w:b/>
                <w:bCs/>
                <w:color w:val="0068B5"/>
                <w:sz w:val="18"/>
                <w:szCs w:val="18"/>
              </w:rPr>
              <w:t>7,684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4C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C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C5" w14:textId="77777777" w:rsidR="00996AD7" w:rsidRDefault="00D96458">
            <w:pPr>
              <w:jc w:val="right"/>
              <w:textAlignment w:val="bottom"/>
            </w:pPr>
            <w:r>
              <w:rPr>
                <w:rFonts w:ascii="Arial" w:eastAsia="宋体" w:hAnsi="Arial" w:cs="Arial"/>
                <w:b/>
                <w:bCs/>
                <w:color w:val="262626"/>
                <w:sz w:val="18"/>
                <w:szCs w:val="18"/>
              </w:rPr>
              <w:t>9,026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4C6" w14:textId="77777777" w:rsidR="00996AD7" w:rsidRDefault="00996AD7">
            <w:pPr>
              <w:jc w:val="right"/>
              <w:rPr>
                <w:rFonts w:ascii="宋体"/>
              </w:rPr>
            </w:pPr>
          </w:p>
        </w:tc>
      </w:tr>
      <w:tr w:rsidR="00996AD7" w14:paraId="39D974CF" w14:textId="77777777">
        <w:tc>
          <w:tcPr>
            <w:tcW w:w="0" w:type="auto"/>
            <w:gridSpan w:val="3"/>
            <w:shd w:val="clear" w:color="auto" w:fill="auto"/>
            <w:tcMar>
              <w:top w:w="40" w:type="dxa"/>
              <w:left w:w="20" w:type="dxa"/>
              <w:bottom w:w="40" w:type="dxa"/>
              <w:right w:w="20" w:type="dxa"/>
            </w:tcMar>
          </w:tcPr>
          <w:p w14:paraId="39D974C8" w14:textId="77777777" w:rsidR="00996AD7" w:rsidRDefault="00D96458">
            <w:pPr>
              <w:textAlignment w:val="top"/>
            </w:pPr>
            <w:r>
              <w:rPr>
                <w:rFonts w:ascii="Arial" w:eastAsia="宋体" w:hAnsi="Arial" w:cs="Arial"/>
                <w:b/>
                <w:bCs/>
                <w:color w:val="262626"/>
                <w:sz w:val="18"/>
                <w:szCs w:val="18"/>
              </w:rPr>
              <w:t>Other long-term assets</w:t>
            </w:r>
          </w:p>
        </w:tc>
        <w:tc>
          <w:tcPr>
            <w:tcW w:w="0" w:type="auto"/>
            <w:gridSpan w:val="3"/>
            <w:shd w:val="clear" w:color="auto" w:fill="auto"/>
            <w:tcMar>
              <w:top w:w="0" w:type="dxa"/>
              <w:left w:w="20" w:type="dxa"/>
              <w:bottom w:w="0" w:type="dxa"/>
              <w:right w:w="20" w:type="dxa"/>
            </w:tcMar>
            <w:vAlign w:val="bottom"/>
          </w:tcPr>
          <w:p w14:paraId="39D974C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CA" w14:textId="77777777" w:rsidR="00996AD7" w:rsidRDefault="00D96458">
            <w:pPr>
              <w:jc w:val="right"/>
              <w:textAlignment w:val="bottom"/>
            </w:pPr>
            <w:r>
              <w:rPr>
                <w:rFonts w:ascii="Arial" w:eastAsia="宋体" w:hAnsi="Arial" w:cs="Arial"/>
                <w:b/>
                <w:bCs/>
                <w:color w:val="0068B5"/>
                <w:sz w:val="18"/>
                <w:szCs w:val="18"/>
              </w:rPr>
              <w:t>5,452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4C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C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CD" w14:textId="77777777" w:rsidR="00996AD7" w:rsidRDefault="00D96458">
            <w:pPr>
              <w:jc w:val="right"/>
              <w:textAlignment w:val="bottom"/>
            </w:pPr>
            <w:r>
              <w:rPr>
                <w:rFonts w:ascii="Arial" w:eastAsia="宋体" w:hAnsi="Arial" w:cs="Arial"/>
                <w:b/>
                <w:bCs/>
                <w:color w:val="262626"/>
                <w:sz w:val="18"/>
                <w:szCs w:val="18"/>
              </w:rPr>
              <w:t>5,917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4CE" w14:textId="77777777" w:rsidR="00996AD7" w:rsidRDefault="00996AD7">
            <w:pPr>
              <w:jc w:val="right"/>
              <w:rPr>
                <w:rFonts w:ascii="宋体"/>
              </w:rPr>
            </w:pPr>
          </w:p>
        </w:tc>
      </w:tr>
      <w:tr w:rsidR="00996AD7" w14:paraId="39D974D9" w14:textId="77777777">
        <w:tc>
          <w:tcPr>
            <w:tcW w:w="0" w:type="auto"/>
            <w:gridSpan w:val="3"/>
            <w:shd w:val="clear" w:color="auto" w:fill="auto"/>
            <w:tcMar>
              <w:top w:w="40" w:type="dxa"/>
              <w:left w:w="20" w:type="dxa"/>
              <w:bottom w:w="40" w:type="dxa"/>
              <w:right w:w="20" w:type="dxa"/>
            </w:tcMar>
          </w:tcPr>
          <w:p w14:paraId="39D974D0" w14:textId="77777777" w:rsidR="00996AD7" w:rsidRDefault="00D96458">
            <w:pPr>
              <w:textAlignment w:val="top"/>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39D974D1"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4D2"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4D3" w14:textId="77777777" w:rsidR="00996AD7" w:rsidRDefault="00D96458">
            <w:pPr>
              <w:jc w:val="right"/>
              <w:textAlignment w:val="bottom"/>
            </w:pPr>
            <w:r>
              <w:rPr>
                <w:rFonts w:ascii="Arial" w:eastAsia="宋体" w:hAnsi="Arial" w:cs="Arial"/>
                <w:b/>
                <w:bCs/>
                <w:color w:val="0068B5"/>
                <w:sz w:val="18"/>
                <w:szCs w:val="18"/>
              </w:rPr>
              <w:t>167,962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4D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D5"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4D6"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4D7" w14:textId="77777777" w:rsidR="00996AD7" w:rsidRDefault="00D96458">
            <w:pPr>
              <w:jc w:val="right"/>
              <w:textAlignment w:val="bottom"/>
            </w:pPr>
            <w:r>
              <w:rPr>
                <w:rFonts w:ascii="Arial" w:eastAsia="宋体" w:hAnsi="Arial" w:cs="Arial"/>
                <w:b/>
                <w:bCs/>
                <w:color w:val="262626"/>
                <w:sz w:val="18"/>
                <w:szCs w:val="18"/>
              </w:rPr>
              <w:t>153,091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4D8" w14:textId="77777777" w:rsidR="00996AD7" w:rsidRDefault="00996AD7">
            <w:pPr>
              <w:jc w:val="right"/>
              <w:rPr>
                <w:rFonts w:ascii="宋体"/>
              </w:rPr>
            </w:pPr>
          </w:p>
        </w:tc>
      </w:tr>
      <w:tr w:rsidR="00996AD7" w14:paraId="39D974DF" w14:textId="77777777">
        <w:trPr>
          <w:trHeight w:val="100"/>
        </w:trPr>
        <w:tc>
          <w:tcPr>
            <w:tcW w:w="0" w:type="auto"/>
            <w:gridSpan w:val="3"/>
            <w:shd w:val="clear" w:color="auto" w:fill="auto"/>
            <w:tcMar>
              <w:top w:w="0" w:type="dxa"/>
              <w:left w:w="20" w:type="dxa"/>
              <w:bottom w:w="0" w:type="dxa"/>
              <w:right w:w="20" w:type="dxa"/>
            </w:tcMar>
            <w:vAlign w:val="bottom"/>
          </w:tcPr>
          <w:p w14:paraId="39D974D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DB"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4D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DD"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4DE" w14:textId="77777777" w:rsidR="00996AD7" w:rsidRDefault="00996AD7">
            <w:pPr>
              <w:rPr>
                <w:rFonts w:ascii="宋体"/>
              </w:rPr>
            </w:pPr>
          </w:p>
        </w:tc>
      </w:tr>
      <w:tr w:rsidR="00996AD7" w14:paraId="39D974E5" w14:textId="77777777">
        <w:tc>
          <w:tcPr>
            <w:tcW w:w="0" w:type="auto"/>
            <w:gridSpan w:val="3"/>
            <w:shd w:val="clear" w:color="auto" w:fill="auto"/>
            <w:tcMar>
              <w:top w:w="40" w:type="dxa"/>
              <w:left w:w="20" w:type="dxa"/>
              <w:bottom w:w="40" w:type="dxa"/>
              <w:right w:w="20" w:type="dxa"/>
            </w:tcMar>
          </w:tcPr>
          <w:p w14:paraId="39D974E0" w14:textId="77777777" w:rsidR="00996AD7" w:rsidRDefault="00D96458">
            <w:pPr>
              <w:textAlignment w:val="top"/>
            </w:pPr>
            <w:r>
              <w:rPr>
                <w:rFonts w:ascii="Arial" w:eastAsia="宋体" w:hAnsi="Arial" w:cs="Arial"/>
                <w:b/>
                <w:bCs/>
                <w:color w:val="262626"/>
                <w:sz w:val="18"/>
                <w:szCs w:val="18"/>
              </w:rPr>
              <w:t>Liabilities and stockholders’ equity</w:t>
            </w:r>
          </w:p>
        </w:tc>
        <w:tc>
          <w:tcPr>
            <w:tcW w:w="0" w:type="auto"/>
            <w:gridSpan w:val="3"/>
            <w:shd w:val="clear" w:color="auto" w:fill="auto"/>
            <w:tcMar>
              <w:top w:w="0" w:type="dxa"/>
              <w:left w:w="20" w:type="dxa"/>
              <w:bottom w:w="0" w:type="dxa"/>
              <w:right w:w="20" w:type="dxa"/>
            </w:tcMar>
            <w:vAlign w:val="bottom"/>
          </w:tcPr>
          <w:p w14:paraId="39D974E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E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E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E4" w14:textId="77777777" w:rsidR="00996AD7" w:rsidRDefault="00996AD7">
            <w:pPr>
              <w:rPr>
                <w:rFonts w:ascii="宋体"/>
              </w:rPr>
            </w:pPr>
          </w:p>
        </w:tc>
      </w:tr>
      <w:tr w:rsidR="00996AD7" w14:paraId="39D974EB" w14:textId="77777777">
        <w:tc>
          <w:tcPr>
            <w:tcW w:w="0" w:type="auto"/>
            <w:gridSpan w:val="3"/>
            <w:shd w:val="clear" w:color="auto" w:fill="auto"/>
            <w:tcMar>
              <w:top w:w="40" w:type="dxa"/>
              <w:left w:w="20" w:type="dxa"/>
              <w:bottom w:w="40" w:type="dxa"/>
              <w:right w:w="20" w:type="dxa"/>
            </w:tcMar>
          </w:tcPr>
          <w:p w14:paraId="39D974E6" w14:textId="77777777" w:rsidR="00996AD7" w:rsidRDefault="00D96458">
            <w:pPr>
              <w:textAlignment w:val="top"/>
            </w:pPr>
            <w:r>
              <w:rPr>
                <w:rFonts w:ascii="Arial" w:eastAsia="宋体" w:hAnsi="Arial" w:cs="Arial"/>
                <w:color w:val="262626"/>
                <w:sz w:val="18"/>
                <w:szCs w:val="18"/>
              </w:rPr>
              <w:t>Current liabilities:</w:t>
            </w:r>
          </w:p>
        </w:tc>
        <w:tc>
          <w:tcPr>
            <w:tcW w:w="0" w:type="auto"/>
            <w:gridSpan w:val="3"/>
            <w:shd w:val="clear" w:color="auto" w:fill="auto"/>
            <w:tcMar>
              <w:top w:w="0" w:type="dxa"/>
              <w:left w:w="20" w:type="dxa"/>
              <w:bottom w:w="0" w:type="dxa"/>
              <w:right w:w="20" w:type="dxa"/>
            </w:tcMar>
            <w:vAlign w:val="bottom"/>
          </w:tcPr>
          <w:p w14:paraId="39D974E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E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E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4EA" w14:textId="77777777" w:rsidR="00996AD7" w:rsidRDefault="00996AD7">
            <w:pPr>
              <w:rPr>
                <w:rFonts w:ascii="宋体"/>
              </w:rPr>
            </w:pPr>
          </w:p>
        </w:tc>
      </w:tr>
      <w:tr w:rsidR="00996AD7" w14:paraId="39D974F5" w14:textId="77777777">
        <w:tc>
          <w:tcPr>
            <w:tcW w:w="0" w:type="auto"/>
            <w:gridSpan w:val="3"/>
            <w:shd w:val="clear" w:color="auto" w:fill="auto"/>
            <w:tcMar>
              <w:top w:w="40" w:type="dxa"/>
              <w:left w:w="140" w:type="dxa"/>
              <w:bottom w:w="40" w:type="dxa"/>
              <w:right w:w="20" w:type="dxa"/>
            </w:tcMar>
          </w:tcPr>
          <w:p w14:paraId="39D974EC" w14:textId="77777777" w:rsidR="00996AD7" w:rsidRDefault="00D96458">
            <w:pPr>
              <w:textAlignment w:val="top"/>
            </w:pPr>
            <w:r>
              <w:rPr>
                <w:rFonts w:ascii="Arial" w:eastAsia="宋体" w:hAnsi="Arial" w:cs="Arial"/>
                <w:color w:val="262626"/>
                <w:sz w:val="18"/>
                <w:szCs w:val="18"/>
              </w:rPr>
              <w:t>Short-term debt</w:t>
            </w:r>
          </w:p>
        </w:tc>
        <w:tc>
          <w:tcPr>
            <w:tcW w:w="0" w:type="auto"/>
            <w:gridSpan w:val="3"/>
            <w:shd w:val="clear" w:color="auto" w:fill="auto"/>
            <w:tcMar>
              <w:top w:w="0" w:type="dxa"/>
              <w:left w:w="20" w:type="dxa"/>
              <w:bottom w:w="0" w:type="dxa"/>
              <w:right w:w="20" w:type="dxa"/>
            </w:tcMar>
            <w:vAlign w:val="bottom"/>
          </w:tcPr>
          <w:p w14:paraId="39D974ED"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4EE"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74EF" w14:textId="77777777" w:rsidR="00996AD7" w:rsidRDefault="00D96458">
            <w:pPr>
              <w:jc w:val="right"/>
              <w:textAlignment w:val="bottom"/>
            </w:pPr>
            <w:r>
              <w:rPr>
                <w:rFonts w:ascii="Arial" w:eastAsia="宋体" w:hAnsi="Arial" w:cs="Arial"/>
                <w:color w:val="0068B5"/>
                <w:sz w:val="18"/>
                <w:szCs w:val="18"/>
              </w:rPr>
              <w:t>4,694 </w:t>
            </w:r>
          </w:p>
        </w:tc>
        <w:tc>
          <w:tcPr>
            <w:tcW w:w="0" w:type="auto"/>
            <w:shd w:val="clear" w:color="auto" w:fill="auto"/>
            <w:tcMar>
              <w:top w:w="40" w:type="dxa"/>
              <w:left w:w="0" w:type="dxa"/>
              <w:bottom w:w="40" w:type="dxa"/>
              <w:right w:w="20" w:type="dxa"/>
            </w:tcMar>
            <w:vAlign w:val="bottom"/>
          </w:tcPr>
          <w:p w14:paraId="39D974F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F1"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4F2"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74F3" w14:textId="77777777" w:rsidR="00996AD7" w:rsidRDefault="00D96458">
            <w:pPr>
              <w:jc w:val="right"/>
              <w:textAlignment w:val="bottom"/>
            </w:pPr>
            <w:r>
              <w:rPr>
                <w:rFonts w:ascii="Arial" w:eastAsia="宋体" w:hAnsi="Arial" w:cs="Arial"/>
                <w:color w:val="262626"/>
                <w:sz w:val="18"/>
                <w:szCs w:val="18"/>
              </w:rPr>
              <w:t>2,504 </w:t>
            </w:r>
          </w:p>
        </w:tc>
        <w:tc>
          <w:tcPr>
            <w:tcW w:w="0" w:type="auto"/>
            <w:shd w:val="clear" w:color="auto" w:fill="auto"/>
            <w:tcMar>
              <w:top w:w="40" w:type="dxa"/>
              <w:left w:w="0" w:type="dxa"/>
              <w:bottom w:w="40" w:type="dxa"/>
              <w:right w:w="20" w:type="dxa"/>
            </w:tcMar>
            <w:vAlign w:val="bottom"/>
          </w:tcPr>
          <w:p w14:paraId="39D974F4" w14:textId="77777777" w:rsidR="00996AD7" w:rsidRDefault="00996AD7">
            <w:pPr>
              <w:jc w:val="right"/>
              <w:rPr>
                <w:rFonts w:ascii="宋体"/>
              </w:rPr>
            </w:pPr>
          </w:p>
        </w:tc>
      </w:tr>
      <w:tr w:rsidR="00996AD7" w14:paraId="39D974FD" w14:textId="77777777">
        <w:tc>
          <w:tcPr>
            <w:tcW w:w="0" w:type="auto"/>
            <w:gridSpan w:val="3"/>
            <w:shd w:val="clear" w:color="auto" w:fill="auto"/>
            <w:tcMar>
              <w:top w:w="40" w:type="dxa"/>
              <w:left w:w="140" w:type="dxa"/>
              <w:bottom w:w="40" w:type="dxa"/>
              <w:right w:w="20" w:type="dxa"/>
            </w:tcMar>
          </w:tcPr>
          <w:p w14:paraId="39D974F6" w14:textId="77777777" w:rsidR="00996AD7" w:rsidRDefault="00D96458">
            <w:pPr>
              <w:textAlignment w:val="top"/>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vAlign w:val="bottom"/>
          </w:tcPr>
          <w:p w14:paraId="39D974F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F8" w14:textId="77777777" w:rsidR="00996AD7" w:rsidRDefault="00D96458">
            <w:pPr>
              <w:jc w:val="right"/>
              <w:textAlignment w:val="bottom"/>
            </w:pPr>
            <w:r>
              <w:rPr>
                <w:rFonts w:ascii="Arial" w:eastAsia="宋体" w:hAnsi="Arial" w:cs="Arial"/>
                <w:color w:val="0068B5"/>
                <w:sz w:val="18"/>
                <w:szCs w:val="18"/>
              </w:rPr>
              <w:t>6,792 </w:t>
            </w:r>
          </w:p>
        </w:tc>
        <w:tc>
          <w:tcPr>
            <w:tcW w:w="0" w:type="auto"/>
            <w:shd w:val="clear" w:color="auto" w:fill="auto"/>
            <w:tcMar>
              <w:top w:w="40" w:type="dxa"/>
              <w:left w:w="0" w:type="dxa"/>
              <w:bottom w:w="40" w:type="dxa"/>
              <w:right w:w="20" w:type="dxa"/>
            </w:tcMar>
            <w:vAlign w:val="bottom"/>
          </w:tcPr>
          <w:p w14:paraId="39D974F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4F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4FB" w14:textId="77777777" w:rsidR="00996AD7" w:rsidRDefault="00D96458">
            <w:pPr>
              <w:jc w:val="right"/>
              <w:textAlignment w:val="bottom"/>
            </w:pPr>
            <w:r>
              <w:rPr>
                <w:rFonts w:ascii="Arial" w:eastAsia="宋体" w:hAnsi="Arial" w:cs="Arial"/>
                <w:color w:val="262626"/>
                <w:sz w:val="18"/>
                <w:szCs w:val="18"/>
              </w:rPr>
              <w:t>5,581 </w:t>
            </w:r>
          </w:p>
        </w:tc>
        <w:tc>
          <w:tcPr>
            <w:tcW w:w="0" w:type="auto"/>
            <w:shd w:val="clear" w:color="auto" w:fill="auto"/>
            <w:tcMar>
              <w:top w:w="40" w:type="dxa"/>
              <w:left w:w="0" w:type="dxa"/>
              <w:bottom w:w="40" w:type="dxa"/>
              <w:right w:w="20" w:type="dxa"/>
            </w:tcMar>
            <w:vAlign w:val="bottom"/>
          </w:tcPr>
          <w:p w14:paraId="39D974FC" w14:textId="77777777" w:rsidR="00996AD7" w:rsidRDefault="00996AD7">
            <w:pPr>
              <w:jc w:val="right"/>
              <w:rPr>
                <w:rFonts w:ascii="宋体"/>
              </w:rPr>
            </w:pPr>
          </w:p>
        </w:tc>
      </w:tr>
      <w:tr w:rsidR="00996AD7" w14:paraId="39D97505" w14:textId="77777777">
        <w:tc>
          <w:tcPr>
            <w:tcW w:w="0" w:type="auto"/>
            <w:gridSpan w:val="3"/>
            <w:shd w:val="clear" w:color="auto" w:fill="auto"/>
            <w:tcMar>
              <w:top w:w="40" w:type="dxa"/>
              <w:left w:w="140" w:type="dxa"/>
              <w:bottom w:w="40" w:type="dxa"/>
              <w:right w:w="20" w:type="dxa"/>
            </w:tcMar>
          </w:tcPr>
          <w:p w14:paraId="39D974FE" w14:textId="77777777" w:rsidR="00996AD7" w:rsidRDefault="00D96458">
            <w:pPr>
              <w:textAlignment w:val="top"/>
            </w:pPr>
            <w:r>
              <w:rPr>
                <w:rFonts w:ascii="Arial" w:eastAsia="宋体" w:hAnsi="Arial" w:cs="Arial"/>
                <w:color w:val="262626"/>
                <w:sz w:val="18"/>
                <w:szCs w:val="18"/>
              </w:rPr>
              <w:t>Accrued compensation and benefits</w:t>
            </w:r>
          </w:p>
        </w:tc>
        <w:tc>
          <w:tcPr>
            <w:tcW w:w="0" w:type="auto"/>
            <w:gridSpan w:val="3"/>
            <w:shd w:val="clear" w:color="auto" w:fill="auto"/>
            <w:tcMar>
              <w:top w:w="0" w:type="dxa"/>
              <w:left w:w="20" w:type="dxa"/>
              <w:bottom w:w="0" w:type="dxa"/>
              <w:right w:w="20" w:type="dxa"/>
            </w:tcMar>
            <w:vAlign w:val="bottom"/>
          </w:tcPr>
          <w:p w14:paraId="39D974F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00" w14:textId="77777777" w:rsidR="00996AD7" w:rsidRDefault="00D96458">
            <w:pPr>
              <w:jc w:val="right"/>
              <w:textAlignment w:val="bottom"/>
            </w:pPr>
            <w:r>
              <w:rPr>
                <w:rFonts w:ascii="Arial" w:eastAsia="宋体" w:hAnsi="Arial" w:cs="Arial"/>
                <w:color w:val="0068B5"/>
                <w:sz w:val="18"/>
                <w:szCs w:val="18"/>
              </w:rPr>
              <w:t>4,026 </w:t>
            </w:r>
          </w:p>
        </w:tc>
        <w:tc>
          <w:tcPr>
            <w:tcW w:w="0" w:type="auto"/>
            <w:shd w:val="clear" w:color="auto" w:fill="auto"/>
            <w:tcMar>
              <w:top w:w="40" w:type="dxa"/>
              <w:left w:w="0" w:type="dxa"/>
              <w:bottom w:w="40" w:type="dxa"/>
              <w:right w:w="20" w:type="dxa"/>
            </w:tcMar>
            <w:vAlign w:val="bottom"/>
          </w:tcPr>
          <w:p w14:paraId="39D9750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0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03" w14:textId="77777777" w:rsidR="00996AD7" w:rsidRDefault="00D96458">
            <w:pPr>
              <w:jc w:val="right"/>
              <w:textAlignment w:val="bottom"/>
            </w:pPr>
            <w:r>
              <w:rPr>
                <w:rFonts w:ascii="Arial" w:eastAsia="宋体" w:hAnsi="Arial" w:cs="Arial"/>
                <w:color w:val="262626"/>
                <w:sz w:val="18"/>
                <w:szCs w:val="18"/>
              </w:rPr>
              <w:t>3,999 </w:t>
            </w:r>
          </w:p>
        </w:tc>
        <w:tc>
          <w:tcPr>
            <w:tcW w:w="0" w:type="auto"/>
            <w:shd w:val="clear" w:color="auto" w:fill="auto"/>
            <w:tcMar>
              <w:top w:w="40" w:type="dxa"/>
              <w:left w:w="0" w:type="dxa"/>
              <w:bottom w:w="40" w:type="dxa"/>
              <w:right w:w="20" w:type="dxa"/>
            </w:tcMar>
            <w:vAlign w:val="bottom"/>
          </w:tcPr>
          <w:p w14:paraId="39D97504" w14:textId="77777777" w:rsidR="00996AD7" w:rsidRDefault="00996AD7">
            <w:pPr>
              <w:jc w:val="right"/>
              <w:rPr>
                <w:rFonts w:ascii="宋体"/>
              </w:rPr>
            </w:pPr>
          </w:p>
        </w:tc>
      </w:tr>
      <w:tr w:rsidR="00996AD7" w14:paraId="39D9750B" w14:textId="77777777">
        <w:trPr>
          <w:hidden/>
        </w:trPr>
        <w:tc>
          <w:tcPr>
            <w:tcW w:w="0" w:type="auto"/>
            <w:gridSpan w:val="3"/>
            <w:shd w:val="clear" w:color="auto" w:fill="auto"/>
            <w:vAlign w:val="bottom"/>
          </w:tcPr>
          <w:p w14:paraId="39D97506" w14:textId="77777777" w:rsidR="00996AD7" w:rsidRDefault="00996AD7">
            <w:pPr>
              <w:rPr>
                <w:rFonts w:ascii="宋体"/>
                <w:vanish/>
              </w:rPr>
            </w:pPr>
          </w:p>
        </w:tc>
        <w:tc>
          <w:tcPr>
            <w:tcW w:w="0" w:type="auto"/>
            <w:gridSpan w:val="3"/>
            <w:shd w:val="clear" w:color="auto" w:fill="auto"/>
            <w:vAlign w:val="bottom"/>
          </w:tcPr>
          <w:p w14:paraId="39D97507" w14:textId="77777777" w:rsidR="00996AD7" w:rsidRDefault="00996AD7">
            <w:pPr>
              <w:rPr>
                <w:rFonts w:ascii="宋体"/>
                <w:vanish/>
              </w:rPr>
            </w:pPr>
          </w:p>
        </w:tc>
        <w:tc>
          <w:tcPr>
            <w:tcW w:w="0" w:type="auto"/>
            <w:gridSpan w:val="3"/>
            <w:shd w:val="clear" w:color="auto" w:fill="auto"/>
            <w:vAlign w:val="bottom"/>
          </w:tcPr>
          <w:p w14:paraId="39D97508" w14:textId="77777777" w:rsidR="00996AD7" w:rsidRDefault="00996AD7">
            <w:pPr>
              <w:rPr>
                <w:rFonts w:ascii="宋体"/>
                <w:vanish/>
              </w:rPr>
            </w:pPr>
          </w:p>
        </w:tc>
        <w:tc>
          <w:tcPr>
            <w:tcW w:w="0" w:type="auto"/>
            <w:gridSpan w:val="3"/>
            <w:shd w:val="clear" w:color="auto" w:fill="auto"/>
            <w:vAlign w:val="bottom"/>
          </w:tcPr>
          <w:p w14:paraId="39D97509" w14:textId="77777777" w:rsidR="00996AD7" w:rsidRDefault="00996AD7">
            <w:pPr>
              <w:rPr>
                <w:rFonts w:ascii="宋体"/>
                <w:vanish/>
              </w:rPr>
            </w:pPr>
          </w:p>
        </w:tc>
        <w:tc>
          <w:tcPr>
            <w:tcW w:w="0" w:type="auto"/>
            <w:gridSpan w:val="3"/>
            <w:shd w:val="clear" w:color="auto" w:fill="auto"/>
            <w:vAlign w:val="bottom"/>
          </w:tcPr>
          <w:p w14:paraId="39D9750A" w14:textId="77777777" w:rsidR="00996AD7" w:rsidRDefault="00996AD7">
            <w:pPr>
              <w:rPr>
                <w:rFonts w:ascii="宋体"/>
                <w:vanish/>
              </w:rPr>
            </w:pPr>
          </w:p>
        </w:tc>
      </w:tr>
      <w:tr w:rsidR="00996AD7" w14:paraId="39D97511" w14:textId="77777777">
        <w:trPr>
          <w:hidden/>
        </w:trPr>
        <w:tc>
          <w:tcPr>
            <w:tcW w:w="0" w:type="auto"/>
            <w:gridSpan w:val="3"/>
            <w:shd w:val="clear" w:color="auto" w:fill="auto"/>
            <w:vAlign w:val="bottom"/>
          </w:tcPr>
          <w:p w14:paraId="39D9750C" w14:textId="77777777" w:rsidR="00996AD7" w:rsidRDefault="00996AD7">
            <w:pPr>
              <w:rPr>
                <w:rFonts w:ascii="宋体"/>
                <w:vanish/>
              </w:rPr>
            </w:pPr>
          </w:p>
        </w:tc>
        <w:tc>
          <w:tcPr>
            <w:tcW w:w="0" w:type="auto"/>
            <w:gridSpan w:val="3"/>
            <w:shd w:val="clear" w:color="auto" w:fill="auto"/>
            <w:vAlign w:val="bottom"/>
          </w:tcPr>
          <w:p w14:paraId="39D9750D" w14:textId="77777777" w:rsidR="00996AD7" w:rsidRDefault="00996AD7">
            <w:pPr>
              <w:rPr>
                <w:rFonts w:ascii="宋体"/>
                <w:vanish/>
              </w:rPr>
            </w:pPr>
          </w:p>
        </w:tc>
        <w:tc>
          <w:tcPr>
            <w:tcW w:w="0" w:type="auto"/>
            <w:gridSpan w:val="3"/>
            <w:shd w:val="clear" w:color="auto" w:fill="auto"/>
            <w:vAlign w:val="bottom"/>
          </w:tcPr>
          <w:p w14:paraId="39D9750E" w14:textId="77777777" w:rsidR="00996AD7" w:rsidRDefault="00996AD7">
            <w:pPr>
              <w:rPr>
                <w:rFonts w:ascii="宋体"/>
                <w:vanish/>
              </w:rPr>
            </w:pPr>
          </w:p>
        </w:tc>
        <w:tc>
          <w:tcPr>
            <w:tcW w:w="0" w:type="auto"/>
            <w:gridSpan w:val="3"/>
            <w:shd w:val="clear" w:color="auto" w:fill="auto"/>
            <w:vAlign w:val="bottom"/>
          </w:tcPr>
          <w:p w14:paraId="39D9750F" w14:textId="77777777" w:rsidR="00996AD7" w:rsidRDefault="00996AD7">
            <w:pPr>
              <w:rPr>
                <w:rFonts w:ascii="宋体"/>
                <w:vanish/>
              </w:rPr>
            </w:pPr>
          </w:p>
        </w:tc>
        <w:tc>
          <w:tcPr>
            <w:tcW w:w="0" w:type="auto"/>
            <w:gridSpan w:val="3"/>
            <w:shd w:val="clear" w:color="auto" w:fill="auto"/>
            <w:vAlign w:val="bottom"/>
          </w:tcPr>
          <w:p w14:paraId="39D97510" w14:textId="77777777" w:rsidR="00996AD7" w:rsidRDefault="00996AD7">
            <w:pPr>
              <w:rPr>
                <w:rFonts w:ascii="宋体"/>
                <w:vanish/>
              </w:rPr>
            </w:pPr>
          </w:p>
        </w:tc>
      </w:tr>
      <w:tr w:rsidR="00996AD7" w14:paraId="39D97519" w14:textId="77777777">
        <w:tc>
          <w:tcPr>
            <w:tcW w:w="0" w:type="auto"/>
            <w:gridSpan w:val="3"/>
            <w:shd w:val="clear" w:color="auto" w:fill="auto"/>
            <w:tcMar>
              <w:top w:w="40" w:type="dxa"/>
              <w:left w:w="140" w:type="dxa"/>
              <w:bottom w:w="40" w:type="dxa"/>
              <w:right w:w="20" w:type="dxa"/>
            </w:tcMar>
          </w:tcPr>
          <w:p w14:paraId="39D97512" w14:textId="77777777" w:rsidR="00996AD7" w:rsidRDefault="00D96458">
            <w:pPr>
              <w:textAlignment w:val="top"/>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vAlign w:val="bottom"/>
          </w:tcPr>
          <w:p w14:paraId="39D9751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14" w14:textId="77777777" w:rsidR="00996AD7" w:rsidRDefault="00D96458">
            <w:pPr>
              <w:jc w:val="right"/>
              <w:textAlignment w:val="bottom"/>
            </w:pPr>
            <w:r>
              <w:rPr>
                <w:rFonts w:ascii="Arial" w:eastAsia="宋体" w:hAnsi="Arial" w:cs="Arial"/>
                <w:color w:val="0068B5"/>
                <w:sz w:val="18"/>
                <w:szCs w:val="18"/>
              </w:rPr>
              <w:t>14,060 </w:t>
            </w:r>
          </w:p>
        </w:tc>
        <w:tc>
          <w:tcPr>
            <w:tcW w:w="0" w:type="auto"/>
            <w:shd w:val="clear" w:color="auto" w:fill="auto"/>
            <w:tcMar>
              <w:top w:w="40" w:type="dxa"/>
              <w:left w:w="0" w:type="dxa"/>
              <w:bottom w:w="40" w:type="dxa"/>
              <w:right w:w="20" w:type="dxa"/>
            </w:tcMar>
            <w:vAlign w:val="bottom"/>
          </w:tcPr>
          <w:p w14:paraId="39D9751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1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17" w14:textId="77777777" w:rsidR="00996AD7" w:rsidRDefault="00D96458">
            <w:pPr>
              <w:jc w:val="right"/>
              <w:textAlignment w:val="bottom"/>
            </w:pPr>
            <w:r>
              <w:rPr>
                <w:rFonts w:ascii="Arial" w:eastAsia="宋体" w:hAnsi="Arial" w:cs="Arial"/>
                <w:color w:val="262626"/>
                <w:sz w:val="18"/>
                <w:szCs w:val="18"/>
              </w:rPr>
              <w:t>12,670 </w:t>
            </w:r>
          </w:p>
        </w:tc>
        <w:tc>
          <w:tcPr>
            <w:tcW w:w="0" w:type="auto"/>
            <w:shd w:val="clear" w:color="auto" w:fill="auto"/>
            <w:tcMar>
              <w:top w:w="40" w:type="dxa"/>
              <w:left w:w="0" w:type="dxa"/>
              <w:bottom w:w="40" w:type="dxa"/>
              <w:right w:w="20" w:type="dxa"/>
            </w:tcMar>
            <w:vAlign w:val="bottom"/>
          </w:tcPr>
          <w:p w14:paraId="39D97518" w14:textId="77777777" w:rsidR="00996AD7" w:rsidRDefault="00996AD7">
            <w:pPr>
              <w:jc w:val="right"/>
              <w:rPr>
                <w:rFonts w:ascii="宋体"/>
              </w:rPr>
            </w:pPr>
          </w:p>
        </w:tc>
      </w:tr>
      <w:tr w:rsidR="00996AD7" w14:paraId="39D97521" w14:textId="77777777">
        <w:tc>
          <w:tcPr>
            <w:tcW w:w="0" w:type="auto"/>
            <w:gridSpan w:val="3"/>
            <w:shd w:val="clear" w:color="auto" w:fill="auto"/>
            <w:tcMar>
              <w:top w:w="40" w:type="dxa"/>
              <w:left w:w="20" w:type="dxa"/>
              <w:bottom w:w="40" w:type="dxa"/>
              <w:right w:w="20" w:type="dxa"/>
            </w:tcMar>
          </w:tcPr>
          <w:p w14:paraId="39D9751A" w14:textId="77777777" w:rsidR="00996AD7" w:rsidRDefault="00D96458">
            <w:pPr>
              <w:textAlignment w:val="top"/>
            </w:pPr>
            <w:r>
              <w:rPr>
                <w:rFonts w:ascii="Arial" w:eastAsia="宋体" w:hAnsi="Arial" w:cs="Arial"/>
                <w:b/>
                <w:bCs/>
                <w:color w:val="262626"/>
                <w:sz w:val="18"/>
                <w:szCs w:val="18"/>
              </w:rPr>
              <w:t>Total current liabilities</w:t>
            </w:r>
          </w:p>
        </w:tc>
        <w:tc>
          <w:tcPr>
            <w:tcW w:w="0" w:type="auto"/>
            <w:gridSpan w:val="3"/>
            <w:shd w:val="clear" w:color="auto" w:fill="auto"/>
            <w:tcMar>
              <w:top w:w="0" w:type="dxa"/>
              <w:left w:w="20" w:type="dxa"/>
              <w:bottom w:w="0" w:type="dxa"/>
              <w:right w:w="20" w:type="dxa"/>
            </w:tcMar>
            <w:vAlign w:val="bottom"/>
          </w:tcPr>
          <w:p w14:paraId="39D9751B"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51C" w14:textId="77777777" w:rsidR="00996AD7" w:rsidRDefault="00D96458">
            <w:pPr>
              <w:jc w:val="right"/>
              <w:textAlignment w:val="bottom"/>
            </w:pPr>
            <w:r>
              <w:rPr>
                <w:rFonts w:ascii="Arial" w:eastAsia="宋体" w:hAnsi="Arial" w:cs="Arial"/>
                <w:b/>
                <w:bCs/>
                <w:color w:val="0068B5"/>
                <w:sz w:val="18"/>
                <w:szCs w:val="18"/>
              </w:rPr>
              <w:t>29,572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51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1E"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51F" w14:textId="77777777" w:rsidR="00996AD7" w:rsidRDefault="00D96458">
            <w:pPr>
              <w:jc w:val="right"/>
              <w:textAlignment w:val="bottom"/>
            </w:pPr>
            <w:r>
              <w:rPr>
                <w:rFonts w:ascii="Arial" w:eastAsia="宋体" w:hAnsi="Arial" w:cs="Arial"/>
                <w:b/>
                <w:bCs/>
                <w:color w:val="262626"/>
                <w:sz w:val="18"/>
                <w:szCs w:val="18"/>
              </w:rPr>
              <w:t>24,754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520" w14:textId="77777777" w:rsidR="00996AD7" w:rsidRDefault="00996AD7">
            <w:pPr>
              <w:jc w:val="right"/>
              <w:rPr>
                <w:rFonts w:ascii="宋体"/>
              </w:rPr>
            </w:pPr>
          </w:p>
        </w:tc>
      </w:tr>
      <w:tr w:rsidR="00996AD7" w14:paraId="39D97527" w14:textId="77777777">
        <w:trPr>
          <w:hidden/>
        </w:trPr>
        <w:tc>
          <w:tcPr>
            <w:tcW w:w="0" w:type="auto"/>
            <w:gridSpan w:val="3"/>
            <w:shd w:val="clear" w:color="auto" w:fill="auto"/>
            <w:vAlign w:val="bottom"/>
          </w:tcPr>
          <w:p w14:paraId="39D97522" w14:textId="77777777" w:rsidR="00996AD7" w:rsidRDefault="00996AD7">
            <w:pPr>
              <w:rPr>
                <w:rFonts w:ascii="宋体"/>
                <w:vanish/>
              </w:rPr>
            </w:pPr>
          </w:p>
        </w:tc>
        <w:tc>
          <w:tcPr>
            <w:tcW w:w="0" w:type="auto"/>
            <w:gridSpan w:val="3"/>
            <w:shd w:val="clear" w:color="auto" w:fill="auto"/>
            <w:vAlign w:val="bottom"/>
          </w:tcPr>
          <w:p w14:paraId="39D97523" w14:textId="77777777" w:rsidR="00996AD7" w:rsidRDefault="00996AD7">
            <w:pPr>
              <w:rPr>
                <w:rFonts w:ascii="宋体"/>
                <w:vanish/>
              </w:rPr>
            </w:pPr>
          </w:p>
        </w:tc>
        <w:tc>
          <w:tcPr>
            <w:tcW w:w="0" w:type="auto"/>
            <w:gridSpan w:val="3"/>
            <w:shd w:val="clear" w:color="auto" w:fill="auto"/>
            <w:vAlign w:val="bottom"/>
          </w:tcPr>
          <w:p w14:paraId="39D97524" w14:textId="77777777" w:rsidR="00996AD7" w:rsidRDefault="00996AD7">
            <w:pPr>
              <w:rPr>
                <w:rFonts w:ascii="宋体"/>
                <w:vanish/>
              </w:rPr>
            </w:pPr>
          </w:p>
        </w:tc>
        <w:tc>
          <w:tcPr>
            <w:tcW w:w="0" w:type="auto"/>
            <w:gridSpan w:val="3"/>
            <w:shd w:val="clear" w:color="auto" w:fill="auto"/>
            <w:vAlign w:val="bottom"/>
          </w:tcPr>
          <w:p w14:paraId="39D97525" w14:textId="77777777" w:rsidR="00996AD7" w:rsidRDefault="00996AD7">
            <w:pPr>
              <w:rPr>
                <w:rFonts w:ascii="宋体"/>
                <w:vanish/>
              </w:rPr>
            </w:pPr>
          </w:p>
        </w:tc>
        <w:tc>
          <w:tcPr>
            <w:tcW w:w="0" w:type="auto"/>
            <w:gridSpan w:val="3"/>
            <w:shd w:val="clear" w:color="auto" w:fill="auto"/>
            <w:vAlign w:val="bottom"/>
          </w:tcPr>
          <w:p w14:paraId="39D97526" w14:textId="77777777" w:rsidR="00996AD7" w:rsidRDefault="00996AD7">
            <w:pPr>
              <w:rPr>
                <w:rFonts w:ascii="宋体"/>
                <w:vanish/>
              </w:rPr>
            </w:pPr>
          </w:p>
        </w:tc>
      </w:tr>
      <w:tr w:rsidR="00996AD7" w14:paraId="39D9752F" w14:textId="77777777">
        <w:tc>
          <w:tcPr>
            <w:tcW w:w="0" w:type="auto"/>
            <w:gridSpan w:val="3"/>
            <w:shd w:val="clear" w:color="auto" w:fill="auto"/>
            <w:tcMar>
              <w:top w:w="40" w:type="dxa"/>
              <w:left w:w="20" w:type="dxa"/>
              <w:bottom w:w="40" w:type="dxa"/>
              <w:right w:w="20" w:type="dxa"/>
            </w:tcMar>
          </w:tcPr>
          <w:p w14:paraId="39D97528" w14:textId="77777777" w:rsidR="00996AD7" w:rsidRDefault="00D96458">
            <w:pPr>
              <w:textAlignment w:val="top"/>
            </w:pPr>
            <w:r>
              <w:rPr>
                <w:rFonts w:ascii="Arial" w:eastAsia="宋体" w:hAnsi="Arial" w:cs="Arial"/>
                <w:b/>
                <w:bCs/>
                <w:color w:val="262626"/>
                <w:sz w:val="18"/>
                <w:szCs w:val="18"/>
              </w:rPr>
              <w:t>Debt</w:t>
            </w:r>
          </w:p>
        </w:tc>
        <w:tc>
          <w:tcPr>
            <w:tcW w:w="0" w:type="auto"/>
            <w:gridSpan w:val="3"/>
            <w:shd w:val="clear" w:color="auto" w:fill="auto"/>
            <w:tcMar>
              <w:top w:w="0" w:type="dxa"/>
              <w:left w:w="20" w:type="dxa"/>
              <w:bottom w:w="0" w:type="dxa"/>
              <w:right w:w="20" w:type="dxa"/>
            </w:tcMar>
            <w:vAlign w:val="bottom"/>
          </w:tcPr>
          <w:p w14:paraId="39D9752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2A" w14:textId="77777777" w:rsidR="00996AD7" w:rsidRDefault="00D96458">
            <w:pPr>
              <w:jc w:val="right"/>
              <w:textAlignment w:val="bottom"/>
            </w:pPr>
            <w:r>
              <w:rPr>
                <w:rFonts w:ascii="Arial" w:eastAsia="宋体" w:hAnsi="Arial" w:cs="Arial"/>
                <w:b/>
                <w:bCs/>
                <w:color w:val="0068B5"/>
                <w:sz w:val="18"/>
                <w:szCs w:val="18"/>
              </w:rPr>
              <w:t>35,610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52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2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2D" w14:textId="77777777" w:rsidR="00996AD7" w:rsidRDefault="00D96458">
            <w:pPr>
              <w:jc w:val="right"/>
              <w:textAlignment w:val="bottom"/>
            </w:pPr>
            <w:r>
              <w:rPr>
                <w:rFonts w:ascii="Arial" w:eastAsia="宋体" w:hAnsi="Arial" w:cs="Arial"/>
                <w:b/>
                <w:bCs/>
                <w:color w:val="262626"/>
                <w:sz w:val="18"/>
                <w:szCs w:val="18"/>
              </w:rPr>
              <w:t>33,897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52E" w14:textId="77777777" w:rsidR="00996AD7" w:rsidRDefault="00996AD7">
            <w:pPr>
              <w:jc w:val="right"/>
              <w:rPr>
                <w:rFonts w:ascii="宋体"/>
              </w:rPr>
            </w:pPr>
          </w:p>
        </w:tc>
      </w:tr>
      <w:tr w:rsidR="00996AD7" w14:paraId="39D97537" w14:textId="77777777">
        <w:tc>
          <w:tcPr>
            <w:tcW w:w="0" w:type="auto"/>
            <w:gridSpan w:val="3"/>
            <w:shd w:val="clear" w:color="auto" w:fill="auto"/>
            <w:tcMar>
              <w:top w:w="40" w:type="dxa"/>
              <w:left w:w="20" w:type="dxa"/>
              <w:bottom w:w="40" w:type="dxa"/>
              <w:right w:w="20" w:type="dxa"/>
            </w:tcMar>
          </w:tcPr>
          <w:p w14:paraId="39D97530" w14:textId="77777777" w:rsidR="00996AD7" w:rsidRDefault="00D96458">
            <w:pPr>
              <w:textAlignment w:val="top"/>
            </w:pPr>
            <w:r>
              <w:rPr>
                <w:rFonts w:ascii="Arial" w:eastAsia="宋体" w:hAnsi="Arial" w:cs="Arial"/>
                <w:b/>
                <w:bCs/>
                <w:color w:val="262626"/>
                <w:sz w:val="18"/>
                <w:szCs w:val="18"/>
              </w:rPr>
              <w:t xml:space="preserve">Contract liabilities </w:t>
            </w:r>
          </w:p>
        </w:tc>
        <w:tc>
          <w:tcPr>
            <w:tcW w:w="0" w:type="auto"/>
            <w:gridSpan w:val="3"/>
            <w:shd w:val="clear" w:color="auto" w:fill="auto"/>
            <w:tcMar>
              <w:top w:w="0" w:type="dxa"/>
              <w:left w:w="20" w:type="dxa"/>
              <w:bottom w:w="0" w:type="dxa"/>
              <w:right w:w="20" w:type="dxa"/>
            </w:tcMar>
            <w:vAlign w:val="bottom"/>
          </w:tcPr>
          <w:p w14:paraId="39D9753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32" w14:textId="77777777" w:rsidR="00996AD7" w:rsidRDefault="00D96458">
            <w:pPr>
              <w:jc w:val="right"/>
              <w:textAlignment w:val="bottom"/>
            </w:pPr>
            <w:r>
              <w:rPr>
                <w:rFonts w:ascii="Arial" w:eastAsia="宋体" w:hAnsi="Arial" w:cs="Arial"/>
                <w:b/>
                <w:bCs/>
                <w:color w:val="0068B5"/>
                <w:sz w:val="18"/>
                <w:szCs w:val="18"/>
              </w:rPr>
              <w:t>62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53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3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35" w14:textId="77777777" w:rsidR="00996AD7" w:rsidRDefault="00D96458">
            <w:pPr>
              <w:jc w:val="right"/>
              <w:textAlignment w:val="bottom"/>
            </w:pPr>
            <w:r>
              <w:rPr>
                <w:rFonts w:ascii="Arial" w:eastAsia="宋体" w:hAnsi="Arial" w:cs="Arial"/>
                <w:b/>
                <w:bCs/>
                <w:color w:val="262626"/>
                <w:sz w:val="18"/>
                <w:szCs w:val="18"/>
              </w:rPr>
              <w:t>1,367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536" w14:textId="77777777" w:rsidR="00996AD7" w:rsidRDefault="00996AD7">
            <w:pPr>
              <w:jc w:val="right"/>
              <w:rPr>
                <w:rFonts w:ascii="宋体"/>
              </w:rPr>
            </w:pPr>
          </w:p>
        </w:tc>
      </w:tr>
      <w:tr w:rsidR="00996AD7" w14:paraId="39D9753F" w14:textId="77777777">
        <w:tc>
          <w:tcPr>
            <w:tcW w:w="0" w:type="auto"/>
            <w:gridSpan w:val="3"/>
            <w:shd w:val="clear" w:color="auto" w:fill="auto"/>
            <w:tcMar>
              <w:top w:w="40" w:type="dxa"/>
              <w:left w:w="20" w:type="dxa"/>
              <w:bottom w:w="40" w:type="dxa"/>
              <w:right w:w="20" w:type="dxa"/>
            </w:tcMar>
          </w:tcPr>
          <w:p w14:paraId="39D97538" w14:textId="77777777" w:rsidR="00996AD7" w:rsidRDefault="00D96458">
            <w:pPr>
              <w:textAlignment w:val="top"/>
            </w:pPr>
            <w:r>
              <w:rPr>
                <w:rFonts w:ascii="Arial" w:eastAsia="宋体" w:hAnsi="Arial" w:cs="Arial"/>
                <w:b/>
                <w:bCs/>
                <w:color w:val="262626"/>
                <w:sz w:val="18"/>
                <w:szCs w:val="18"/>
              </w:rPr>
              <w:t>Income taxes payable</w:t>
            </w:r>
          </w:p>
        </w:tc>
        <w:tc>
          <w:tcPr>
            <w:tcW w:w="0" w:type="auto"/>
            <w:gridSpan w:val="3"/>
            <w:shd w:val="clear" w:color="auto" w:fill="auto"/>
            <w:tcMar>
              <w:top w:w="0" w:type="dxa"/>
              <w:left w:w="20" w:type="dxa"/>
              <w:bottom w:w="0" w:type="dxa"/>
              <w:right w:w="20" w:type="dxa"/>
            </w:tcMar>
            <w:vAlign w:val="bottom"/>
          </w:tcPr>
          <w:p w14:paraId="39D9753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3A" w14:textId="77777777" w:rsidR="00996AD7" w:rsidRDefault="00D96458">
            <w:pPr>
              <w:jc w:val="right"/>
              <w:textAlignment w:val="bottom"/>
            </w:pPr>
            <w:r>
              <w:rPr>
                <w:rFonts w:ascii="Arial" w:eastAsia="宋体" w:hAnsi="Arial" w:cs="Arial"/>
                <w:b/>
                <w:bCs/>
                <w:color w:val="0068B5"/>
                <w:sz w:val="18"/>
                <w:szCs w:val="18"/>
              </w:rPr>
              <w:t>4,223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53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3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3D" w14:textId="77777777" w:rsidR="00996AD7" w:rsidRDefault="00D96458">
            <w:pPr>
              <w:jc w:val="right"/>
              <w:textAlignment w:val="bottom"/>
            </w:pPr>
            <w:r>
              <w:rPr>
                <w:rFonts w:ascii="Arial" w:eastAsia="宋体" w:hAnsi="Arial" w:cs="Arial"/>
                <w:b/>
                <w:bCs/>
                <w:color w:val="262626"/>
                <w:sz w:val="18"/>
                <w:szCs w:val="18"/>
              </w:rPr>
              <w:t>4,578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53E" w14:textId="77777777" w:rsidR="00996AD7" w:rsidRDefault="00996AD7">
            <w:pPr>
              <w:jc w:val="right"/>
              <w:rPr>
                <w:rFonts w:ascii="宋体"/>
              </w:rPr>
            </w:pPr>
          </w:p>
        </w:tc>
      </w:tr>
      <w:tr w:rsidR="00996AD7" w14:paraId="39D97547" w14:textId="77777777">
        <w:tc>
          <w:tcPr>
            <w:tcW w:w="0" w:type="auto"/>
            <w:gridSpan w:val="3"/>
            <w:shd w:val="clear" w:color="auto" w:fill="auto"/>
            <w:tcMar>
              <w:top w:w="40" w:type="dxa"/>
              <w:left w:w="20" w:type="dxa"/>
              <w:bottom w:w="40" w:type="dxa"/>
              <w:right w:w="20" w:type="dxa"/>
            </w:tcMar>
          </w:tcPr>
          <w:p w14:paraId="39D97540" w14:textId="77777777" w:rsidR="00996AD7" w:rsidRDefault="00D96458">
            <w:pPr>
              <w:textAlignment w:val="top"/>
            </w:pPr>
            <w:r>
              <w:rPr>
                <w:rFonts w:ascii="Arial" w:eastAsia="宋体" w:hAnsi="Arial" w:cs="Arial"/>
                <w:b/>
                <w:bCs/>
                <w:color w:val="262626"/>
                <w:sz w:val="18"/>
                <w:szCs w:val="18"/>
              </w:rPr>
              <w:t>Deferred income taxes</w:t>
            </w:r>
          </w:p>
        </w:tc>
        <w:tc>
          <w:tcPr>
            <w:tcW w:w="0" w:type="auto"/>
            <w:gridSpan w:val="3"/>
            <w:shd w:val="clear" w:color="auto" w:fill="auto"/>
            <w:tcMar>
              <w:top w:w="0" w:type="dxa"/>
              <w:left w:w="20" w:type="dxa"/>
              <w:bottom w:w="0" w:type="dxa"/>
              <w:right w:w="20" w:type="dxa"/>
            </w:tcMar>
            <w:vAlign w:val="bottom"/>
          </w:tcPr>
          <w:p w14:paraId="39D9754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42" w14:textId="77777777" w:rsidR="00996AD7" w:rsidRDefault="00D96458">
            <w:pPr>
              <w:jc w:val="right"/>
              <w:textAlignment w:val="bottom"/>
            </w:pPr>
            <w:r>
              <w:rPr>
                <w:rFonts w:ascii="Arial" w:eastAsia="宋体" w:hAnsi="Arial" w:cs="Arial"/>
                <w:b/>
                <w:bCs/>
                <w:color w:val="0068B5"/>
                <w:sz w:val="18"/>
                <w:szCs w:val="18"/>
              </w:rPr>
              <w:t>3,019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54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4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45" w14:textId="77777777" w:rsidR="00996AD7" w:rsidRDefault="00D96458">
            <w:pPr>
              <w:jc w:val="right"/>
              <w:textAlignment w:val="bottom"/>
            </w:pPr>
            <w:r>
              <w:rPr>
                <w:rFonts w:ascii="Arial" w:eastAsia="宋体" w:hAnsi="Arial" w:cs="Arial"/>
                <w:b/>
                <w:bCs/>
                <w:color w:val="262626"/>
                <w:sz w:val="18"/>
                <w:szCs w:val="18"/>
              </w:rPr>
              <w:t>3,843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546" w14:textId="77777777" w:rsidR="00996AD7" w:rsidRDefault="00996AD7">
            <w:pPr>
              <w:jc w:val="right"/>
              <w:rPr>
                <w:rFonts w:ascii="宋体"/>
              </w:rPr>
            </w:pPr>
          </w:p>
        </w:tc>
      </w:tr>
      <w:tr w:rsidR="00996AD7" w14:paraId="39D9754F" w14:textId="77777777">
        <w:tc>
          <w:tcPr>
            <w:tcW w:w="0" w:type="auto"/>
            <w:gridSpan w:val="3"/>
            <w:shd w:val="clear" w:color="auto" w:fill="auto"/>
            <w:tcMar>
              <w:top w:w="40" w:type="dxa"/>
              <w:left w:w="20" w:type="dxa"/>
              <w:bottom w:w="40" w:type="dxa"/>
              <w:right w:w="20" w:type="dxa"/>
            </w:tcMar>
          </w:tcPr>
          <w:p w14:paraId="39D97548" w14:textId="77777777" w:rsidR="00996AD7" w:rsidRDefault="00D96458">
            <w:pPr>
              <w:textAlignment w:val="top"/>
            </w:pPr>
            <w:r>
              <w:rPr>
                <w:rFonts w:ascii="Arial" w:eastAsia="宋体" w:hAnsi="Arial" w:cs="Arial"/>
                <w:b/>
                <w:bCs/>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39D9754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4A" w14:textId="77777777" w:rsidR="00996AD7" w:rsidRDefault="00D96458">
            <w:pPr>
              <w:jc w:val="right"/>
              <w:textAlignment w:val="bottom"/>
            </w:pPr>
            <w:r>
              <w:rPr>
                <w:rFonts w:ascii="Arial" w:eastAsia="宋体" w:hAnsi="Arial" w:cs="Arial"/>
                <w:b/>
                <w:bCs/>
                <w:color w:val="0068B5"/>
                <w:sz w:val="18"/>
                <w:szCs w:val="18"/>
              </w:rPr>
              <w:t>5,389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54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4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4D" w14:textId="77777777" w:rsidR="00996AD7" w:rsidRDefault="00D96458">
            <w:pPr>
              <w:jc w:val="right"/>
              <w:textAlignment w:val="bottom"/>
            </w:pPr>
            <w:r>
              <w:rPr>
                <w:rFonts w:ascii="Arial" w:eastAsia="宋体" w:hAnsi="Arial" w:cs="Arial"/>
                <w:b/>
                <w:bCs/>
                <w:color w:val="262626"/>
                <w:sz w:val="18"/>
                <w:szCs w:val="18"/>
              </w:rPr>
              <w:t>3,614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54E" w14:textId="77777777" w:rsidR="00996AD7" w:rsidRDefault="00996AD7">
            <w:pPr>
              <w:jc w:val="right"/>
              <w:rPr>
                <w:rFonts w:ascii="宋体"/>
              </w:rPr>
            </w:pPr>
          </w:p>
        </w:tc>
      </w:tr>
      <w:tr w:rsidR="00996AD7" w14:paraId="39D97555" w14:textId="77777777">
        <w:tc>
          <w:tcPr>
            <w:tcW w:w="0" w:type="auto"/>
            <w:gridSpan w:val="3"/>
            <w:shd w:val="clear" w:color="auto" w:fill="auto"/>
            <w:tcMar>
              <w:top w:w="40" w:type="dxa"/>
              <w:left w:w="20" w:type="dxa"/>
              <w:bottom w:w="40" w:type="dxa"/>
              <w:right w:w="20" w:type="dxa"/>
            </w:tcMar>
          </w:tcPr>
          <w:p w14:paraId="39D97550" w14:textId="77777777" w:rsidR="00996AD7" w:rsidRDefault="00D96458">
            <w:pPr>
              <w:textAlignment w:val="top"/>
            </w:pPr>
            <w:r>
              <w:rPr>
                <w:rFonts w:ascii="Arial" w:eastAsia="宋体" w:hAnsi="Arial" w:cs="Arial"/>
                <w:b/>
                <w:bCs/>
                <w:color w:val="262626"/>
                <w:sz w:val="18"/>
                <w:szCs w:val="18"/>
              </w:rPr>
              <w:t>Contingencies (Note 13)</w:t>
            </w:r>
          </w:p>
        </w:tc>
        <w:tc>
          <w:tcPr>
            <w:tcW w:w="0" w:type="auto"/>
            <w:gridSpan w:val="3"/>
            <w:shd w:val="clear" w:color="auto" w:fill="auto"/>
            <w:tcMar>
              <w:top w:w="0" w:type="dxa"/>
              <w:left w:w="20" w:type="dxa"/>
              <w:bottom w:w="0" w:type="dxa"/>
              <w:right w:w="20" w:type="dxa"/>
            </w:tcMar>
            <w:vAlign w:val="bottom"/>
          </w:tcPr>
          <w:p w14:paraId="39D9755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55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55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554" w14:textId="77777777" w:rsidR="00996AD7" w:rsidRDefault="00996AD7">
            <w:pPr>
              <w:rPr>
                <w:rFonts w:ascii="宋体"/>
              </w:rPr>
            </w:pPr>
          </w:p>
        </w:tc>
      </w:tr>
      <w:tr w:rsidR="00996AD7" w14:paraId="39D9755B" w14:textId="77777777">
        <w:trPr>
          <w:hidden/>
        </w:trPr>
        <w:tc>
          <w:tcPr>
            <w:tcW w:w="0" w:type="auto"/>
            <w:gridSpan w:val="3"/>
            <w:shd w:val="clear" w:color="auto" w:fill="auto"/>
            <w:vAlign w:val="bottom"/>
          </w:tcPr>
          <w:p w14:paraId="39D97556" w14:textId="77777777" w:rsidR="00996AD7" w:rsidRDefault="00996AD7">
            <w:pPr>
              <w:rPr>
                <w:rFonts w:ascii="宋体"/>
                <w:vanish/>
              </w:rPr>
            </w:pPr>
          </w:p>
        </w:tc>
        <w:tc>
          <w:tcPr>
            <w:tcW w:w="0" w:type="auto"/>
            <w:gridSpan w:val="3"/>
            <w:shd w:val="clear" w:color="auto" w:fill="auto"/>
            <w:vAlign w:val="bottom"/>
          </w:tcPr>
          <w:p w14:paraId="39D97557" w14:textId="77777777" w:rsidR="00996AD7" w:rsidRDefault="00996AD7">
            <w:pPr>
              <w:rPr>
                <w:rFonts w:ascii="宋体"/>
                <w:vanish/>
              </w:rPr>
            </w:pPr>
          </w:p>
        </w:tc>
        <w:tc>
          <w:tcPr>
            <w:tcW w:w="0" w:type="auto"/>
            <w:gridSpan w:val="3"/>
            <w:shd w:val="clear" w:color="auto" w:fill="auto"/>
            <w:vAlign w:val="bottom"/>
          </w:tcPr>
          <w:p w14:paraId="39D97558" w14:textId="77777777" w:rsidR="00996AD7" w:rsidRDefault="00996AD7">
            <w:pPr>
              <w:rPr>
                <w:rFonts w:ascii="宋体"/>
                <w:vanish/>
              </w:rPr>
            </w:pPr>
          </w:p>
        </w:tc>
        <w:tc>
          <w:tcPr>
            <w:tcW w:w="0" w:type="auto"/>
            <w:gridSpan w:val="3"/>
            <w:shd w:val="clear" w:color="auto" w:fill="auto"/>
            <w:vAlign w:val="bottom"/>
          </w:tcPr>
          <w:p w14:paraId="39D97559" w14:textId="77777777" w:rsidR="00996AD7" w:rsidRDefault="00996AD7">
            <w:pPr>
              <w:rPr>
                <w:rFonts w:ascii="宋体"/>
                <w:vanish/>
              </w:rPr>
            </w:pPr>
          </w:p>
        </w:tc>
        <w:tc>
          <w:tcPr>
            <w:tcW w:w="0" w:type="auto"/>
            <w:gridSpan w:val="3"/>
            <w:shd w:val="clear" w:color="auto" w:fill="auto"/>
            <w:vAlign w:val="bottom"/>
          </w:tcPr>
          <w:p w14:paraId="39D9755A" w14:textId="77777777" w:rsidR="00996AD7" w:rsidRDefault="00996AD7">
            <w:pPr>
              <w:rPr>
                <w:rFonts w:ascii="宋体"/>
                <w:vanish/>
              </w:rPr>
            </w:pPr>
          </w:p>
        </w:tc>
      </w:tr>
      <w:tr w:rsidR="00996AD7" w14:paraId="39D97561" w14:textId="77777777">
        <w:tc>
          <w:tcPr>
            <w:tcW w:w="0" w:type="auto"/>
            <w:gridSpan w:val="3"/>
            <w:shd w:val="clear" w:color="auto" w:fill="auto"/>
            <w:tcMar>
              <w:top w:w="40" w:type="dxa"/>
              <w:left w:w="20" w:type="dxa"/>
              <w:bottom w:w="40" w:type="dxa"/>
              <w:right w:w="20" w:type="dxa"/>
            </w:tcMar>
          </w:tcPr>
          <w:p w14:paraId="39D9755C" w14:textId="77777777" w:rsidR="00996AD7" w:rsidRDefault="00D96458">
            <w:pPr>
              <w:textAlignment w:val="top"/>
            </w:pPr>
            <w:r>
              <w:rPr>
                <w:rFonts w:ascii="Arial" w:eastAsia="宋体" w:hAnsi="Arial" w:cs="Arial"/>
                <w:color w:val="262626"/>
                <w:sz w:val="18"/>
                <w:szCs w:val="18"/>
              </w:rPr>
              <w:t>Stockholders’ equity:</w:t>
            </w:r>
          </w:p>
        </w:tc>
        <w:tc>
          <w:tcPr>
            <w:tcW w:w="0" w:type="auto"/>
            <w:gridSpan w:val="3"/>
            <w:shd w:val="clear" w:color="auto" w:fill="auto"/>
            <w:tcMar>
              <w:top w:w="0" w:type="dxa"/>
              <w:left w:w="20" w:type="dxa"/>
              <w:bottom w:w="0" w:type="dxa"/>
              <w:right w:w="20" w:type="dxa"/>
            </w:tcMar>
            <w:vAlign w:val="bottom"/>
          </w:tcPr>
          <w:p w14:paraId="39D9755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55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55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560" w14:textId="77777777" w:rsidR="00996AD7" w:rsidRDefault="00996AD7">
            <w:pPr>
              <w:rPr>
                <w:rFonts w:ascii="宋体"/>
              </w:rPr>
            </w:pPr>
          </w:p>
        </w:tc>
      </w:tr>
      <w:tr w:rsidR="00996AD7" w14:paraId="39D97567" w14:textId="77777777">
        <w:trPr>
          <w:hidden/>
        </w:trPr>
        <w:tc>
          <w:tcPr>
            <w:tcW w:w="0" w:type="auto"/>
            <w:gridSpan w:val="3"/>
            <w:shd w:val="clear" w:color="auto" w:fill="auto"/>
            <w:vAlign w:val="bottom"/>
          </w:tcPr>
          <w:p w14:paraId="39D97562" w14:textId="77777777" w:rsidR="00996AD7" w:rsidRDefault="00996AD7">
            <w:pPr>
              <w:rPr>
                <w:rFonts w:ascii="宋体"/>
                <w:vanish/>
              </w:rPr>
            </w:pPr>
          </w:p>
        </w:tc>
        <w:tc>
          <w:tcPr>
            <w:tcW w:w="0" w:type="auto"/>
            <w:gridSpan w:val="3"/>
            <w:shd w:val="clear" w:color="auto" w:fill="auto"/>
            <w:vAlign w:val="bottom"/>
          </w:tcPr>
          <w:p w14:paraId="39D97563" w14:textId="77777777" w:rsidR="00996AD7" w:rsidRDefault="00996AD7">
            <w:pPr>
              <w:rPr>
                <w:rFonts w:ascii="宋体"/>
                <w:vanish/>
              </w:rPr>
            </w:pPr>
          </w:p>
        </w:tc>
        <w:tc>
          <w:tcPr>
            <w:tcW w:w="0" w:type="auto"/>
            <w:gridSpan w:val="3"/>
            <w:shd w:val="clear" w:color="auto" w:fill="auto"/>
            <w:vAlign w:val="bottom"/>
          </w:tcPr>
          <w:p w14:paraId="39D97564" w14:textId="77777777" w:rsidR="00996AD7" w:rsidRDefault="00996AD7">
            <w:pPr>
              <w:rPr>
                <w:rFonts w:ascii="宋体"/>
                <w:vanish/>
              </w:rPr>
            </w:pPr>
          </w:p>
        </w:tc>
        <w:tc>
          <w:tcPr>
            <w:tcW w:w="0" w:type="auto"/>
            <w:gridSpan w:val="3"/>
            <w:shd w:val="clear" w:color="auto" w:fill="auto"/>
            <w:vAlign w:val="bottom"/>
          </w:tcPr>
          <w:p w14:paraId="39D97565" w14:textId="77777777" w:rsidR="00996AD7" w:rsidRDefault="00996AD7">
            <w:pPr>
              <w:rPr>
                <w:rFonts w:ascii="宋体"/>
                <w:vanish/>
              </w:rPr>
            </w:pPr>
          </w:p>
        </w:tc>
        <w:tc>
          <w:tcPr>
            <w:tcW w:w="0" w:type="auto"/>
            <w:gridSpan w:val="3"/>
            <w:shd w:val="clear" w:color="auto" w:fill="auto"/>
            <w:vAlign w:val="bottom"/>
          </w:tcPr>
          <w:p w14:paraId="39D97566" w14:textId="77777777" w:rsidR="00996AD7" w:rsidRDefault="00996AD7">
            <w:pPr>
              <w:rPr>
                <w:rFonts w:ascii="宋体"/>
                <w:vanish/>
              </w:rPr>
            </w:pPr>
          </w:p>
        </w:tc>
      </w:tr>
      <w:tr w:rsidR="00996AD7" w14:paraId="39D9756F" w14:textId="77777777">
        <w:tc>
          <w:tcPr>
            <w:tcW w:w="0" w:type="auto"/>
            <w:gridSpan w:val="3"/>
            <w:shd w:val="clear" w:color="auto" w:fill="auto"/>
            <w:tcMar>
              <w:top w:w="40" w:type="dxa"/>
              <w:left w:w="140" w:type="dxa"/>
              <w:bottom w:w="40" w:type="dxa"/>
              <w:right w:w="20" w:type="dxa"/>
            </w:tcMar>
          </w:tcPr>
          <w:p w14:paraId="39D97568" w14:textId="77777777" w:rsidR="00996AD7" w:rsidRDefault="00D96458">
            <w:pPr>
              <w:textAlignment w:val="top"/>
            </w:pPr>
            <w:r>
              <w:rPr>
                <w:rFonts w:ascii="Arial" w:eastAsia="宋体" w:hAnsi="Arial" w:cs="Arial"/>
                <w:color w:val="262626"/>
                <w:sz w:val="18"/>
                <w:szCs w:val="18"/>
              </w:rPr>
              <w:t>Common stock and capital in excess of par value, 4,067 issued and outstanding (4,062 issued and outstanding as of December 26, 2020)</w:t>
            </w:r>
          </w:p>
        </w:tc>
        <w:tc>
          <w:tcPr>
            <w:tcW w:w="0" w:type="auto"/>
            <w:gridSpan w:val="3"/>
            <w:shd w:val="clear" w:color="auto" w:fill="auto"/>
            <w:tcMar>
              <w:top w:w="0" w:type="dxa"/>
              <w:left w:w="20" w:type="dxa"/>
              <w:bottom w:w="0" w:type="dxa"/>
              <w:right w:w="20" w:type="dxa"/>
            </w:tcMar>
            <w:vAlign w:val="bottom"/>
          </w:tcPr>
          <w:p w14:paraId="39D9756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6A" w14:textId="77777777" w:rsidR="00996AD7" w:rsidRDefault="00D96458">
            <w:pPr>
              <w:jc w:val="right"/>
              <w:textAlignment w:val="bottom"/>
            </w:pPr>
            <w:r>
              <w:rPr>
                <w:rFonts w:ascii="Arial" w:eastAsia="宋体" w:hAnsi="Arial" w:cs="Arial"/>
                <w:color w:val="0068B5"/>
                <w:sz w:val="18"/>
                <w:szCs w:val="18"/>
              </w:rPr>
              <w:t>27,592 </w:t>
            </w:r>
          </w:p>
        </w:tc>
        <w:tc>
          <w:tcPr>
            <w:tcW w:w="0" w:type="auto"/>
            <w:shd w:val="clear" w:color="auto" w:fill="auto"/>
            <w:tcMar>
              <w:top w:w="40" w:type="dxa"/>
              <w:left w:w="0" w:type="dxa"/>
              <w:bottom w:w="40" w:type="dxa"/>
              <w:right w:w="20" w:type="dxa"/>
            </w:tcMar>
            <w:vAlign w:val="bottom"/>
          </w:tcPr>
          <w:p w14:paraId="39D9756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6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6D" w14:textId="77777777" w:rsidR="00996AD7" w:rsidRDefault="00D96458">
            <w:pPr>
              <w:jc w:val="right"/>
              <w:textAlignment w:val="bottom"/>
            </w:pPr>
            <w:r>
              <w:rPr>
                <w:rFonts w:ascii="Arial" w:eastAsia="宋体" w:hAnsi="Arial" w:cs="Arial"/>
                <w:color w:val="262626"/>
                <w:sz w:val="18"/>
                <w:szCs w:val="18"/>
              </w:rPr>
              <w:t>25,556 </w:t>
            </w:r>
          </w:p>
        </w:tc>
        <w:tc>
          <w:tcPr>
            <w:tcW w:w="0" w:type="auto"/>
            <w:shd w:val="clear" w:color="auto" w:fill="auto"/>
            <w:tcMar>
              <w:top w:w="40" w:type="dxa"/>
              <w:left w:w="0" w:type="dxa"/>
              <w:bottom w:w="40" w:type="dxa"/>
              <w:right w:w="20" w:type="dxa"/>
            </w:tcMar>
            <w:vAlign w:val="bottom"/>
          </w:tcPr>
          <w:p w14:paraId="39D9756E" w14:textId="77777777" w:rsidR="00996AD7" w:rsidRDefault="00996AD7">
            <w:pPr>
              <w:jc w:val="right"/>
              <w:rPr>
                <w:rFonts w:ascii="宋体"/>
              </w:rPr>
            </w:pPr>
          </w:p>
        </w:tc>
      </w:tr>
      <w:tr w:rsidR="00996AD7" w14:paraId="39D97577" w14:textId="77777777">
        <w:tc>
          <w:tcPr>
            <w:tcW w:w="0" w:type="auto"/>
            <w:gridSpan w:val="3"/>
            <w:shd w:val="clear" w:color="auto" w:fill="auto"/>
            <w:tcMar>
              <w:top w:w="40" w:type="dxa"/>
              <w:left w:w="140" w:type="dxa"/>
              <w:bottom w:w="40" w:type="dxa"/>
              <w:right w:w="20" w:type="dxa"/>
            </w:tcMar>
          </w:tcPr>
          <w:p w14:paraId="39D97570" w14:textId="77777777" w:rsidR="00996AD7" w:rsidRDefault="00D96458">
            <w:pPr>
              <w:textAlignment w:val="top"/>
            </w:pPr>
            <w:r>
              <w:rPr>
                <w:rFonts w:ascii="Arial" w:eastAsia="宋体" w:hAnsi="Arial" w:cs="Arial"/>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vAlign w:val="bottom"/>
          </w:tcPr>
          <w:p w14:paraId="39D9757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72" w14:textId="77777777" w:rsidR="00996AD7" w:rsidRDefault="00D96458">
            <w:pPr>
              <w:jc w:val="right"/>
              <w:textAlignment w:val="bottom"/>
            </w:pPr>
            <w:r>
              <w:rPr>
                <w:rFonts w:ascii="Arial" w:eastAsia="宋体" w:hAnsi="Arial" w:cs="Arial"/>
                <w:color w:val="0068B5"/>
                <w:sz w:val="18"/>
                <w:szCs w:val="18"/>
              </w:rPr>
              <w:t>(1,147)</w:t>
            </w:r>
          </w:p>
        </w:tc>
        <w:tc>
          <w:tcPr>
            <w:tcW w:w="0" w:type="auto"/>
            <w:shd w:val="clear" w:color="auto" w:fill="auto"/>
            <w:tcMar>
              <w:top w:w="40" w:type="dxa"/>
              <w:left w:w="0" w:type="dxa"/>
              <w:bottom w:w="40" w:type="dxa"/>
              <w:right w:w="20" w:type="dxa"/>
            </w:tcMar>
            <w:vAlign w:val="bottom"/>
          </w:tcPr>
          <w:p w14:paraId="39D9757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7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75" w14:textId="77777777" w:rsidR="00996AD7" w:rsidRDefault="00D96458">
            <w:pPr>
              <w:jc w:val="right"/>
              <w:textAlignment w:val="bottom"/>
            </w:pPr>
            <w:r>
              <w:rPr>
                <w:rFonts w:ascii="Arial" w:eastAsia="宋体" w:hAnsi="Arial" w:cs="Arial"/>
                <w:color w:val="262626"/>
                <w:sz w:val="18"/>
                <w:szCs w:val="18"/>
              </w:rPr>
              <w:t>(751)</w:t>
            </w:r>
          </w:p>
        </w:tc>
        <w:tc>
          <w:tcPr>
            <w:tcW w:w="0" w:type="auto"/>
            <w:shd w:val="clear" w:color="auto" w:fill="auto"/>
            <w:tcMar>
              <w:top w:w="40" w:type="dxa"/>
              <w:left w:w="0" w:type="dxa"/>
              <w:bottom w:w="40" w:type="dxa"/>
              <w:right w:w="20" w:type="dxa"/>
            </w:tcMar>
            <w:vAlign w:val="bottom"/>
          </w:tcPr>
          <w:p w14:paraId="39D97576" w14:textId="77777777" w:rsidR="00996AD7" w:rsidRDefault="00996AD7">
            <w:pPr>
              <w:jc w:val="right"/>
              <w:rPr>
                <w:rFonts w:ascii="宋体"/>
              </w:rPr>
            </w:pPr>
          </w:p>
        </w:tc>
      </w:tr>
      <w:tr w:rsidR="00996AD7" w14:paraId="39D9757F" w14:textId="77777777">
        <w:tc>
          <w:tcPr>
            <w:tcW w:w="0" w:type="auto"/>
            <w:gridSpan w:val="3"/>
            <w:shd w:val="clear" w:color="auto" w:fill="auto"/>
            <w:tcMar>
              <w:top w:w="40" w:type="dxa"/>
              <w:left w:w="140" w:type="dxa"/>
              <w:bottom w:w="40" w:type="dxa"/>
              <w:right w:w="20" w:type="dxa"/>
            </w:tcMar>
          </w:tcPr>
          <w:p w14:paraId="39D97578" w14:textId="77777777" w:rsidR="00996AD7" w:rsidRDefault="00D96458">
            <w:pPr>
              <w:textAlignment w:val="top"/>
            </w:pPr>
            <w:r>
              <w:rPr>
                <w:rFonts w:ascii="Arial" w:eastAsia="宋体" w:hAnsi="Arial" w:cs="Arial"/>
                <w:color w:val="262626"/>
                <w:sz w:val="18"/>
                <w:szCs w:val="18"/>
              </w:rPr>
              <w:t>Retained earnings</w:t>
            </w:r>
          </w:p>
        </w:tc>
        <w:tc>
          <w:tcPr>
            <w:tcW w:w="0" w:type="auto"/>
            <w:gridSpan w:val="3"/>
            <w:shd w:val="clear" w:color="auto" w:fill="auto"/>
            <w:tcMar>
              <w:top w:w="0" w:type="dxa"/>
              <w:left w:w="20" w:type="dxa"/>
              <w:bottom w:w="0" w:type="dxa"/>
              <w:right w:w="20" w:type="dxa"/>
            </w:tcMar>
            <w:vAlign w:val="bottom"/>
          </w:tcPr>
          <w:p w14:paraId="39D9757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7A" w14:textId="77777777" w:rsidR="00996AD7" w:rsidRDefault="00D96458">
            <w:pPr>
              <w:jc w:val="right"/>
              <w:textAlignment w:val="bottom"/>
            </w:pPr>
            <w:r>
              <w:rPr>
                <w:rFonts w:ascii="Arial" w:eastAsia="宋体" w:hAnsi="Arial" w:cs="Arial"/>
                <w:color w:val="0068B5"/>
                <w:sz w:val="18"/>
                <w:szCs w:val="18"/>
              </w:rPr>
              <w:t>63,642 </w:t>
            </w:r>
          </w:p>
        </w:tc>
        <w:tc>
          <w:tcPr>
            <w:tcW w:w="0" w:type="auto"/>
            <w:shd w:val="clear" w:color="auto" w:fill="auto"/>
            <w:tcMar>
              <w:top w:w="40" w:type="dxa"/>
              <w:left w:w="0" w:type="dxa"/>
              <w:bottom w:w="40" w:type="dxa"/>
              <w:right w:w="20" w:type="dxa"/>
            </w:tcMar>
            <w:vAlign w:val="bottom"/>
          </w:tcPr>
          <w:p w14:paraId="39D9757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7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7D" w14:textId="77777777" w:rsidR="00996AD7" w:rsidRDefault="00D96458">
            <w:pPr>
              <w:jc w:val="right"/>
              <w:textAlignment w:val="bottom"/>
            </w:pPr>
            <w:r>
              <w:rPr>
                <w:rFonts w:ascii="Arial" w:eastAsia="宋体" w:hAnsi="Arial" w:cs="Arial"/>
                <w:color w:val="262626"/>
                <w:sz w:val="18"/>
                <w:szCs w:val="18"/>
              </w:rPr>
              <w:t>56,233 </w:t>
            </w:r>
          </w:p>
        </w:tc>
        <w:tc>
          <w:tcPr>
            <w:tcW w:w="0" w:type="auto"/>
            <w:shd w:val="clear" w:color="auto" w:fill="auto"/>
            <w:tcMar>
              <w:top w:w="40" w:type="dxa"/>
              <w:left w:w="0" w:type="dxa"/>
              <w:bottom w:w="40" w:type="dxa"/>
              <w:right w:w="20" w:type="dxa"/>
            </w:tcMar>
            <w:vAlign w:val="bottom"/>
          </w:tcPr>
          <w:p w14:paraId="39D9757E" w14:textId="77777777" w:rsidR="00996AD7" w:rsidRDefault="00996AD7">
            <w:pPr>
              <w:jc w:val="right"/>
              <w:rPr>
                <w:rFonts w:ascii="宋体"/>
              </w:rPr>
            </w:pPr>
          </w:p>
        </w:tc>
      </w:tr>
      <w:tr w:rsidR="00996AD7" w14:paraId="39D97587" w14:textId="77777777">
        <w:tc>
          <w:tcPr>
            <w:tcW w:w="0" w:type="auto"/>
            <w:gridSpan w:val="3"/>
            <w:shd w:val="clear" w:color="auto" w:fill="auto"/>
            <w:tcMar>
              <w:top w:w="40" w:type="dxa"/>
              <w:left w:w="20" w:type="dxa"/>
              <w:bottom w:w="40" w:type="dxa"/>
              <w:right w:w="20" w:type="dxa"/>
            </w:tcMar>
          </w:tcPr>
          <w:p w14:paraId="39D97580" w14:textId="77777777" w:rsidR="00996AD7" w:rsidRDefault="00D96458">
            <w:pPr>
              <w:textAlignment w:val="top"/>
            </w:pPr>
            <w:r>
              <w:rPr>
                <w:rFonts w:ascii="Arial" w:eastAsia="宋体" w:hAnsi="Arial" w:cs="Arial"/>
                <w:b/>
                <w:bCs/>
                <w:color w:val="262626"/>
                <w:sz w:val="18"/>
                <w:szCs w:val="18"/>
              </w:rPr>
              <w:t>Total stockholders’ equity</w:t>
            </w:r>
          </w:p>
        </w:tc>
        <w:tc>
          <w:tcPr>
            <w:tcW w:w="0" w:type="auto"/>
            <w:gridSpan w:val="3"/>
            <w:shd w:val="clear" w:color="auto" w:fill="auto"/>
            <w:tcMar>
              <w:top w:w="0" w:type="dxa"/>
              <w:left w:w="20" w:type="dxa"/>
              <w:bottom w:w="0" w:type="dxa"/>
              <w:right w:w="20" w:type="dxa"/>
            </w:tcMar>
            <w:vAlign w:val="bottom"/>
          </w:tcPr>
          <w:p w14:paraId="39D97581"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582" w14:textId="77777777" w:rsidR="00996AD7" w:rsidRDefault="00D96458">
            <w:pPr>
              <w:jc w:val="right"/>
              <w:textAlignment w:val="bottom"/>
            </w:pPr>
            <w:r>
              <w:rPr>
                <w:rFonts w:ascii="Arial" w:eastAsia="宋体" w:hAnsi="Arial" w:cs="Arial"/>
                <w:b/>
                <w:bCs/>
                <w:color w:val="0068B5"/>
                <w:sz w:val="18"/>
                <w:szCs w:val="18"/>
              </w:rPr>
              <w:t>90,087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58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84"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585" w14:textId="77777777" w:rsidR="00996AD7" w:rsidRDefault="00D96458">
            <w:pPr>
              <w:jc w:val="right"/>
              <w:textAlignment w:val="bottom"/>
            </w:pPr>
            <w:r>
              <w:rPr>
                <w:rFonts w:ascii="Arial" w:eastAsia="宋体" w:hAnsi="Arial" w:cs="Arial"/>
                <w:b/>
                <w:bCs/>
                <w:color w:val="262626"/>
                <w:sz w:val="18"/>
                <w:szCs w:val="18"/>
              </w:rPr>
              <w:t>81,038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586" w14:textId="77777777" w:rsidR="00996AD7" w:rsidRDefault="00996AD7">
            <w:pPr>
              <w:jc w:val="right"/>
              <w:rPr>
                <w:rFonts w:ascii="宋体"/>
              </w:rPr>
            </w:pPr>
          </w:p>
        </w:tc>
      </w:tr>
      <w:tr w:rsidR="00996AD7" w14:paraId="39D97591" w14:textId="77777777">
        <w:tc>
          <w:tcPr>
            <w:tcW w:w="0" w:type="auto"/>
            <w:gridSpan w:val="3"/>
            <w:shd w:val="clear" w:color="auto" w:fill="auto"/>
            <w:tcMar>
              <w:top w:w="40" w:type="dxa"/>
              <w:left w:w="20" w:type="dxa"/>
              <w:bottom w:w="40" w:type="dxa"/>
              <w:right w:w="20" w:type="dxa"/>
            </w:tcMar>
          </w:tcPr>
          <w:p w14:paraId="39D97588" w14:textId="77777777" w:rsidR="00996AD7" w:rsidRDefault="00D96458">
            <w:pPr>
              <w:textAlignment w:val="top"/>
            </w:pPr>
            <w:r>
              <w:rPr>
                <w:rFonts w:ascii="Arial" w:eastAsia="宋体" w:hAnsi="Arial" w:cs="Arial"/>
                <w:b/>
                <w:bCs/>
                <w:color w:val="262626"/>
                <w:sz w:val="18"/>
                <w:szCs w:val="18"/>
              </w:rPr>
              <w:t>Total liabilities and stockholders’ equity</w:t>
            </w:r>
          </w:p>
        </w:tc>
        <w:tc>
          <w:tcPr>
            <w:tcW w:w="0" w:type="auto"/>
            <w:gridSpan w:val="3"/>
            <w:shd w:val="clear" w:color="auto" w:fill="auto"/>
            <w:tcMar>
              <w:top w:w="0" w:type="dxa"/>
              <w:left w:w="20" w:type="dxa"/>
              <w:bottom w:w="0" w:type="dxa"/>
              <w:right w:w="20" w:type="dxa"/>
            </w:tcMar>
            <w:vAlign w:val="bottom"/>
          </w:tcPr>
          <w:p w14:paraId="39D97589"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58A"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58B" w14:textId="77777777" w:rsidR="00996AD7" w:rsidRDefault="00D96458">
            <w:pPr>
              <w:jc w:val="right"/>
              <w:textAlignment w:val="bottom"/>
            </w:pPr>
            <w:r>
              <w:rPr>
                <w:rFonts w:ascii="Arial" w:eastAsia="宋体" w:hAnsi="Arial" w:cs="Arial"/>
                <w:b/>
                <w:bCs/>
                <w:color w:val="0068B5"/>
                <w:sz w:val="18"/>
                <w:szCs w:val="18"/>
              </w:rPr>
              <w:t>167,962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58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8D"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58E"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58F" w14:textId="77777777" w:rsidR="00996AD7" w:rsidRDefault="00D96458">
            <w:pPr>
              <w:jc w:val="right"/>
              <w:textAlignment w:val="bottom"/>
            </w:pPr>
            <w:r>
              <w:rPr>
                <w:rFonts w:ascii="Arial" w:eastAsia="宋体" w:hAnsi="Arial" w:cs="Arial"/>
                <w:b/>
                <w:bCs/>
                <w:color w:val="262626"/>
                <w:sz w:val="18"/>
                <w:szCs w:val="18"/>
              </w:rPr>
              <w:t>153,091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590" w14:textId="77777777" w:rsidR="00996AD7" w:rsidRDefault="00996AD7">
            <w:pPr>
              <w:jc w:val="right"/>
              <w:rPr>
                <w:rFonts w:ascii="宋体"/>
              </w:rPr>
            </w:pPr>
          </w:p>
        </w:tc>
      </w:tr>
    </w:tbl>
    <w:p w14:paraId="39D97592" w14:textId="77777777" w:rsidR="00996AD7" w:rsidRDefault="00D96458">
      <w:pPr>
        <w:spacing w:before="80" w:after="180"/>
      </w:pPr>
      <w:r>
        <w:rPr>
          <w:rFonts w:ascii="Arial" w:eastAsia="宋体" w:hAnsi="Arial" w:cs="Arial"/>
          <w:i/>
          <w:iCs/>
          <w:color w:val="262626"/>
          <w:sz w:val="16"/>
          <w:szCs w:val="16"/>
        </w:rPr>
        <w:t xml:space="preserve">See </w:t>
      </w:r>
      <w:r>
        <w:rPr>
          <w:rFonts w:ascii="Arial" w:eastAsia="宋体" w:hAnsi="Arial" w:cs="Arial"/>
          <w:i/>
          <w:iCs/>
          <w:color w:val="262626"/>
          <w:sz w:val="16"/>
          <w:szCs w:val="16"/>
        </w:rPr>
        <w:t>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2631"/>
        <w:gridCol w:w="36"/>
        <w:gridCol w:w="60"/>
        <w:gridCol w:w="3256"/>
        <w:gridCol w:w="36"/>
      </w:tblGrid>
      <w:tr w:rsidR="00996AD7" w14:paraId="39D9759F" w14:textId="77777777">
        <w:tc>
          <w:tcPr>
            <w:tcW w:w="50" w:type="pct"/>
            <w:shd w:val="clear" w:color="auto" w:fill="auto"/>
            <w:vAlign w:val="bottom"/>
          </w:tcPr>
          <w:p w14:paraId="39D97593" w14:textId="77777777" w:rsidR="00996AD7" w:rsidRDefault="00996AD7">
            <w:pPr>
              <w:rPr>
                <w:rFonts w:ascii="宋体"/>
              </w:rPr>
            </w:pPr>
          </w:p>
        </w:tc>
        <w:tc>
          <w:tcPr>
            <w:tcW w:w="238" w:type="pct"/>
            <w:shd w:val="clear" w:color="auto" w:fill="auto"/>
            <w:vAlign w:val="bottom"/>
          </w:tcPr>
          <w:p w14:paraId="39D97594" w14:textId="77777777" w:rsidR="00996AD7" w:rsidRDefault="00996AD7">
            <w:pPr>
              <w:rPr>
                <w:rFonts w:ascii="宋体"/>
              </w:rPr>
            </w:pPr>
          </w:p>
        </w:tc>
        <w:tc>
          <w:tcPr>
            <w:tcW w:w="5" w:type="pct"/>
            <w:shd w:val="clear" w:color="auto" w:fill="auto"/>
            <w:vAlign w:val="bottom"/>
          </w:tcPr>
          <w:p w14:paraId="39D97595" w14:textId="77777777" w:rsidR="00996AD7" w:rsidRDefault="00996AD7">
            <w:pPr>
              <w:rPr>
                <w:rFonts w:ascii="宋体"/>
              </w:rPr>
            </w:pPr>
          </w:p>
        </w:tc>
        <w:tc>
          <w:tcPr>
            <w:tcW w:w="50" w:type="pct"/>
            <w:shd w:val="clear" w:color="auto" w:fill="auto"/>
            <w:vAlign w:val="bottom"/>
          </w:tcPr>
          <w:p w14:paraId="39D97596" w14:textId="77777777" w:rsidR="00996AD7" w:rsidRDefault="00996AD7">
            <w:pPr>
              <w:rPr>
                <w:rFonts w:ascii="宋体"/>
              </w:rPr>
            </w:pPr>
          </w:p>
        </w:tc>
        <w:tc>
          <w:tcPr>
            <w:tcW w:w="983" w:type="pct"/>
            <w:shd w:val="clear" w:color="auto" w:fill="auto"/>
            <w:vAlign w:val="bottom"/>
          </w:tcPr>
          <w:p w14:paraId="39D97597" w14:textId="77777777" w:rsidR="00996AD7" w:rsidRDefault="00996AD7">
            <w:pPr>
              <w:rPr>
                <w:rFonts w:ascii="宋体"/>
              </w:rPr>
            </w:pPr>
          </w:p>
        </w:tc>
        <w:tc>
          <w:tcPr>
            <w:tcW w:w="5" w:type="pct"/>
            <w:shd w:val="clear" w:color="auto" w:fill="auto"/>
            <w:vAlign w:val="bottom"/>
          </w:tcPr>
          <w:p w14:paraId="39D97598" w14:textId="77777777" w:rsidR="00996AD7" w:rsidRDefault="00996AD7">
            <w:pPr>
              <w:rPr>
                <w:rFonts w:ascii="宋体"/>
              </w:rPr>
            </w:pPr>
          </w:p>
        </w:tc>
        <w:tc>
          <w:tcPr>
            <w:tcW w:w="50" w:type="pct"/>
            <w:shd w:val="clear" w:color="auto" w:fill="auto"/>
            <w:vAlign w:val="bottom"/>
          </w:tcPr>
          <w:p w14:paraId="39D97599" w14:textId="77777777" w:rsidR="00996AD7" w:rsidRDefault="00996AD7">
            <w:pPr>
              <w:rPr>
                <w:rFonts w:ascii="宋体"/>
              </w:rPr>
            </w:pPr>
          </w:p>
        </w:tc>
        <w:tc>
          <w:tcPr>
            <w:tcW w:w="1591" w:type="pct"/>
            <w:shd w:val="clear" w:color="auto" w:fill="auto"/>
            <w:vAlign w:val="bottom"/>
          </w:tcPr>
          <w:p w14:paraId="39D9759A" w14:textId="77777777" w:rsidR="00996AD7" w:rsidRDefault="00996AD7">
            <w:pPr>
              <w:rPr>
                <w:rFonts w:ascii="宋体"/>
              </w:rPr>
            </w:pPr>
          </w:p>
        </w:tc>
        <w:tc>
          <w:tcPr>
            <w:tcW w:w="5" w:type="pct"/>
            <w:shd w:val="clear" w:color="auto" w:fill="auto"/>
            <w:vAlign w:val="bottom"/>
          </w:tcPr>
          <w:p w14:paraId="39D9759B" w14:textId="77777777" w:rsidR="00996AD7" w:rsidRDefault="00996AD7">
            <w:pPr>
              <w:rPr>
                <w:rFonts w:ascii="宋体"/>
              </w:rPr>
            </w:pPr>
          </w:p>
        </w:tc>
        <w:tc>
          <w:tcPr>
            <w:tcW w:w="50" w:type="pct"/>
            <w:shd w:val="clear" w:color="auto" w:fill="auto"/>
            <w:vAlign w:val="bottom"/>
          </w:tcPr>
          <w:p w14:paraId="39D9759C" w14:textId="77777777" w:rsidR="00996AD7" w:rsidRDefault="00996AD7">
            <w:pPr>
              <w:rPr>
                <w:rFonts w:ascii="宋体"/>
              </w:rPr>
            </w:pPr>
          </w:p>
        </w:tc>
        <w:tc>
          <w:tcPr>
            <w:tcW w:w="1966" w:type="pct"/>
            <w:shd w:val="clear" w:color="auto" w:fill="auto"/>
            <w:vAlign w:val="bottom"/>
          </w:tcPr>
          <w:p w14:paraId="39D9759D" w14:textId="77777777" w:rsidR="00996AD7" w:rsidRDefault="00996AD7">
            <w:pPr>
              <w:rPr>
                <w:rFonts w:ascii="宋体"/>
              </w:rPr>
            </w:pPr>
          </w:p>
        </w:tc>
        <w:tc>
          <w:tcPr>
            <w:tcW w:w="5" w:type="pct"/>
            <w:shd w:val="clear" w:color="auto" w:fill="auto"/>
            <w:vAlign w:val="bottom"/>
          </w:tcPr>
          <w:p w14:paraId="39D9759E" w14:textId="77777777" w:rsidR="00996AD7" w:rsidRDefault="00996AD7">
            <w:pPr>
              <w:rPr>
                <w:rFonts w:ascii="宋体"/>
              </w:rPr>
            </w:pPr>
          </w:p>
        </w:tc>
      </w:tr>
      <w:tr w:rsidR="00996AD7" w14:paraId="39D975A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5A0"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A2" wp14:editId="39D9A3A3">
                  <wp:extent cx="304800" cy="304800"/>
                  <wp:effectExtent l="0" t="0" r="0" b="0"/>
                  <wp:docPr id="98" name="图片 49"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9"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5A1"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75A2" w14:textId="77777777" w:rsidR="00996AD7" w:rsidRDefault="00D96458">
            <w:pPr>
              <w:textAlignment w:val="center"/>
            </w:pPr>
            <w:r>
              <w:rPr>
                <w:rFonts w:ascii="Arial" w:eastAsia="宋体" w:hAnsi="Arial" w:cs="Arial"/>
                <w:color w:val="262626"/>
                <w:sz w:val="16"/>
                <w:szCs w:val="16"/>
              </w:rPr>
              <w:t>  Consolidated Condensed Balance Sheets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5A3" w14:textId="77777777" w:rsidR="00996AD7" w:rsidRDefault="00D96458">
            <w:pPr>
              <w:jc w:val="right"/>
              <w:textAlignment w:val="center"/>
            </w:pPr>
            <w:r>
              <w:rPr>
                <w:rFonts w:ascii="Arial" w:eastAsia="宋体" w:hAnsi="Arial" w:cs="Arial"/>
                <w:color w:val="262626"/>
                <w:sz w:val="16"/>
                <w:szCs w:val="16"/>
              </w:rPr>
              <w:t>5</w:t>
            </w:r>
          </w:p>
        </w:tc>
      </w:tr>
    </w:tbl>
    <w:p w14:paraId="39D975A5" w14:textId="77777777" w:rsidR="00996AD7" w:rsidRDefault="00D96458">
      <w:r>
        <w:pict w14:anchorId="39D9A3A4">
          <v:rect id="_x0000_i1031" style="width:415.3pt;height:1.5pt" o:hralign="center" o:hrstd="t" o:hr="t" fillcolor="#a0a0a0" stroked="f"/>
        </w:pict>
      </w:r>
    </w:p>
    <w:p w14:paraId="39D975A6" w14:textId="77777777" w:rsidR="00996AD7" w:rsidRDefault="00D96458">
      <w:pPr>
        <w:spacing w:after="180"/>
        <w:jc w:val="right"/>
      </w:pPr>
      <w:hyperlink r:id="rId32" w:anchor="i94e6cc3aa83643b8b968bd5bab038338_7" w:history="1">
        <w:r>
          <w:rPr>
            <w:rStyle w:val="a5"/>
            <w:rFonts w:ascii="Arial" w:eastAsia="宋体" w:hAnsi="Arial" w:cs="Arial"/>
            <w:b/>
            <w:bCs/>
            <w:color w:val="0068B5"/>
            <w:sz w:val="16"/>
            <w:szCs w:val="16"/>
          </w:rPr>
          <w:t>Table of Contents</w:t>
        </w:r>
      </w:hyperlink>
    </w:p>
    <w:p w14:paraId="39D975A7"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96AD7" w14:paraId="39D975AE" w14:textId="77777777">
        <w:tc>
          <w:tcPr>
            <w:tcW w:w="50" w:type="pct"/>
            <w:shd w:val="clear" w:color="auto" w:fill="auto"/>
            <w:vAlign w:val="bottom"/>
          </w:tcPr>
          <w:p w14:paraId="39D975A8" w14:textId="77777777" w:rsidR="00996AD7" w:rsidRDefault="00996AD7">
            <w:pPr>
              <w:rPr>
                <w:rFonts w:ascii="宋体"/>
              </w:rPr>
            </w:pPr>
          </w:p>
        </w:tc>
        <w:tc>
          <w:tcPr>
            <w:tcW w:w="4870" w:type="pct"/>
            <w:shd w:val="clear" w:color="auto" w:fill="auto"/>
            <w:vAlign w:val="bottom"/>
          </w:tcPr>
          <w:p w14:paraId="39D975A9" w14:textId="77777777" w:rsidR="00996AD7" w:rsidRDefault="00996AD7">
            <w:pPr>
              <w:rPr>
                <w:rFonts w:ascii="宋体"/>
              </w:rPr>
            </w:pPr>
          </w:p>
        </w:tc>
        <w:tc>
          <w:tcPr>
            <w:tcW w:w="5" w:type="pct"/>
            <w:shd w:val="clear" w:color="auto" w:fill="auto"/>
            <w:vAlign w:val="bottom"/>
          </w:tcPr>
          <w:p w14:paraId="39D975AA" w14:textId="77777777" w:rsidR="00996AD7" w:rsidRDefault="00996AD7">
            <w:pPr>
              <w:rPr>
                <w:rFonts w:ascii="宋体"/>
              </w:rPr>
            </w:pPr>
          </w:p>
        </w:tc>
        <w:tc>
          <w:tcPr>
            <w:tcW w:w="5" w:type="pct"/>
            <w:shd w:val="clear" w:color="auto" w:fill="auto"/>
            <w:vAlign w:val="bottom"/>
          </w:tcPr>
          <w:p w14:paraId="39D975AB" w14:textId="77777777" w:rsidR="00996AD7" w:rsidRDefault="00996AD7">
            <w:pPr>
              <w:rPr>
                <w:rFonts w:ascii="宋体"/>
              </w:rPr>
            </w:pPr>
          </w:p>
        </w:tc>
        <w:tc>
          <w:tcPr>
            <w:tcW w:w="64" w:type="pct"/>
            <w:shd w:val="clear" w:color="auto" w:fill="auto"/>
            <w:vAlign w:val="bottom"/>
          </w:tcPr>
          <w:p w14:paraId="39D975AC" w14:textId="77777777" w:rsidR="00996AD7" w:rsidRDefault="00996AD7">
            <w:pPr>
              <w:rPr>
                <w:rFonts w:ascii="宋体"/>
              </w:rPr>
            </w:pPr>
          </w:p>
        </w:tc>
        <w:tc>
          <w:tcPr>
            <w:tcW w:w="5" w:type="pct"/>
            <w:shd w:val="clear" w:color="auto" w:fill="auto"/>
            <w:vAlign w:val="bottom"/>
          </w:tcPr>
          <w:p w14:paraId="39D975AD" w14:textId="77777777" w:rsidR="00996AD7" w:rsidRDefault="00996AD7">
            <w:pPr>
              <w:rPr>
                <w:rFonts w:ascii="宋体"/>
              </w:rPr>
            </w:pPr>
          </w:p>
        </w:tc>
      </w:tr>
      <w:tr w:rsidR="00996AD7" w14:paraId="39D975B1" w14:textId="77777777">
        <w:tc>
          <w:tcPr>
            <w:tcW w:w="0" w:type="auto"/>
            <w:gridSpan w:val="3"/>
            <w:shd w:val="clear" w:color="auto" w:fill="004A86"/>
            <w:tcMar>
              <w:top w:w="40" w:type="dxa"/>
              <w:left w:w="20" w:type="dxa"/>
              <w:bottom w:w="40" w:type="dxa"/>
              <w:right w:w="20" w:type="dxa"/>
            </w:tcMar>
            <w:vAlign w:val="center"/>
          </w:tcPr>
          <w:p w14:paraId="39D975AF" w14:textId="77777777" w:rsidR="00996AD7" w:rsidRDefault="00D96458">
            <w:pPr>
              <w:textAlignment w:val="center"/>
            </w:pPr>
            <w:r>
              <w:rPr>
                <w:rFonts w:ascii="Arial" w:eastAsia="宋体" w:hAnsi="Arial" w:cs="Arial"/>
                <w:color w:val="FFFFFF"/>
                <w:sz w:val="36"/>
                <w:szCs w:val="36"/>
              </w:rPr>
              <w:t>Consolidated Condensed Statements of Cash Flows</w:t>
            </w:r>
          </w:p>
        </w:tc>
        <w:tc>
          <w:tcPr>
            <w:tcW w:w="0" w:type="auto"/>
            <w:gridSpan w:val="3"/>
            <w:shd w:val="clear" w:color="auto" w:fill="auto"/>
            <w:tcMar>
              <w:top w:w="0" w:type="dxa"/>
              <w:left w:w="20" w:type="dxa"/>
              <w:bottom w:w="0" w:type="dxa"/>
              <w:right w:w="20" w:type="dxa"/>
            </w:tcMar>
            <w:vAlign w:val="bottom"/>
          </w:tcPr>
          <w:p w14:paraId="39D975B0" w14:textId="77777777" w:rsidR="00996AD7" w:rsidRDefault="00996AD7">
            <w:pPr>
              <w:rPr>
                <w:rFonts w:ascii="宋体"/>
              </w:rPr>
            </w:pPr>
          </w:p>
        </w:tc>
      </w:tr>
      <w:tr w:rsidR="00996AD7" w14:paraId="39D975B4" w14:textId="77777777">
        <w:trPr>
          <w:trHeight w:val="160"/>
        </w:trPr>
        <w:tc>
          <w:tcPr>
            <w:tcW w:w="0" w:type="auto"/>
            <w:gridSpan w:val="3"/>
            <w:shd w:val="clear" w:color="auto" w:fill="auto"/>
            <w:tcMar>
              <w:top w:w="0" w:type="dxa"/>
              <w:left w:w="20" w:type="dxa"/>
              <w:bottom w:w="0" w:type="dxa"/>
              <w:right w:w="20" w:type="dxa"/>
            </w:tcMar>
            <w:vAlign w:val="bottom"/>
          </w:tcPr>
          <w:p w14:paraId="39D975B2" w14:textId="77777777" w:rsidR="00996AD7" w:rsidRDefault="00996AD7">
            <w:pPr>
              <w:rPr>
                <w:rFonts w:ascii="宋体"/>
              </w:rPr>
            </w:pPr>
          </w:p>
        </w:tc>
        <w:tc>
          <w:tcPr>
            <w:tcW w:w="0" w:type="auto"/>
            <w:gridSpan w:val="3"/>
            <w:shd w:val="clear" w:color="auto" w:fill="00A3F6"/>
            <w:tcMar>
              <w:top w:w="0" w:type="dxa"/>
              <w:left w:w="20" w:type="dxa"/>
              <w:bottom w:w="0" w:type="dxa"/>
              <w:right w:w="20" w:type="dxa"/>
            </w:tcMar>
            <w:vAlign w:val="bottom"/>
          </w:tcPr>
          <w:p w14:paraId="39D975B3" w14:textId="77777777" w:rsidR="00996AD7" w:rsidRDefault="00996AD7">
            <w:pPr>
              <w:rPr>
                <w:rFonts w:ascii="宋体"/>
              </w:rPr>
            </w:pPr>
          </w:p>
        </w:tc>
      </w:tr>
    </w:tbl>
    <w:p w14:paraId="39D975B5"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6099"/>
        <w:gridCol w:w="41"/>
        <w:gridCol w:w="36"/>
        <w:gridCol w:w="36"/>
        <w:gridCol w:w="36"/>
        <w:gridCol w:w="122"/>
        <w:gridCol w:w="811"/>
        <w:gridCol w:w="36"/>
        <w:gridCol w:w="36"/>
        <w:gridCol w:w="36"/>
        <w:gridCol w:w="36"/>
        <w:gridCol w:w="122"/>
        <w:gridCol w:w="811"/>
        <w:gridCol w:w="36"/>
      </w:tblGrid>
      <w:tr w:rsidR="00996AD7" w14:paraId="39D975C5" w14:textId="77777777">
        <w:tc>
          <w:tcPr>
            <w:tcW w:w="50" w:type="pct"/>
            <w:shd w:val="clear" w:color="auto" w:fill="auto"/>
            <w:vAlign w:val="bottom"/>
          </w:tcPr>
          <w:p w14:paraId="39D975B6" w14:textId="77777777" w:rsidR="00996AD7" w:rsidRDefault="00996AD7">
            <w:pPr>
              <w:rPr>
                <w:rFonts w:ascii="宋体"/>
              </w:rPr>
            </w:pPr>
          </w:p>
        </w:tc>
        <w:tc>
          <w:tcPr>
            <w:tcW w:w="3688" w:type="pct"/>
            <w:shd w:val="clear" w:color="auto" w:fill="auto"/>
            <w:vAlign w:val="bottom"/>
          </w:tcPr>
          <w:p w14:paraId="39D975B7" w14:textId="77777777" w:rsidR="00996AD7" w:rsidRDefault="00996AD7">
            <w:pPr>
              <w:rPr>
                <w:rFonts w:ascii="宋体"/>
              </w:rPr>
            </w:pPr>
          </w:p>
        </w:tc>
        <w:tc>
          <w:tcPr>
            <w:tcW w:w="5" w:type="pct"/>
            <w:shd w:val="clear" w:color="auto" w:fill="auto"/>
            <w:vAlign w:val="bottom"/>
          </w:tcPr>
          <w:p w14:paraId="39D975B8" w14:textId="77777777" w:rsidR="00996AD7" w:rsidRDefault="00996AD7">
            <w:pPr>
              <w:rPr>
                <w:rFonts w:ascii="宋体"/>
              </w:rPr>
            </w:pPr>
          </w:p>
        </w:tc>
        <w:tc>
          <w:tcPr>
            <w:tcW w:w="5" w:type="pct"/>
            <w:shd w:val="clear" w:color="auto" w:fill="auto"/>
            <w:vAlign w:val="bottom"/>
          </w:tcPr>
          <w:p w14:paraId="39D975B9" w14:textId="77777777" w:rsidR="00996AD7" w:rsidRDefault="00996AD7">
            <w:pPr>
              <w:rPr>
                <w:rFonts w:ascii="宋体"/>
              </w:rPr>
            </w:pPr>
          </w:p>
        </w:tc>
        <w:tc>
          <w:tcPr>
            <w:tcW w:w="24" w:type="pct"/>
            <w:shd w:val="clear" w:color="auto" w:fill="auto"/>
            <w:vAlign w:val="bottom"/>
          </w:tcPr>
          <w:p w14:paraId="39D975BA" w14:textId="77777777" w:rsidR="00996AD7" w:rsidRDefault="00996AD7">
            <w:pPr>
              <w:rPr>
                <w:rFonts w:ascii="宋体"/>
              </w:rPr>
            </w:pPr>
          </w:p>
        </w:tc>
        <w:tc>
          <w:tcPr>
            <w:tcW w:w="5" w:type="pct"/>
            <w:shd w:val="clear" w:color="auto" w:fill="auto"/>
            <w:vAlign w:val="bottom"/>
          </w:tcPr>
          <w:p w14:paraId="39D975BB" w14:textId="77777777" w:rsidR="00996AD7" w:rsidRDefault="00996AD7">
            <w:pPr>
              <w:rPr>
                <w:rFonts w:ascii="宋体"/>
              </w:rPr>
            </w:pPr>
          </w:p>
        </w:tc>
        <w:tc>
          <w:tcPr>
            <w:tcW w:w="50" w:type="pct"/>
            <w:shd w:val="clear" w:color="auto" w:fill="auto"/>
            <w:vAlign w:val="bottom"/>
          </w:tcPr>
          <w:p w14:paraId="39D975BC" w14:textId="77777777" w:rsidR="00996AD7" w:rsidRDefault="00996AD7">
            <w:pPr>
              <w:rPr>
                <w:rFonts w:ascii="宋体"/>
              </w:rPr>
            </w:pPr>
          </w:p>
        </w:tc>
        <w:tc>
          <w:tcPr>
            <w:tcW w:w="539" w:type="pct"/>
            <w:shd w:val="clear" w:color="auto" w:fill="auto"/>
            <w:vAlign w:val="bottom"/>
          </w:tcPr>
          <w:p w14:paraId="39D975BD" w14:textId="77777777" w:rsidR="00996AD7" w:rsidRDefault="00996AD7">
            <w:pPr>
              <w:rPr>
                <w:rFonts w:ascii="宋体"/>
              </w:rPr>
            </w:pPr>
          </w:p>
        </w:tc>
        <w:tc>
          <w:tcPr>
            <w:tcW w:w="5" w:type="pct"/>
            <w:shd w:val="clear" w:color="auto" w:fill="auto"/>
            <w:vAlign w:val="bottom"/>
          </w:tcPr>
          <w:p w14:paraId="39D975BE" w14:textId="77777777" w:rsidR="00996AD7" w:rsidRDefault="00996AD7">
            <w:pPr>
              <w:rPr>
                <w:rFonts w:ascii="宋体"/>
              </w:rPr>
            </w:pPr>
          </w:p>
        </w:tc>
        <w:tc>
          <w:tcPr>
            <w:tcW w:w="5" w:type="pct"/>
            <w:shd w:val="clear" w:color="auto" w:fill="auto"/>
            <w:vAlign w:val="bottom"/>
          </w:tcPr>
          <w:p w14:paraId="39D975BF" w14:textId="77777777" w:rsidR="00996AD7" w:rsidRDefault="00996AD7">
            <w:pPr>
              <w:rPr>
                <w:rFonts w:ascii="宋体"/>
              </w:rPr>
            </w:pPr>
          </w:p>
        </w:tc>
        <w:tc>
          <w:tcPr>
            <w:tcW w:w="24" w:type="pct"/>
            <w:shd w:val="clear" w:color="auto" w:fill="auto"/>
            <w:vAlign w:val="bottom"/>
          </w:tcPr>
          <w:p w14:paraId="39D975C0" w14:textId="77777777" w:rsidR="00996AD7" w:rsidRDefault="00996AD7">
            <w:pPr>
              <w:rPr>
                <w:rFonts w:ascii="宋体"/>
              </w:rPr>
            </w:pPr>
          </w:p>
        </w:tc>
        <w:tc>
          <w:tcPr>
            <w:tcW w:w="5" w:type="pct"/>
            <w:shd w:val="clear" w:color="auto" w:fill="auto"/>
            <w:vAlign w:val="bottom"/>
          </w:tcPr>
          <w:p w14:paraId="39D975C1" w14:textId="77777777" w:rsidR="00996AD7" w:rsidRDefault="00996AD7">
            <w:pPr>
              <w:rPr>
                <w:rFonts w:ascii="宋体"/>
              </w:rPr>
            </w:pPr>
          </w:p>
        </w:tc>
        <w:tc>
          <w:tcPr>
            <w:tcW w:w="50" w:type="pct"/>
            <w:shd w:val="clear" w:color="auto" w:fill="auto"/>
            <w:vAlign w:val="bottom"/>
          </w:tcPr>
          <w:p w14:paraId="39D975C2" w14:textId="77777777" w:rsidR="00996AD7" w:rsidRDefault="00996AD7">
            <w:pPr>
              <w:rPr>
                <w:rFonts w:ascii="宋体"/>
              </w:rPr>
            </w:pPr>
          </w:p>
        </w:tc>
        <w:tc>
          <w:tcPr>
            <w:tcW w:w="539" w:type="pct"/>
            <w:shd w:val="clear" w:color="auto" w:fill="auto"/>
            <w:vAlign w:val="bottom"/>
          </w:tcPr>
          <w:p w14:paraId="39D975C3" w14:textId="77777777" w:rsidR="00996AD7" w:rsidRDefault="00996AD7">
            <w:pPr>
              <w:rPr>
                <w:rFonts w:ascii="宋体"/>
              </w:rPr>
            </w:pPr>
          </w:p>
        </w:tc>
        <w:tc>
          <w:tcPr>
            <w:tcW w:w="5" w:type="pct"/>
            <w:shd w:val="clear" w:color="auto" w:fill="auto"/>
            <w:vAlign w:val="bottom"/>
          </w:tcPr>
          <w:p w14:paraId="39D975C4" w14:textId="77777777" w:rsidR="00996AD7" w:rsidRDefault="00996AD7">
            <w:pPr>
              <w:rPr>
                <w:rFonts w:ascii="宋体"/>
              </w:rPr>
            </w:pPr>
          </w:p>
        </w:tc>
      </w:tr>
      <w:tr w:rsidR="00996AD7" w14:paraId="39D975C9" w14:textId="77777777">
        <w:tc>
          <w:tcPr>
            <w:tcW w:w="0" w:type="auto"/>
            <w:gridSpan w:val="3"/>
            <w:shd w:val="clear" w:color="auto" w:fill="auto"/>
            <w:tcMar>
              <w:top w:w="40" w:type="dxa"/>
              <w:left w:w="20" w:type="dxa"/>
              <w:bottom w:w="40" w:type="dxa"/>
              <w:right w:w="20" w:type="dxa"/>
            </w:tcMar>
            <w:vAlign w:val="bottom"/>
          </w:tcPr>
          <w:p w14:paraId="39D975C6" w14:textId="77777777" w:rsidR="00996AD7" w:rsidRDefault="00D96458">
            <w:pPr>
              <w:ind w:hanging="180"/>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39D975C7"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75C8" w14:textId="77777777" w:rsidR="00996AD7" w:rsidRDefault="00D96458">
            <w:pPr>
              <w:jc w:val="center"/>
              <w:textAlignment w:val="bottom"/>
            </w:pPr>
            <w:r>
              <w:rPr>
                <w:rFonts w:ascii="Arial" w:eastAsia="宋体" w:hAnsi="Arial" w:cs="Arial"/>
                <w:b/>
                <w:bCs/>
                <w:color w:val="262626"/>
                <w:sz w:val="18"/>
                <w:szCs w:val="18"/>
              </w:rPr>
              <w:t>Nine Months Ended</w:t>
            </w:r>
          </w:p>
        </w:tc>
      </w:tr>
      <w:tr w:rsidR="00996AD7" w14:paraId="39D975CF" w14:textId="77777777">
        <w:tc>
          <w:tcPr>
            <w:tcW w:w="0" w:type="auto"/>
            <w:gridSpan w:val="3"/>
            <w:shd w:val="clear" w:color="auto" w:fill="auto"/>
            <w:tcMar>
              <w:top w:w="40" w:type="dxa"/>
              <w:left w:w="20" w:type="dxa"/>
              <w:bottom w:w="40" w:type="dxa"/>
              <w:right w:w="20" w:type="dxa"/>
            </w:tcMar>
            <w:vAlign w:val="bottom"/>
          </w:tcPr>
          <w:p w14:paraId="39D975CA" w14:textId="77777777" w:rsidR="00996AD7" w:rsidRDefault="00D96458">
            <w:pPr>
              <w:ind w:hanging="180"/>
              <w:textAlignment w:val="bottom"/>
            </w:pPr>
            <w:r>
              <w:rPr>
                <w:rFonts w:ascii="Arial" w:eastAsia="宋体" w:hAnsi="Arial" w:cs="Arial"/>
                <w:b/>
                <w:bCs/>
                <w:color w:val="262626"/>
                <w:sz w:val="18"/>
                <w:szCs w:val="18"/>
              </w:rPr>
              <w:t>(In Millions; Unaudited)</w:t>
            </w:r>
          </w:p>
        </w:tc>
        <w:tc>
          <w:tcPr>
            <w:tcW w:w="0" w:type="auto"/>
            <w:gridSpan w:val="3"/>
            <w:shd w:val="clear" w:color="auto" w:fill="auto"/>
            <w:tcMar>
              <w:top w:w="0" w:type="dxa"/>
              <w:left w:w="20" w:type="dxa"/>
              <w:bottom w:w="0" w:type="dxa"/>
              <w:right w:w="20" w:type="dxa"/>
            </w:tcMar>
            <w:vAlign w:val="bottom"/>
          </w:tcPr>
          <w:p w14:paraId="39D975CB"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5CC"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5CD"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5CE" w14:textId="77777777" w:rsidR="00996AD7" w:rsidRDefault="00D96458">
            <w:pPr>
              <w:jc w:val="center"/>
              <w:textAlignment w:val="bottom"/>
            </w:pPr>
            <w:r>
              <w:rPr>
                <w:rFonts w:ascii="Arial" w:eastAsia="宋体" w:hAnsi="Arial" w:cs="Arial"/>
                <w:b/>
                <w:bCs/>
                <w:color w:val="262626"/>
                <w:sz w:val="18"/>
                <w:szCs w:val="18"/>
              </w:rPr>
              <w:t>Sep 26, 2020</w:t>
            </w:r>
          </w:p>
        </w:tc>
      </w:tr>
      <w:tr w:rsidR="00996AD7" w14:paraId="39D975D5" w14:textId="77777777">
        <w:trPr>
          <w:hidden/>
        </w:trPr>
        <w:tc>
          <w:tcPr>
            <w:tcW w:w="0" w:type="auto"/>
            <w:gridSpan w:val="3"/>
            <w:shd w:val="clear" w:color="auto" w:fill="auto"/>
            <w:vAlign w:val="bottom"/>
          </w:tcPr>
          <w:p w14:paraId="39D975D0" w14:textId="77777777" w:rsidR="00996AD7" w:rsidRDefault="00996AD7">
            <w:pPr>
              <w:rPr>
                <w:rFonts w:ascii="宋体"/>
                <w:vanish/>
              </w:rPr>
            </w:pPr>
          </w:p>
        </w:tc>
        <w:tc>
          <w:tcPr>
            <w:tcW w:w="0" w:type="auto"/>
            <w:gridSpan w:val="3"/>
            <w:shd w:val="clear" w:color="auto" w:fill="auto"/>
            <w:vAlign w:val="bottom"/>
          </w:tcPr>
          <w:p w14:paraId="39D975D1" w14:textId="77777777" w:rsidR="00996AD7" w:rsidRDefault="00996AD7">
            <w:pPr>
              <w:rPr>
                <w:rFonts w:ascii="宋体"/>
                <w:vanish/>
              </w:rPr>
            </w:pPr>
          </w:p>
        </w:tc>
        <w:tc>
          <w:tcPr>
            <w:tcW w:w="0" w:type="auto"/>
            <w:gridSpan w:val="3"/>
            <w:shd w:val="clear" w:color="auto" w:fill="auto"/>
            <w:vAlign w:val="bottom"/>
          </w:tcPr>
          <w:p w14:paraId="39D975D2" w14:textId="77777777" w:rsidR="00996AD7" w:rsidRDefault="00996AD7">
            <w:pPr>
              <w:rPr>
                <w:rFonts w:ascii="宋体"/>
                <w:vanish/>
              </w:rPr>
            </w:pPr>
          </w:p>
        </w:tc>
        <w:tc>
          <w:tcPr>
            <w:tcW w:w="0" w:type="auto"/>
            <w:gridSpan w:val="3"/>
            <w:shd w:val="clear" w:color="auto" w:fill="auto"/>
            <w:vAlign w:val="bottom"/>
          </w:tcPr>
          <w:p w14:paraId="39D975D3" w14:textId="77777777" w:rsidR="00996AD7" w:rsidRDefault="00996AD7">
            <w:pPr>
              <w:rPr>
                <w:rFonts w:ascii="宋体"/>
                <w:vanish/>
              </w:rPr>
            </w:pPr>
          </w:p>
        </w:tc>
        <w:tc>
          <w:tcPr>
            <w:tcW w:w="0" w:type="auto"/>
            <w:gridSpan w:val="3"/>
            <w:shd w:val="clear" w:color="auto" w:fill="auto"/>
            <w:vAlign w:val="bottom"/>
          </w:tcPr>
          <w:p w14:paraId="39D975D4" w14:textId="77777777" w:rsidR="00996AD7" w:rsidRDefault="00996AD7">
            <w:pPr>
              <w:rPr>
                <w:rFonts w:ascii="宋体"/>
                <w:vanish/>
              </w:rPr>
            </w:pPr>
          </w:p>
        </w:tc>
      </w:tr>
      <w:tr w:rsidR="00996AD7" w14:paraId="39D975DF"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75D6" w14:textId="77777777" w:rsidR="00996AD7" w:rsidRDefault="00D96458">
            <w:pPr>
              <w:textAlignment w:val="top"/>
            </w:pPr>
            <w:r>
              <w:rPr>
                <w:rFonts w:ascii="Arial" w:eastAsia="宋体" w:hAnsi="Arial" w:cs="Arial"/>
                <w:b/>
                <w:bCs/>
                <w:color w:val="262626"/>
                <w:sz w:val="18"/>
                <w:szCs w:val="18"/>
              </w:rPr>
              <w:t>Cash and cash equivalents, beginning of period</w:t>
            </w:r>
          </w:p>
        </w:tc>
        <w:tc>
          <w:tcPr>
            <w:tcW w:w="0" w:type="auto"/>
            <w:gridSpan w:val="3"/>
            <w:shd w:val="clear" w:color="auto" w:fill="auto"/>
            <w:tcMar>
              <w:top w:w="0" w:type="dxa"/>
              <w:left w:w="20" w:type="dxa"/>
              <w:bottom w:w="0" w:type="dxa"/>
              <w:right w:w="20" w:type="dxa"/>
            </w:tcMar>
            <w:vAlign w:val="bottom"/>
          </w:tcPr>
          <w:p w14:paraId="39D975D7"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5D8"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5D9" w14:textId="77777777" w:rsidR="00996AD7" w:rsidRDefault="00D96458">
            <w:pPr>
              <w:jc w:val="right"/>
              <w:textAlignment w:val="bottom"/>
            </w:pPr>
            <w:r>
              <w:rPr>
                <w:rFonts w:ascii="Arial" w:eastAsia="宋体" w:hAnsi="Arial" w:cs="Arial"/>
                <w:b/>
                <w:bCs/>
                <w:color w:val="0068B5"/>
                <w:sz w:val="18"/>
                <w:szCs w:val="18"/>
              </w:rPr>
              <w:t>5,865</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5D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DB"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5DC"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5DD" w14:textId="77777777" w:rsidR="00996AD7" w:rsidRDefault="00D96458">
            <w:pPr>
              <w:jc w:val="right"/>
              <w:textAlignment w:val="bottom"/>
            </w:pPr>
            <w:r>
              <w:rPr>
                <w:rFonts w:ascii="Arial" w:eastAsia="宋体" w:hAnsi="Arial" w:cs="Arial"/>
                <w:b/>
                <w:bCs/>
                <w:color w:val="262626"/>
                <w:sz w:val="18"/>
                <w:szCs w:val="18"/>
              </w:rPr>
              <w:t>4,194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5DE" w14:textId="77777777" w:rsidR="00996AD7" w:rsidRDefault="00996AD7">
            <w:pPr>
              <w:jc w:val="right"/>
              <w:rPr>
                <w:rFonts w:ascii="宋体"/>
              </w:rPr>
            </w:pPr>
          </w:p>
        </w:tc>
      </w:tr>
      <w:tr w:rsidR="00996AD7" w14:paraId="39D975E5" w14:textId="77777777">
        <w:tc>
          <w:tcPr>
            <w:tcW w:w="0" w:type="auto"/>
            <w:gridSpan w:val="3"/>
            <w:shd w:val="clear" w:color="auto" w:fill="auto"/>
            <w:tcMar>
              <w:top w:w="40" w:type="dxa"/>
              <w:left w:w="20" w:type="dxa"/>
              <w:bottom w:w="40" w:type="dxa"/>
              <w:right w:w="20" w:type="dxa"/>
            </w:tcMar>
          </w:tcPr>
          <w:p w14:paraId="39D975E0" w14:textId="77777777" w:rsidR="00996AD7" w:rsidRDefault="00D96458">
            <w:pPr>
              <w:textAlignment w:val="top"/>
            </w:pPr>
            <w:r>
              <w:rPr>
                <w:rFonts w:ascii="Arial" w:eastAsia="宋体" w:hAnsi="Arial" w:cs="Arial"/>
                <w:color w:val="262626"/>
                <w:sz w:val="18"/>
                <w:szCs w:val="18"/>
              </w:rPr>
              <w:t>Cash flows provided by (used for) operating activities:</w:t>
            </w:r>
          </w:p>
        </w:tc>
        <w:tc>
          <w:tcPr>
            <w:tcW w:w="0" w:type="auto"/>
            <w:gridSpan w:val="3"/>
            <w:shd w:val="clear" w:color="auto" w:fill="auto"/>
            <w:tcMar>
              <w:top w:w="0" w:type="dxa"/>
              <w:left w:w="20" w:type="dxa"/>
              <w:bottom w:w="0" w:type="dxa"/>
              <w:right w:w="20" w:type="dxa"/>
            </w:tcMar>
            <w:vAlign w:val="bottom"/>
          </w:tcPr>
          <w:p w14:paraId="39D975E1"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75E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5E3"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75E4" w14:textId="77777777" w:rsidR="00996AD7" w:rsidRDefault="00996AD7">
            <w:pPr>
              <w:rPr>
                <w:rFonts w:ascii="宋体"/>
              </w:rPr>
            </w:pPr>
          </w:p>
        </w:tc>
      </w:tr>
      <w:tr w:rsidR="00996AD7" w14:paraId="39D975ED" w14:textId="77777777">
        <w:tc>
          <w:tcPr>
            <w:tcW w:w="0" w:type="auto"/>
            <w:gridSpan w:val="3"/>
            <w:shd w:val="clear" w:color="auto" w:fill="auto"/>
            <w:tcMar>
              <w:top w:w="40" w:type="dxa"/>
              <w:left w:w="140" w:type="dxa"/>
              <w:bottom w:w="40" w:type="dxa"/>
              <w:right w:w="20" w:type="dxa"/>
            </w:tcMar>
          </w:tcPr>
          <w:p w14:paraId="39D975E6" w14:textId="77777777" w:rsidR="00996AD7" w:rsidRDefault="00D96458">
            <w:pPr>
              <w:textAlignment w:val="top"/>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39D975E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E8" w14:textId="77777777" w:rsidR="00996AD7" w:rsidRDefault="00D96458">
            <w:pPr>
              <w:jc w:val="right"/>
              <w:textAlignment w:val="bottom"/>
            </w:pPr>
            <w:r>
              <w:rPr>
                <w:rFonts w:ascii="Arial" w:eastAsia="宋体" w:hAnsi="Arial" w:cs="Arial"/>
                <w:color w:val="0068B5"/>
                <w:sz w:val="18"/>
                <w:szCs w:val="18"/>
              </w:rPr>
              <w:t>15,245 </w:t>
            </w:r>
          </w:p>
        </w:tc>
        <w:tc>
          <w:tcPr>
            <w:tcW w:w="0" w:type="auto"/>
            <w:shd w:val="clear" w:color="auto" w:fill="auto"/>
            <w:tcMar>
              <w:top w:w="40" w:type="dxa"/>
              <w:left w:w="0" w:type="dxa"/>
              <w:bottom w:w="40" w:type="dxa"/>
              <w:right w:w="20" w:type="dxa"/>
            </w:tcMar>
            <w:vAlign w:val="bottom"/>
          </w:tcPr>
          <w:p w14:paraId="39D975E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E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EB" w14:textId="77777777" w:rsidR="00996AD7" w:rsidRDefault="00D96458">
            <w:pPr>
              <w:jc w:val="right"/>
              <w:textAlignment w:val="bottom"/>
            </w:pPr>
            <w:r>
              <w:rPr>
                <w:rFonts w:ascii="Arial" w:eastAsia="宋体" w:hAnsi="Arial" w:cs="Arial"/>
                <w:color w:val="262626"/>
                <w:sz w:val="18"/>
                <w:szCs w:val="18"/>
              </w:rPr>
              <w:t>15,042 </w:t>
            </w:r>
          </w:p>
        </w:tc>
        <w:tc>
          <w:tcPr>
            <w:tcW w:w="0" w:type="auto"/>
            <w:shd w:val="clear" w:color="auto" w:fill="auto"/>
            <w:tcMar>
              <w:top w:w="40" w:type="dxa"/>
              <w:left w:w="0" w:type="dxa"/>
              <w:bottom w:w="40" w:type="dxa"/>
              <w:right w:w="20" w:type="dxa"/>
            </w:tcMar>
            <w:vAlign w:val="bottom"/>
          </w:tcPr>
          <w:p w14:paraId="39D975EC" w14:textId="77777777" w:rsidR="00996AD7" w:rsidRDefault="00996AD7">
            <w:pPr>
              <w:jc w:val="right"/>
              <w:rPr>
                <w:rFonts w:ascii="宋体"/>
              </w:rPr>
            </w:pPr>
          </w:p>
        </w:tc>
      </w:tr>
      <w:tr w:rsidR="00996AD7" w14:paraId="39D975F3" w14:textId="77777777">
        <w:tc>
          <w:tcPr>
            <w:tcW w:w="0" w:type="auto"/>
            <w:gridSpan w:val="3"/>
            <w:shd w:val="clear" w:color="auto" w:fill="auto"/>
            <w:tcMar>
              <w:top w:w="40" w:type="dxa"/>
              <w:left w:w="140" w:type="dxa"/>
              <w:bottom w:w="40" w:type="dxa"/>
              <w:right w:w="20" w:type="dxa"/>
            </w:tcMar>
          </w:tcPr>
          <w:p w14:paraId="39D975EE" w14:textId="77777777" w:rsidR="00996AD7" w:rsidRDefault="00D96458">
            <w:pPr>
              <w:textAlignment w:val="top"/>
            </w:pPr>
            <w:r>
              <w:rPr>
                <w:rFonts w:ascii="Arial" w:eastAsia="宋体" w:hAnsi="Arial" w:cs="Arial"/>
                <w:color w:val="262626"/>
                <w:sz w:val="18"/>
                <w:szCs w:val="18"/>
              </w:rPr>
              <w:t>Adjustments to reconcile net income to net cash provided by operating activities:</w:t>
            </w:r>
          </w:p>
        </w:tc>
        <w:tc>
          <w:tcPr>
            <w:tcW w:w="0" w:type="auto"/>
            <w:gridSpan w:val="3"/>
            <w:shd w:val="clear" w:color="auto" w:fill="auto"/>
            <w:tcMar>
              <w:top w:w="0" w:type="dxa"/>
              <w:left w:w="20" w:type="dxa"/>
              <w:bottom w:w="0" w:type="dxa"/>
              <w:right w:w="20" w:type="dxa"/>
            </w:tcMar>
            <w:vAlign w:val="bottom"/>
          </w:tcPr>
          <w:p w14:paraId="39D975E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5F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5F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5F2" w14:textId="77777777" w:rsidR="00996AD7" w:rsidRDefault="00996AD7">
            <w:pPr>
              <w:rPr>
                <w:rFonts w:ascii="宋体"/>
              </w:rPr>
            </w:pPr>
          </w:p>
        </w:tc>
      </w:tr>
      <w:tr w:rsidR="00996AD7" w14:paraId="39D975FB" w14:textId="77777777">
        <w:tc>
          <w:tcPr>
            <w:tcW w:w="0" w:type="auto"/>
            <w:gridSpan w:val="3"/>
            <w:shd w:val="clear" w:color="auto" w:fill="auto"/>
            <w:tcMar>
              <w:top w:w="40" w:type="dxa"/>
              <w:left w:w="260" w:type="dxa"/>
              <w:bottom w:w="40" w:type="dxa"/>
              <w:right w:w="20" w:type="dxa"/>
            </w:tcMar>
          </w:tcPr>
          <w:p w14:paraId="39D975F4" w14:textId="77777777" w:rsidR="00996AD7" w:rsidRDefault="00D96458">
            <w:pPr>
              <w:textAlignment w:val="top"/>
            </w:pPr>
            <w:r>
              <w:rPr>
                <w:rFonts w:ascii="Arial" w:eastAsia="宋体" w:hAnsi="Arial" w:cs="Arial"/>
                <w:color w:val="262626"/>
                <w:sz w:val="18"/>
                <w:szCs w:val="18"/>
              </w:rPr>
              <w:t>Depreciation</w:t>
            </w:r>
          </w:p>
        </w:tc>
        <w:tc>
          <w:tcPr>
            <w:tcW w:w="0" w:type="auto"/>
            <w:gridSpan w:val="3"/>
            <w:shd w:val="clear" w:color="auto" w:fill="auto"/>
            <w:tcMar>
              <w:top w:w="0" w:type="dxa"/>
              <w:left w:w="20" w:type="dxa"/>
              <w:bottom w:w="0" w:type="dxa"/>
              <w:right w:w="20" w:type="dxa"/>
            </w:tcMar>
            <w:vAlign w:val="bottom"/>
          </w:tcPr>
          <w:p w14:paraId="39D975F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F6" w14:textId="77777777" w:rsidR="00996AD7" w:rsidRDefault="00D96458">
            <w:pPr>
              <w:jc w:val="right"/>
              <w:textAlignment w:val="bottom"/>
            </w:pPr>
            <w:r>
              <w:rPr>
                <w:rFonts w:ascii="Arial" w:eastAsia="宋体" w:hAnsi="Arial" w:cs="Arial"/>
                <w:color w:val="0068B5"/>
                <w:sz w:val="18"/>
                <w:szCs w:val="18"/>
              </w:rPr>
              <w:t>7,357 </w:t>
            </w:r>
          </w:p>
        </w:tc>
        <w:tc>
          <w:tcPr>
            <w:tcW w:w="0" w:type="auto"/>
            <w:shd w:val="clear" w:color="auto" w:fill="auto"/>
            <w:tcMar>
              <w:top w:w="40" w:type="dxa"/>
              <w:left w:w="0" w:type="dxa"/>
              <w:bottom w:w="40" w:type="dxa"/>
              <w:right w:w="20" w:type="dxa"/>
            </w:tcMar>
            <w:vAlign w:val="bottom"/>
          </w:tcPr>
          <w:p w14:paraId="39D975F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5F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F9" w14:textId="77777777" w:rsidR="00996AD7" w:rsidRDefault="00D96458">
            <w:pPr>
              <w:jc w:val="right"/>
              <w:textAlignment w:val="bottom"/>
            </w:pPr>
            <w:r>
              <w:rPr>
                <w:rFonts w:ascii="Arial" w:eastAsia="宋体" w:hAnsi="Arial" w:cs="Arial"/>
                <w:color w:val="262626"/>
                <w:sz w:val="18"/>
                <w:szCs w:val="18"/>
              </w:rPr>
              <w:t>7,925 </w:t>
            </w:r>
          </w:p>
        </w:tc>
        <w:tc>
          <w:tcPr>
            <w:tcW w:w="0" w:type="auto"/>
            <w:shd w:val="clear" w:color="auto" w:fill="auto"/>
            <w:tcMar>
              <w:top w:w="40" w:type="dxa"/>
              <w:left w:w="0" w:type="dxa"/>
              <w:bottom w:w="40" w:type="dxa"/>
              <w:right w:w="20" w:type="dxa"/>
            </w:tcMar>
            <w:vAlign w:val="bottom"/>
          </w:tcPr>
          <w:p w14:paraId="39D975FA" w14:textId="77777777" w:rsidR="00996AD7" w:rsidRDefault="00996AD7">
            <w:pPr>
              <w:jc w:val="right"/>
              <w:rPr>
                <w:rFonts w:ascii="宋体"/>
              </w:rPr>
            </w:pPr>
          </w:p>
        </w:tc>
      </w:tr>
      <w:tr w:rsidR="00996AD7" w14:paraId="39D97603" w14:textId="77777777">
        <w:tc>
          <w:tcPr>
            <w:tcW w:w="0" w:type="auto"/>
            <w:gridSpan w:val="3"/>
            <w:shd w:val="clear" w:color="auto" w:fill="auto"/>
            <w:tcMar>
              <w:top w:w="40" w:type="dxa"/>
              <w:left w:w="260" w:type="dxa"/>
              <w:bottom w:w="40" w:type="dxa"/>
              <w:right w:w="20" w:type="dxa"/>
            </w:tcMar>
          </w:tcPr>
          <w:p w14:paraId="39D975FC" w14:textId="77777777" w:rsidR="00996AD7" w:rsidRDefault="00D96458">
            <w:pPr>
              <w:textAlignment w:val="top"/>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39D975F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5FE" w14:textId="77777777" w:rsidR="00996AD7" w:rsidRDefault="00D96458">
            <w:pPr>
              <w:jc w:val="right"/>
              <w:textAlignment w:val="bottom"/>
            </w:pPr>
            <w:r>
              <w:rPr>
                <w:rFonts w:ascii="Arial" w:eastAsia="宋体" w:hAnsi="Arial" w:cs="Arial"/>
                <w:color w:val="0068B5"/>
                <w:sz w:val="18"/>
                <w:szCs w:val="18"/>
              </w:rPr>
              <w:t>1,587 </w:t>
            </w:r>
          </w:p>
        </w:tc>
        <w:tc>
          <w:tcPr>
            <w:tcW w:w="0" w:type="auto"/>
            <w:shd w:val="clear" w:color="auto" w:fill="auto"/>
            <w:tcMar>
              <w:top w:w="40" w:type="dxa"/>
              <w:left w:w="0" w:type="dxa"/>
              <w:bottom w:w="40" w:type="dxa"/>
              <w:right w:w="20" w:type="dxa"/>
            </w:tcMar>
            <w:vAlign w:val="bottom"/>
          </w:tcPr>
          <w:p w14:paraId="39D975F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0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01" w14:textId="77777777" w:rsidR="00996AD7" w:rsidRDefault="00D96458">
            <w:pPr>
              <w:jc w:val="right"/>
              <w:textAlignment w:val="bottom"/>
            </w:pPr>
            <w:r>
              <w:rPr>
                <w:rFonts w:ascii="Arial" w:eastAsia="宋体" w:hAnsi="Arial" w:cs="Arial"/>
                <w:color w:val="262626"/>
                <w:sz w:val="18"/>
                <w:szCs w:val="18"/>
              </w:rPr>
              <w:t>1,393 </w:t>
            </w:r>
          </w:p>
        </w:tc>
        <w:tc>
          <w:tcPr>
            <w:tcW w:w="0" w:type="auto"/>
            <w:shd w:val="clear" w:color="auto" w:fill="auto"/>
            <w:tcMar>
              <w:top w:w="40" w:type="dxa"/>
              <w:left w:w="0" w:type="dxa"/>
              <w:bottom w:w="40" w:type="dxa"/>
              <w:right w:w="20" w:type="dxa"/>
            </w:tcMar>
            <w:vAlign w:val="bottom"/>
          </w:tcPr>
          <w:p w14:paraId="39D97602" w14:textId="77777777" w:rsidR="00996AD7" w:rsidRDefault="00996AD7">
            <w:pPr>
              <w:jc w:val="right"/>
              <w:rPr>
                <w:rFonts w:ascii="宋体"/>
              </w:rPr>
            </w:pPr>
          </w:p>
        </w:tc>
      </w:tr>
      <w:tr w:rsidR="00996AD7" w14:paraId="39D97609" w14:textId="77777777">
        <w:trPr>
          <w:hidden/>
        </w:trPr>
        <w:tc>
          <w:tcPr>
            <w:tcW w:w="0" w:type="auto"/>
            <w:gridSpan w:val="3"/>
            <w:shd w:val="clear" w:color="auto" w:fill="auto"/>
            <w:vAlign w:val="bottom"/>
          </w:tcPr>
          <w:p w14:paraId="39D97604" w14:textId="77777777" w:rsidR="00996AD7" w:rsidRDefault="00996AD7">
            <w:pPr>
              <w:rPr>
                <w:rFonts w:ascii="宋体"/>
                <w:vanish/>
              </w:rPr>
            </w:pPr>
          </w:p>
        </w:tc>
        <w:tc>
          <w:tcPr>
            <w:tcW w:w="0" w:type="auto"/>
            <w:gridSpan w:val="3"/>
            <w:shd w:val="clear" w:color="auto" w:fill="auto"/>
            <w:vAlign w:val="bottom"/>
          </w:tcPr>
          <w:p w14:paraId="39D97605" w14:textId="77777777" w:rsidR="00996AD7" w:rsidRDefault="00996AD7">
            <w:pPr>
              <w:rPr>
                <w:rFonts w:ascii="宋体"/>
                <w:vanish/>
              </w:rPr>
            </w:pPr>
          </w:p>
        </w:tc>
        <w:tc>
          <w:tcPr>
            <w:tcW w:w="0" w:type="auto"/>
            <w:gridSpan w:val="3"/>
            <w:shd w:val="clear" w:color="auto" w:fill="auto"/>
            <w:vAlign w:val="bottom"/>
          </w:tcPr>
          <w:p w14:paraId="39D97606" w14:textId="77777777" w:rsidR="00996AD7" w:rsidRDefault="00996AD7">
            <w:pPr>
              <w:rPr>
                <w:rFonts w:ascii="宋体"/>
                <w:vanish/>
              </w:rPr>
            </w:pPr>
          </w:p>
        </w:tc>
        <w:tc>
          <w:tcPr>
            <w:tcW w:w="0" w:type="auto"/>
            <w:gridSpan w:val="3"/>
            <w:shd w:val="clear" w:color="auto" w:fill="auto"/>
            <w:vAlign w:val="bottom"/>
          </w:tcPr>
          <w:p w14:paraId="39D97607" w14:textId="77777777" w:rsidR="00996AD7" w:rsidRDefault="00996AD7">
            <w:pPr>
              <w:rPr>
                <w:rFonts w:ascii="宋体"/>
                <w:vanish/>
              </w:rPr>
            </w:pPr>
          </w:p>
        </w:tc>
        <w:tc>
          <w:tcPr>
            <w:tcW w:w="0" w:type="auto"/>
            <w:gridSpan w:val="3"/>
            <w:shd w:val="clear" w:color="auto" w:fill="auto"/>
            <w:vAlign w:val="bottom"/>
          </w:tcPr>
          <w:p w14:paraId="39D97608" w14:textId="77777777" w:rsidR="00996AD7" w:rsidRDefault="00996AD7">
            <w:pPr>
              <w:rPr>
                <w:rFonts w:ascii="宋体"/>
                <w:vanish/>
              </w:rPr>
            </w:pPr>
          </w:p>
        </w:tc>
      </w:tr>
      <w:tr w:rsidR="00996AD7" w14:paraId="39D97611" w14:textId="77777777">
        <w:tc>
          <w:tcPr>
            <w:tcW w:w="0" w:type="auto"/>
            <w:gridSpan w:val="3"/>
            <w:shd w:val="clear" w:color="auto" w:fill="auto"/>
            <w:tcMar>
              <w:top w:w="40" w:type="dxa"/>
              <w:left w:w="260" w:type="dxa"/>
              <w:bottom w:w="40" w:type="dxa"/>
              <w:right w:w="20" w:type="dxa"/>
            </w:tcMar>
          </w:tcPr>
          <w:p w14:paraId="39D9760A" w14:textId="77777777" w:rsidR="00996AD7" w:rsidRDefault="00D96458">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39D9760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0C" w14:textId="77777777" w:rsidR="00996AD7" w:rsidRDefault="00D96458">
            <w:pPr>
              <w:jc w:val="right"/>
              <w:textAlignment w:val="bottom"/>
            </w:pPr>
            <w:r>
              <w:rPr>
                <w:rFonts w:ascii="Arial" w:eastAsia="宋体" w:hAnsi="Arial" w:cs="Arial"/>
                <w:color w:val="0068B5"/>
                <w:sz w:val="18"/>
                <w:szCs w:val="18"/>
              </w:rPr>
              <w:t>2,597 </w:t>
            </w:r>
          </w:p>
        </w:tc>
        <w:tc>
          <w:tcPr>
            <w:tcW w:w="0" w:type="auto"/>
            <w:shd w:val="clear" w:color="auto" w:fill="auto"/>
            <w:tcMar>
              <w:top w:w="40" w:type="dxa"/>
              <w:left w:w="0" w:type="dxa"/>
              <w:bottom w:w="40" w:type="dxa"/>
              <w:right w:w="20" w:type="dxa"/>
            </w:tcMar>
            <w:vAlign w:val="bottom"/>
          </w:tcPr>
          <w:p w14:paraId="39D9760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0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0F" w14:textId="77777777" w:rsidR="00996AD7" w:rsidRDefault="00D96458">
            <w:pPr>
              <w:jc w:val="right"/>
              <w:textAlignment w:val="bottom"/>
            </w:pPr>
            <w:r>
              <w:rPr>
                <w:rFonts w:ascii="Arial" w:eastAsia="宋体" w:hAnsi="Arial" w:cs="Arial"/>
                <w:color w:val="262626"/>
                <w:sz w:val="18"/>
                <w:szCs w:val="18"/>
              </w:rPr>
              <w:t>146 </w:t>
            </w:r>
          </w:p>
        </w:tc>
        <w:tc>
          <w:tcPr>
            <w:tcW w:w="0" w:type="auto"/>
            <w:shd w:val="clear" w:color="auto" w:fill="auto"/>
            <w:tcMar>
              <w:top w:w="40" w:type="dxa"/>
              <w:left w:w="0" w:type="dxa"/>
              <w:bottom w:w="40" w:type="dxa"/>
              <w:right w:w="20" w:type="dxa"/>
            </w:tcMar>
            <w:vAlign w:val="bottom"/>
          </w:tcPr>
          <w:p w14:paraId="39D97610" w14:textId="77777777" w:rsidR="00996AD7" w:rsidRDefault="00996AD7">
            <w:pPr>
              <w:jc w:val="right"/>
              <w:rPr>
                <w:rFonts w:ascii="宋体"/>
              </w:rPr>
            </w:pPr>
          </w:p>
        </w:tc>
      </w:tr>
      <w:tr w:rsidR="00996AD7" w14:paraId="39D97619" w14:textId="77777777">
        <w:tc>
          <w:tcPr>
            <w:tcW w:w="0" w:type="auto"/>
            <w:gridSpan w:val="3"/>
            <w:shd w:val="clear" w:color="auto" w:fill="auto"/>
            <w:tcMar>
              <w:top w:w="40" w:type="dxa"/>
              <w:left w:w="260" w:type="dxa"/>
              <w:bottom w:w="40" w:type="dxa"/>
              <w:right w:w="20" w:type="dxa"/>
            </w:tcMar>
          </w:tcPr>
          <w:p w14:paraId="39D97612" w14:textId="77777777" w:rsidR="00996AD7" w:rsidRDefault="00D96458">
            <w:pPr>
              <w:textAlignment w:val="top"/>
            </w:pPr>
            <w:r>
              <w:rPr>
                <w:rFonts w:ascii="Arial" w:eastAsia="宋体" w:hAnsi="Arial" w:cs="Arial"/>
                <w:color w:val="262626"/>
                <w:sz w:val="18"/>
                <w:szCs w:val="18"/>
              </w:rPr>
              <w:t>Amortization of intangibles</w:t>
            </w:r>
          </w:p>
        </w:tc>
        <w:tc>
          <w:tcPr>
            <w:tcW w:w="0" w:type="auto"/>
            <w:gridSpan w:val="3"/>
            <w:shd w:val="clear" w:color="auto" w:fill="auto"/>
            <w:tcMar>
              <w:top w:w="0" w:type="dxa"/>
              <w:left w:w="20" w:type="dxa"/>
              <w:bottom w:w="0" w:type="dxa"/>
              <w:right w:w="20" w:type="dxa"/>
            </w:tcMar>
            <w:vAlign w:val="bottom"/>
          </w:tcPr>
          <w:p w14:paraId="39D9761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14" w14:textId="77777777" w:rsidR="00996AD7" w:rsidRDefault="00D96458">
            <w:pPr>
              <w:jc w:val="right"/>
              <w:textAlignment w:val="bottom"/>
            </w:pPr>
            <w:r>
              <w:rPr>
                <w:rFonts w:ascii="Arial" w:eastAsia="宋体" w:hAnsi="Arial" w:cs="Arial"/>
                <w:color w:val="0068B5"/>
                <w:sz w:val="18"/>
                <w:szCs w:val="18"/>
              </w:rPr>
              <w:t>1,361 </w:t>
            </w:r>
          </w:p>
        </w:tc>
        <w:tc>
          <w:tcPr>
            <w:tcW w:w="0" w:type="auto"/>
            <w:shd w:val="clear" w:color="auto" w:fill="auto"/>
            <w:tcMar>
              <w:top w:w="40" w:type="dxa"/>
              <w:left w:w="0" w:type="dxa"/>
              <w:bottom w:w="40" w:type="dxa"/>
              <w:right w:w="20" w:type="dxa"/>
            </w:tcMar>
            <w:vAlign w:val="bottom"/>
          </w:tcPr>
          <w:p w14:paraId="39D9761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1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17" w14:textId="77777777" w:rsidR="00996AD7" w:rsidRDefault="00D96458">
            <w:pPr>
              <w:jc w:val="right"/>
              <w:textAlignment w:val="bottom"/>
            </w:pPr>
            <w:r>
              <w:rPr>
                <w:rFonts w:ascii="Arial" w:eastAsia="宋体" w:hAnsi="Arial" w:cs="Arial"/>
                <w:color w:val="262626"/>
                <w:sz w:val="18"/>
                <w:szCs w:val="18"/>
              </w:rPr>
              <w:t>1,311 </w:t>
            </w:r>
          </w:p>
        </w:tc>
        <w:tc>
          <w:tcPr>
            <w:tcW w:w="0" w:type="auto"/>
            <w:shd w:val="clear" w:color="auto" w:fill="auto"/>
            <w:tcMar>
              <w:top w:w="40" w:type="dxa"/>
              <w:left w:w="0" w:type="dxa"/>
              <w:bottom w:w="40" w:type="dxa"/>
              <w:right w:w="20" w:type="dxa"/>
            </w:tcMar>
            <w:vAlign w:val="bottom"/>
          </w:tcPr>
          <w:p w14:paraId="39D97618" w14:textId="77777777" w:rsidR="00996AD7" w:rsidRDefault="00996AD7">
            <w:pPr>
              <w:jc w:val="right"/>
              <w:rPr>
                <w:rFonts w:ascii="宋体"/>
              </w:rPr>
            </w:pPr>
          </w:p>
        </w:tc>
      </w:tr>
      <w:tr w:rsidR="00996AD7" w14:paraId="39D97621" w14:textId="77777777">
        <w:tc>
          <w:tcPr>
            <w:tcW w:w="0" w:type="auto"/>
            <w:gridSpan w:val="3"/>
            <w:shd w:val="clear" w:color="auto" w:fill="auto"/>
            <w:tcMar>
              <w:top w:w="40" w:type="dxa"/>
              <w:left w:w="260" w:type="dxa"/>
              <w:bottom w:w="40" w:type="dxa"/>
              <w:right w:w="20" w:type="dxa"/>
            </w:tcMar>
          </w:tcPr>
          <w:p w14:paraId="39D9761A" w14:textId="77777777" w:rsidR="00996AD7" w:rsidRDefault="00D96458">
            <w:pPr>
              <w:textAlignment w:val="top"/>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39D9761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1C" w14:textId="77777777" w:rsidR="00996AD7" w:rsidRDefault="00D96458">
            <w:pPr>
              <w:jc w:val="right"/>
              <w:textAlignment w:val="bottom"/>
            </w:pPr>
            <w:r>
              <w:rPr>
                <w:rFonts w:ascii="Arial" w:eastAsia="宋体" w:hAnsi="Arial" w:cs="Arial"/>
                <w:color w:val="0068B5"/>
                <w:sz w:val="18"/>
                <w:szCs w:val="18"/>
              </w:rPr>
              <w:t>(1,113)</w:t>
            </w:r>
          </w:p>
        </w:tc>
        <w:tc>
          <w:tcPr>
            <w:tcW w:w="0" w:type="auto"/>
            <w:shd w:val="clear" w:color="auto" w:fill="auto"/>
            <w:tcMar>
              <w:top w:w="40" w:type="dxa"/>
              <w:left w:w="0" w:type="dxa"/>
              <w:bottom w:w="40" w:type="dxa"/>
              <w:right w:w="20" w:type="dxa"/>
            </w:tcMar>
            <w:vAlign w:val="bottom"/>
          </w:tcPr>
          <w:p w14:paraId="39D9761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1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1F" w14:textId="77777777" w:rsidR="00996AD7" w:rsidRDefault="00D96458">
            <w:pPr>
              <w:jc w:val="right"/>
              <w:textAlignment w:val="bottom"/>
            </w:pPr>
            <w:r>
              <w:rPr>
                <w:rFonts w:ascii="Arial" w:eastAsia="宋体" w:hAnsi="Arial" w:cs="Arial"/>
                <w:color w:val="262626"/>
                <w:sz w:val="18"/>
                <w:szCs w:val="18"/>
              </w:rPr>
              <w:t>(105)</w:t>
            </w:r>
          </w:p>
        </w:tc>
        <w:tc>
          <w:tcPr>
            <w:tcW w:w="0" w:type="auto"/>
            <w:shd w:val="clear" w:color="auto" w:fill="auto"/>
            <w:tcMar>
              <w:top w:w="40" w:type="dxa"/>
              <w:left w:w="0" w:type="dxa"/>
              <w:bottom w:w="40" w:type="dxa"/>
              <w:right w:w="20" w:type="dxa"/>
            </w:tcMar>
            <w:vAlign w:val="bottom"/>
          </w:tcPr>
          <w:p w14:paraId="39D97620" w14:textId="77777777" w:rsidR="00996AD7" w:rsidRDefault="00996AD7">
            <w:pPr>
              <w:jc w:val="right"/>
              <w:rPr>
                <w:rFonts w:ascii="宋体"/>
              </w:rPr>
            </w:pPr>
          </w:p>
        </w:tc>
      </w:tr>
      <w:tr w:rsidR="00996AD7" w14:paraId="39D97627" w14:textId="77777777">
        <w:trPr>
          <w:hidden/>
        </w:trPr>
        <w:tc>
          <w:tcPr>
            <w:tcW w:w="0" w:type="auto"/>
            <w:gridSpan w:val="3"/>
            <w:shd w:val="clear" w:color="auto" w:fill="auto"/>
            <w:vAlign w:val="bottom"/>
          </w:tcPr>
          <w:p w14:paraId="39D97622" w14:textId="77777777" w:rsidR="00996AD7" w:rsidRDefault="00996AD7">
            <w:pPr>
              <w:rPr>
                <w:rFonts w:ascii="宋体"/>
                <w:vanish/>
              </w:rPr>
            </w:pPr>
          </w:p>
        </w:tc>
        <w:tc>
          <w:tcPr>
            <w:tcW w:w="0" w:type="auto"/>
            <w:gridSpan w:val="3"/>
            <w:shd w:val="clear" w:color="auto" w:fill="auto"/>
            <w:vAlign w:val="bottom"/>
          </w:tcPr>
          <w:p w14:paraId="39D97623" w14:textId="77777777" w:rsidR="00996AD7" w:rsidRDefault="00996AD7">
            <w:pPr>
              <w:rPr>
                <w:rFonts w:ascii="宋体"/>
                <w:vanish/>
              </w:rPr>
            </w:pPr>
          </w:p>
        </w:tc>
        <w:tc>
          <w:tcPr>
            <w:tcW w:w="0" w:type="auto"/>
            <w:gridSpan w:val="3"/>
            <w:shd w:val="clear" w:color="auto" w:fill="auto"/>
            <w:vAlign w:val="bottom"/>
          </w:tcPr>
          <w:p w14:paraId="39D97624" w14:textId="77777777" w:rsidR="00996AD7" w:rsidRDefault="00996AD7">
            <w:pPr>
              <w:rPr>
                <w:rFonts w:ascii="宋体"/>
                <w:vanish/>
              </w:rPr>
            </w:pPr>
          </w:p>
        </w:tc>
        <w:tc>
          <w:tcPr>
            <w:tcW w:w="0" w:type="auto"/>
            <w:gridSpan w:val="3"/>
            <w:shd w:val="clear" w:color="auto" w:fill="auto"/>
            <w:vAlign w:val="bottom"/>
          </w:tcPr>
          <w:p w14:paraId="39D97625" w14:textId="77777777" w:rsidR="00996AD7" w:rsidRDefault="00996AD7">
            <w:pPr>
              <w:rPr>
                <w:rFonts w:ascii="宋体"/>
                <w:vanish/>
              </w:rPr>
            </w:pPr>
          </w:p>
        </w:tc>
        <w:tc>
          <w:tcPr>
            <w:tcW w:w="0" w:type="auto"/>
            <w:gridSpan w:val="3"/>
            <w:shd w:val="clear" w:color="auto" w:fill="auto"/>
            <w:vAlign w:val="bottom"/>
          </w:tcPr>
          <w:p w14:paraId="39D97626" w14:textId="77777777" w:rsidR="00996AD7" w:rsidRDefault="00996AD7">
            <w:pPr>
              <w:rPr>
                <w:rFonts w:ascii="宋体"/>
                <w:vanish/>
              </w:rPr>
            </w:pPr>
          </w:p>
        </w:tc>
      </w:tr>
      <w:tr w:rsidR="00996AD7" w14:paraId="39D9762D" w14:textId="77777777">
        <w:trPr>
          <w:hidden/>
        </w:trPr>
        <w:tc>
          <w:tcPr>
            <w:tcW w:w="0" w:type="auto"/>
            <w:gridSpan w:val="3"/>
            <w:shd w:val="clear" w:color="auto" w:fill="auto"/>
            <w:vAlign w:val="bottom"/>
          </w:tcPr>
          <w:p w14:paraId="39D97628" w14:textId="77777777" w:rsidR="00996AD7" w:rsidRDefault="00996AD7">
            <w:pPr>
              <w:rPr>
                <w:rFonts w:ascii="宋体"/>
                <w:vanish/>
              </w:rPr>
            </w:pPr>
          </w:p>
        </w:tc>
        <w:tc>
          <w:tcPr>
            <w:tcW w:w="0" w:type="auto"/>
            <w:gridSpan w:val="3"/>
            <w:shd w:val="clear" w:color="auto" w:fill="auto"/>
            <w:vAlign w:val="bottom"/>
          </w:tcPr>
          <w:p w14:paraId="39D97629" w14:textId="77777777" w:rsidR="00996AD7" w:rsidRDefault="00996AD7">
            <w:pPr>
              <w:rPr>
                <w:rFonts w:ascii="宋体"/>
                <w:vanish/>
              </w:rPr>
            </w:pPr>
          </w:p>
        </w:tc>
        <w:tc>
          <w:tcPr>
            <w:tcW w:w="0" w:type="auto"/>
            <w:gridSpan w:val="3"/>
            <w:shd w:val="clear" w:color="auto" w:fill="auto"/>
            <w:vAlign w:val="bottom"/>
          </w:tcPr>
          <w:p w14:paraId="39D9762A" w14:textId="77777777" w:rsidR="00996AD7" w:rsidRDefault="00996AD7">
            <w:pPr>
              <w:rPr>
                <w:rFonts w:ascii="宋体"/>
                <w:vanish/>
              </w:rPr>
            </w:pPr>
          </w:p>
        </w:tc>
        <w:tc>
          <w:tcPr>
            <w:tcW w:w="0" w:type="auto"/>
            <w:gridSpan w:val="3"/>
            <w:shd w:val="clear" w:color="auto" w:fill="auto"/>
            <w:vAlign w:val="bottom"/>
          </w:tcPr>
          <w:p w14:paraId="39D9762B" w14:textId="77777777" w:rsidR="00996AD7" w:rsidRDefault="00996AD7">
            <w:pPr>
              <w:rPr>
                <w:rFonts w:ascii="宋体"/>
                <w:vanish/>
              </w:rPr>
            </w:pPr>
          </w:p>
        </w:tc>
        <w:tc>
          <w:tcPr>
            <w:tcW w:w="0" w:type="auto"/>
            <w:gridSpan w:val="3"/>
            <w:shd w:val="clear" w:color="auto" w:fill="auto"/>
            <w:vAlign w:val="bottom"/>
          </w:tcPr>
          <w:p w14:paraId="39D9762C" w14:textId="77777777" w:rsidR="00996AD7" w:rsidRDefault="00996AD7">
            <w:pPr>
              <w:rPr>
                <w:rFonts w:ascii="宋体"/>
                <w:vanish/>
              </w:rPr>
            </w:pPr>
          </w:p>
        </w:tc>
      </w:tr>
      <w:tr w:rsidR="00996AD7" w14:paraId="39D97633" w14:textId="77777777">
        <w:trPr>
          <w:hidden/>
        </w:trPr>
        <w:tc>
          <w:tcPr>
            <w:tcW w:w="0" w:type="auto"/>
            <w:gridSpan w:val="3"/>
            <w:shd w:val="clear" w:color="auto" w:fill="auto"/>
            <w:vAlign w:val="bottom"/>
          </w:tcPr>
          <w:p w14:paraId="39D9762E" w14:textId="77777777" w:rsidR="00996AD7" w:rsidRDefault="00996AD7">
            <w:pPr>
              <w:rPr>
                <w:rFonts w:ascii="宋体"/>
                <w:vanish/>
              </w:rPr>
            </w:pPr>
          </w:p>
        </w:tc>
        <w:tc>
          <w:tcPr>
            <w:tcW w:w="0" w:type="auto"/>
            <w:gridSpan w:val="3"/>
            <w:shd w:val="clear" w:color="auto" w:fill="auto"/>
            <w:vAlign w:val="bottom"/>
          </w:tcPr>
          <w:p w14:paraId="39D9762F" w14:textId="77777777" w:rsidR="00996AD7" w:rsidRDefault="00996AD7">
            <w:pPr>
              <w:rPr>
                <w:rFonts w:ascii="宋体"/>
                <w:vanish/>
              </w:rPr>
            </w:pPr>
          </w:p>
        </w:tc>
        <w:tc>
          <w:tcPr>
            <w:tcW w:w="0" w:type="auto"/>
            <w:gridSpan w:val="3"/>
            <w:shd w:val="clear" w:color="auto" w:fill="auto"/>
            <w:vAlign w:val="bottom"/>
          </w:tcPr>
          <w:p w14:paraId="39D97630" w14:textId="77777777" w:rsidR="00996AD7" w:rsidRDefault="00996AD7">
            <w:pPr>
              <w:rPr>
                <w:rFonts w:ascii="宋体"/>
                <w:vanish/>
              </w:rPr>
            </w:pPr>
          </w:p>
        </w:tc>
        <w:tc>
          <w:tcPr>
            <w:tcW w:w="0" w:type="auto"/>
            <w:gridSpan w:val="3"/>
            <w:shd w:val="clear" w:color="auto" w:fill="auto"/>
            <w:vAlign w:val="bottom"/>
          </w:tcPr>
          <w:p w14:paraId="39D97631" w14:textId="77777777" w:rsidR="00996AD7" w:rsidRDefault="00996AD7">
            <w:pPr>
              <w:rPr>
                <w:rFonts w:ascii="宋体"/>
                <w:vanish/>
              </w:rPr>
            </w:pPr>
          </w:p>
        </w:tc>
        <w:tc>
          <w:tcPr>
            <w:tcW w:w="0" w:type="auto"/>
            <w:gridSpan w:val="3"/>
            <w:shd w:val="clear" w:color="auto" w:fill="auto"/>
            <w:vAlign w:val="bottom"/>
          </w:tcPr>
          <w:p w14:paraId="39D97632" w14:textId="77777777" w:rsidR="00996AD7" w:rsidRDefault="00996AD7">
            <w:pPr>
              <w:rPr>
                <w:rFonts w:ascii="宋体"/>
                <w:vanish/>
              </w:rPr>
            </w:pPr>
          </w:p>
        </w:tc>
      </w:tr>
      <w:tr w:rsidR="00996AD7" w14:paraId="39D97639" w14:textId="77777777">
        <w:tc>
          <w:tcPr>
            <w:tcW w:w="0" w:type="auto"/>
            <w:gridSpan w:val="3"/>
            <w:shd w:val="clear" w:color="auto" w:fill="auto"/>
            <w:tcMar>
              <w:top w:w="40" w:type="dxa"/>
              <w:left w:w="260" w:type="dxa"/>
              <w:bottom w:w="40" w:type="dxa"/>
              <w:right w:w="20" w:type="dxa"/>
            </w:tcMar>
          </w:tcPr>
          <w:p w14:paraId="39D97634" w14:textId="77777777" w:rsidR="00996AD7" w:rsidRDefault="00D96458">
            <w:pPr>
              <w:textAlignment w:val="top"/>
            </w:pPr>
            <w:r>
              <w:rPr>
                <w:rFonts w:ascii="Arial" w:eastAsia="宋体" w:hAnsi="Arial" w:cs="Arial"/>
                <w:color w:val="262626"/>
                <w:sz w:val="18"/>
                <w:szCs w:val="18"/>
              </w:rPr>
              <w:t>Changes in assets and liabilities:</w:t>
            </w:r>
          </w:p>
        </w:tc>
        <w:tc>
          <w:tcPr>
            <w:tcW w:w="0" w:type="auto"/>
            <w:gridSpan w:val="3"/>
            <w:shd w:val="clear" w:color="auto" w:fill="auto"/>
            <w:tcMar>
              <w:top w:w="0" w:type="dxa"/>
              <w:left w:w="20" w:type="dxa"/>
              <w:bottom w:w="0" w:type="dxa"/>
              <w:right w:w="20" w:type="dxa"/>
            </w:tcMar>
            <w:vAlign w:val="bottom"/>
          </w:tcPr>
          <w:p w14:paraId="39D9763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63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63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638" w14:textId="77777777" w:rsidR="00996AD7" w:rsidRDefault="00996AD7">
            <w:pPr>
              <w:rPr>
                <w:rFonts w:ascii="宋体"/>
              </w:rPr>
            </w:pPr>
          </w:p>
        </w:tc>
      </w:tr>
      <w:tr w:rsidR="00996AD7" w14:paraId="39D97641" w14:textId="77777777">
        <w:tc>
          <w:tcPr>
            <w:tcW w:w="0" w:type="auto"/>
            <w:gridSpan w:val="3"/>
            <w:shd w:val="clear" w:color="auto" w:fill="auto"/>
            <w:tcMar>
              <w:top w:w="40" w:type="dxa"/>
              <w:left w:w="380" w:type="dxa"/>
              <w:bottom w:w="40" w:type="dxa"/>
              <w:right w:w="20" w:type="dxa"/>
            </w:tcMar>
          </w:tcPr>
          <w:p w14:paraId="39D9763A" w14:textId="77777777" w:rsidR="00996AD7" w:rsidRDefault="00D96458">
            <w:pPr>
              <w:textAlignment w:val="top"/>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vAlign w:val="bottom"/>
          </w:tcPr>
          <w:p w14:paraId="39D9763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3C" w14:textId="77777777" w:rsidR="00996AD7" w:rsidRDefault="00D96458">
            <w:pPr>
              <w:jc w:val="right"/>
              <w:textAlignment w:val="bottom"/>
            </w:pPr>
            <w:r>
              <w:rPr>
                <w:rFonts w:ascii="Arial" w:eastAsia="宋体" w:hAnsi="Arial" w:cs="Arial"/>
                <w:color w:val="0068B5"/>
                <w:sz w:val="18"/>
                <w:szCs w:val="18"/>
              </w:rPr>
              <w:t>(1,618)</w:t>
            </w:r>
          </w:p>
        </w:tc>
        <w:tc>
          <w:tcPr>
            <w:tcW w:w="0" w:type="auto"/>
            <w:shd w:val="clear" w:color="auto" w:fill="auto"/>
            <w:tcMar>
              <w:top w:w="40" w:type="dxa"/>
              <w:left w:w="0" w:type="dxa"/>
              <w:bottom w:w="40" w:type="dxa"/>
              <w:right w:w="20" w:type="dxa"/>
            </w:tcMar>
            <w:vAlign w:val="bottom"/>
          </w:tcPr>
          <w:p w14:paraId="39D9763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3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3F" w14:textId="77777777" w:rsidR="00996AD7" w:rsidRDefault="00D96458">
            <w:pPr>
              <w:jc w:val="right"/>
              <w:textAlignment w:val="bottom"/>
            </w:pPr>
            <w:r>
              <w:rPr>
                <w:rFonts w:ascii="Arial" w:eastAsia="宋体" w:hAnsi="Arial" w:cs="Arial"/>
                <w:color w:val="262626"/>
                <w:sz w:val="18"/>
                <w:szCs w:val="18"/>
              </w:rPr>
              <w:t>525 </w:t>
            </w:r>
          </w:p>
        </w:tc>
        <w:tc>
          <w:tcPr>
            <w:tcW w:w="0" w:type="auto"/>
            <w:shd w:val="clear" w:color="auto" w:fill="auto"/>
            <w:tcMar>
              <w:top w:w="40" w:type="dxa"/>
              <w:left w:w="0" w:type="dxa"/>
              <w:bottom w:w="40" w:type="dxa"/>
              <w:right w:w="20" w:type="dxa"/>
            </w:tcMar>
            <w:vAlign w:val="bottom"/>
          </w:tcPr>
          <w:p w14:paraId="39D97640" w14:textId="77777777" w:rsidR="00996AD7" w:rsidRDefault="00996AD7">
            <w:pPr>
              <w:jc w:val="right"/>
              <w:rPr>
                <w:rFonts w:ascii="宋体"/>
              </w:rPr>
            </w:pPr>
          </w:p>
        </w:tc>
      </w:tr>
      <w:tr w:rsidR="00996AD7" w14:paraId="39D97649" w14:textId="77777777">
        <w:tc>
          <w:tcPr>
            <w:tcW w:w="0" w:type="auto"/>
            <w:gridSpan w:val="3"/>
            <w:shd w:val="clear" w:color="auto" w:fill="auto"/>
            <w:tcMar>
              <w:top w:w="40" w:type="dxa"/>
              <w:left w:w="380" w:type="dxa"/>
              <w:bottom w:w="40" w:type="dxa"/>
              <w:right w:w="20" w:type="dxa"/>
            </w:tcMar>
          </w:tcPr>
          <w:p w14:paraId="39D97642" w14:textId="77777777" w:rsidR="00996AD7" w:rsidRDefault="00D96458">
            <w:pPr>
              <w:textAlignment w:val="top"/>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39D9764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44" w14:textId="77777777" w:rsidR="00996AD7" w:rsidRDefault="00D96458">
            <w:pPr>
              <w:jc w:val="right"/>
              <w:textAlignment w:val="bottom"/>
            </w:pPr>
            <w:r>
              <w:rPr>
                <w:rFonts w:ascii="Arial" w:eastAsia="宋体" w:hAnsi="Arial" w:cs="Arial"/>
                <w:color w:val="0068B5"/>
                <w:sz w:val="18"/>
                <w:szCs w:val="18"/>
              </w:rPr>
              <w:t>(1,212)</w:t>
            </w:r>
          </w:p>
        </w:tc>
        <w:tc>
          <w:tcPr>
            <w:tcW w:w="0" w:type="auto"/>
            <w:shd w:val="clear" w:color="auto" w:fill="auto"/>
            <w:tcMar>
              <w:top w:w="40" w:type="dxa"/>
              <w:left w:w="0" w:type="dxa"/>
              <w:bottom w:w="40" w:type="dxa"/>
              <w:right w:w="20" w:type="dxa"/>
            </w:tcMar>
            <w:vAlign w:val="bottom"/>
          </w:tcPr>
          <w:p w14:paraId="39D9764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4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47" w14:textId="77777777" w:rsidR="00996AD7" w:rsidRDefault="00D96458">
            <w:pPr>
              <w:jc w:val="right"/>
              <w:textAlignment w:val="bottom"/>
            </w:pPr>
            <w:r>
              <w:rPr>
                <w:rFonts w:ascii="Arial" w:eastAsia="宋体" w:hAnsi="Arial" w:cs="Arial"/>
                <w:color w:val="262626"/>
                <w:sz w:val="18"/>
                <w:szCs w:val="18"/>
              </w:rPr>
              <w:t>(570)</w:t>
            </w:r>
          </w:p>
        </w:tc>
        <w:tc>
          <w:tcPr>
            <w:tcW w:w="0" w:type="auto"/>
            <w:shd w:val="clear" w:color="auto" w:fill="auto"/>
            <w:tcMar>
              <w:top w:w="40" w:type="dxa"/>
              <w:left w:w="0" w:type="dxa"/>
              <w:bottom w:w="40" w:type="dxa"/>
              <w:right w:w="20" w:type="dxa"/>
            </w:tcMar>
            <w:vAlign w:val="bottom"/>
          </w:tcPr>
          <w:p w14:paraId="39D97648" w14:textId="77777777" w:rsidR="00996AD7" w:rsidRDefault="00996AD7">
            <w:pPr>
              <w:jc w:val="right"/>
              <w:rPr>
                <w:rFonts w:ascii="宋体"/>
              </w:rPr>
            </w:pPr>
          </w:p>
        </w:tc>
      </w:tr>
      <w:tr w:rsidR="00996AD7" w14:paraId="39D97651" w14:textId="77777777">
        <w:tc>
          <w:tcPr>
            <w:tcW w:w="0" w:type="auto"/>
            <w:gridSpan w:val="3"/>
            <w:shd w:val="clear" w:color="auto" w:fill="auto"/>
            <w:tcMar>
              <w:top w:w="40" w:type="dxa"/>
              <w:left w:w="380" w:type="dxa"/>
              <w:bottom w:w="40" w:type="dxa"/>
              <w:right w:w="20" w:type="dxa"/>
            </w:tcMar>
          </w:tcPr>
          <w:p w14:paraId="39D9764A" w14:textId="77777777" w:rsidR="00996AD7" w:rsidRDefault="00D96458">
            <w:pPr>
              <w:textAlignment w:val="top"/>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vAlign w:val="bottom"/>
          </w:tcPr>
          <w:p w14:paraId="39D9764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4C" w14:textId="77777777" w:rsidR="00996AD7" w:rsidRDefault="00D96458">
            <w:pPr>
              <w:jc w:val="right"/>
              <w:textAlignment w:val="bottom"/>
            </w:pPr>
            <w:r>
              <w:rPr>
                <w:rFonts w:ascii="Arial" w:eastAsia="宋体" w:hAnsi="Arial" w:cs="Arial"/>
                <w:color w:val="0068B5"/>
                <w:sz w:val="18"/>
                <w:szCs w:val="18"/>
              </w:rPr>
              <w:t>1,095 </w:t>
            </w:r>
          </w:p>
        </w:tc>
        <w:tc>
          <w:tcPr>
            <w:tcW w:w="0" w:type="auto"/>
            <w:shd w:val="clear" w:color="auto" w:fill="auto"/>
            <w:tcMar>
              <w:top w:w="40" w:type="dxa"/>
              <w:left w:w="0" w:type="dxa"/>
              <w:bottom w:w="40" w:type="dxa"/>
              <w:right w:w="20" w:type="dxa"/>
            </w:tcMar>
            <w:vAlign w:val="bottom"/>
          </w:tcPr>
          <w:p w14:paraId="39D9764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4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4F" w14:textId="77777777" w:rsidR="00996AD7" w:rsidRDefault="00D96458">
            <w:pPr>
              <w:jc w:val="right"/>
              <w:textAlignment w:val="bottom"/>
            </w:pPr>
            <w:r>
              <w:rPr>
                <w:rFonts w:ascii="Arial" w:eastAsia="宋体" w:hAnsi="Arial" w:cs="Arial"/>
                <w:color w:val="262626"/>
                <w:sz w:val="18"/>
                <w:szCs w:val="18"/>
              </w:rPr>
              <w:t>355 </w:t>
            </w:r>
          </w:p>
        </w:tc>
        <w:tc>
          <w:tcPr>
            <w:tcW w:w="0" w:type="auto"/>
            <w:shd w:val="clear" w:color="auto" w:fill="auto"/>
            <w:tcMar>
              <w:top w:w="40" w:type="dxa"/>
              <w:left w:w="0" w:type="dxa"/>
              <w:bottom w:w="40" w:type="dxa"/>
              <w:right w:w="20" w:type="dxa"/>
            </w:tcMar>
            <w:vAlign w:val="bottom"/>
          </w:tcPr>
          <w:p w14:paraId="39D97650" w14:textId="77777777" w:rsidR="00996AD7" w:rsidRDefault="00996AD7">
            <w:pPr>
              <w:jc w:val="right"/>
              <w:rPr>
                <w:rFonts w:ascii="宋体"/>
              </w:rPr>
            </w:pPr>
          </w:p>
        </w:tc>
      </w:tr>
      <w:tr w:rsidR="00996AD7" w14:paraId="39D97659" w14:textId="77777777">
        <w:tc>
          <w:tcPr>
            <w:tcW w:w="0" w:type="auto"/>
            <w:gridSpan w:val="3"/>
            <w:shd w:val="clear" w:color="auto" w:fill="auto"/>
            <w:tcMar>
              <w:top w:w="40" w:type="dxa"/>
              <w:left w:w="380" w:type="dxa"/>
              <w:bottom w:w="40" w:type="dxa"/>
              <w:right w:w="20" w:type="dxa"/>
            </w:tcMar>
          </w:tcPr>
          <w:p w14:paraId="39D97652" w14:textId="77777777" w:rsidR="00996AD7" w:rsidRDefault="00D96458">
            <w:pPr>
              <w:textAlignment w:val="top"/>
            </w:pPr>
            <w:r>
              <w:rPr>
                <w:rFonts w:ascii="Arial" w:eastAsia="宋体" w:hAnsi="Arial" w:cs="Arial"/>
                <w:color w:val="262626"/>
                <w:sz w:val="18"/>
                <w:szCs w:val="18"/>
              </w:rPr>
              <w:t xml:space="preserve">Accrued </w:t>
            </w:r>
            <w:r>
              <w:rPr>
                <w:rFonts w:ascii="Arial" w:eastAsia="宋体" w:hAnsi="Arial" w:cs="Arial"/>
                <w:color w:val="262626"/>
                <w:sz w:val="18"/>
                <w:szCs w:val="18"/>
              </w:rPr>
              <w:t>compensation and benefits</w:t>
            </w:r>
          </w:p>
        </w:tc>
        <w:tc>
          <w:tcPr>
            <w:tcW w:w="0" w:type="auto"/>
            <w:gridSpan w:val="3"/>
            <w:shd w:val="clear" w:color="auto" w:fill="auto"/>
            <w:tcMar>
              <w:top w:w="0" w:type="dxa"/>
              <w:left w:w="20" w:type="dxa"/>
              <w:bottom w:w="0" w:type="dxa"/>
              <w:right w:w="20" w:type="dxa"/>
            </w:tcMar>
            <w:vAlign w:val="bottom"/>
          </w:tcPr>
          <w:p w14:paraId="39D9765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54" w14:textId="77777777" w:rsidR="00996AD7" w:rsidRDefault="00D96458">
            <w:pPr>
              <w:jc w:val="right"/>
              <w:textAlignment w:val="bottom"/>
            </w:pPr>
            <w:r>
              <w:rPr>
                <w:rFonts w:ascii="Arial" w:eastAsia="宋体" w:hAnsi="Arial" w:cs="Arial"/>
                <w:color w:val="0068B5"/>
                <w:sz w:val="18"/>
                <w:szCs w:val="18"/>
              </w:rPr>
              <w:t>(16)</w:t>
            </w:r>
          </w:p>
        </w:tc>
        <w:tc>
          <w:tcPr>
            <w:tcW w:w="0" w:type="auto"/>
            <w:shd w:val="clear" w:color="auto" w:fill="auto"/>
            <w:tcMar>
              <w:top w:w="40" w:type="dxa"/>
              <w:left w:w="0" w:type="dxa"/>
              <w:bottom w:w="40" w:type="dxa"/>
              <w:right w:w="20" w:type="dxa"/>
            </w:tcMar>
            <w:vAlign w:val="bottom"/>
          </w:tcPr>
          <w:p w14:paraId="39D9765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5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57" w14:textId="77777777" w:rsidR="00996AD7" w:rsidRDefault="00D96458">
            <w:pPr>
              <w:jc w:val="right"/>
              <w:textAlignment w:val="bottom"/>
            </w:pPr>
            <w:r>
              <w:rPr>
                <w:rFonts w:ascii="Arial" w:eastAsia="宋体" w:hAnsi="Arial" w:cs="Arial"/>
                <w:color w:val="262626"/>
                <w:sz w:val="18"/>
                <w:szCs w:val="18"/>
              </w:rPr>
              <w:t>(569)</w:t>
            </w:r>
          </w:p>
        </w:tc>
        <w:tc>
          <w:tcPr>
            <w:tcW w:w="0" w:type="auto"/>
            <w:shd w:val="clear" w:color="auto" w:fill="auto"/>
            <w:tcMar>
              <w:top w:w="40" w:type="dxa"/>
              <w:left w:w="0" w:type="dxa"/>
              <w:bottom w:w="40" w:type="dxa"/>
              <w:right w:w="20" w:type="dxa"/>
            </w:tcMar>
            <w:vAlign w:val="bottom"/>
          </w:tcPr>
          <w:p w14:paraId="39D97658" w14:textId="77777777" w:rsidR="00996AD7" w:rsidRDefault="00996AD7">
            <w:pPr>
              <w:jc w:val="right"/>
              <w:rPr>
                <w:rFonts w:ascii="宋体"/>
              </w:rPr>
            </w:pPr>
          </w:p>
        </w:tc>
      </w:tr>
      <w:tr w:rsidR="00996AD7" w14:paraId="39D97661" w14:textId="77777777">
        <w:tc>
          <w:tcPr>
            <w:tcW w:w="0" w:type="auto"/>
            <w:gridSpan w:val="3"/>
            <w:shd w:val="clear" w:color="auto" w:fill="auto"/>
            <w:tcMar>
              <w:top w:w="40" w:type="dxa"/>
              <w:left w:w="380" w:type="dxa"/>
              <w:bottom w:w="40" w:type="dxa"/>
              <w:right w:w="20" w:type="dxa"/>
            </w:tcMar>
          </w:tcPr>
          <w:p w14:paraId="39D9765A" w14:textId="77777777" w:rsidR="00996AD7" w:rsidRDefault="00D96458">
            <w:pPr>
              <w:textAlignment w:val="top"/>
            </w:pPr>
            <w:r>
              <w:rPr>
                <w:rFonts w:ascii="Arial" w:eastAsia="宋体" w:hAnsi="Arial" w:cs="Arial"/>
                <w:color w:val="262626"/>
                <w:sz w:val="18"/>
                <w:szCs w:val="18"/>
              </w:rPr>
              <w:t>Prepaid supply agreements</w:t>
            </w:r>
          </w:p>
        </w:tc>
        <w:tc>
          <w:tcPr>
            <w:tcW w:w="0" w:type="auto"/>
            <w:gridSpan w:val="3"/>
            <w:shd w:val="clear" w:color="auto" w:fill="auto"/>
            <w:tcMar>
              <w:top w:w="0" w:type="dxa"/>
              <w:left w:w="20" w:type="dxa"/>
              <w:bottom w:w="0" w:type="dxa"/>
              <w:right w:w="20" w:type="dxa"/>
            </w:tcMar>
            <w:vAlign w:val="bottom"/>
          </w:tcPr>
          <w:p w14:paraId="39D9765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5C" w14:textId="77777777" w:rsidR="00996AD7" w:rsidRDefault="00D96458">
            <w:pPr>
              <w:jc w:val="right"/>
              <w:textAlignment w:val="bottom"/>
            </w:pPr>
            <w:r>
              <w:rPr>
                <w:rFonts w:ascii="Arial" w:eastAsia="宋体" w:hAnsi="Arial" w:cs="Arial"/>
                <w:color w:val="0068B5"/>
                <w:sz w:val="18"/>
                <w:szCs w:val="18"/>
              </w:rPr>
              <w:t>(1,577)</w:t>
            </w:r>
          </w:p>
        </w:tc>
        <w:tc>
          <w:tcPr>
            <w:tcW w:w="0" w:type="auto"/>
            <w:shd w:val="clear" w:color="auto" w:fill="auto"/>
            <w:tcMar>
              <w:top w:w="40" w:type="dxa"/>
              <w:left w:w="0" w:type="dxa"/>
              <w:bottom w:w="40" w:type="dxa"/>
              <w:right w:w="20" w:type="dxa"/>
            </w:tcMar>
            <w:vAlign w:val="bottom"/>
          </w:tcPr>
          <w:p w14:paraId="39D9765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5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5F" w14:textId="77777777" w:rsidR="00996AD7" w:rsidRDefault="00D96458">
            <w:pPr>
              <w:jc w:val="right"/>
              <w:textAlignment w:val="bottom"/>
            </w:pPr>
            <w:r>
              <w:rPr>
                <w:rFonts w:ascii="Arial" w:eastAsia="宋体" w:hAnsi="Arial" w:cs="Arial"/>
                <w:color w:val="262626"/>
                <w:sz w:val="18"/>
                <w:szCs w:val="18"/>
              </w:rPr>
              <w:t>(91)</w:t>
            </w:r>
          </w:p>
        </w:tc>
        <w:tc>
          <w:tcPr>
            <w:tcW w:w="0" w:type="auto"/>
            <w:shd w:val="clear" w:color="auto" w:fill="auto"/>
            <w:tcMar>
              <w:top w:w="40" w:type="dxa"/>
              <w:left w:w="0" w:type="dxa"/>
              <w:bottom w:w="40" w:type="dxa"/>
              <w:right w:w="20" w:type="dxa"/>
            </w:tcMar>
            <w:vAlign w:val="bottom"/>
          </w:tcPr>
          <w:p w14:paraId="39D97660" w14:textId="77777777" w:rsidR="00996AD7" w:rsidRDefault="00996AD7">
            <w:pPr>
              <w:jc w:val="right"/>
              <w:rPr>
                <w:rFonts w:ascii="宋体"/>
              </w:rPr>
            </w:pPr>
          </w:p>
        </w:tc>
      </w:tr>
      <w:tr w:rsidR="00996AD7" w14:paraId="39D97669" w14:textId="77777777">
        <w:tc>
          <w:tcPr>
            <w:tcW w:w="0" w:type="auto"/>
            <w:gridSpan w:val="3"/>
            <w:shd w:val="clear" w:color="auto" w:fill="auto"/>
            <w:tcMar>
              <w:top w:w="40" w:type="dxa"/>
              <w:left w:w="380" w:type="dxa"/>
              <w:bottom w:w="40" w:type="dxa"/>
              <w:right w:w="20" w:type="dxa"/>
            </w:tcMar>
          </w:tcPr>
          <w:p w14:paraId="39D97662" w14:textId="77777777" w:rsidR="00996AD7" w:rsidRDefault="00D96458">
            <w:pPr>
              <w:textAlignment w:val="top"/>
            </w:pPr>
            <w:r>
              <w:rPr>
                <w:rFonts w:ascii="Arial" w:eastAsia="宋体" w:hAnsi="Arial" w:cs="Arial"/>
                <w:color w:val="262626"/>
                <w:sz w:val="18"/>
                <w:szCs w:val="18"/>
              </w:rPr>
              <w:t>Income taxes</w:t>
            </w:r>
          </w:p>
        </w:tc>
        <w:tc>
          <w:tcPr>
            <w:tcW w:w="0" w:type="auto"/>
            <w:gridSpan w:val="3"/>
            <w:shd w:val="clear" w:color="auto" w:fill="auto"/>
            <w:tcMar>
              <w:top w:w="0" w:type="dxa"/>
              <w:left w:w="20" w:type="dxa"/>
              <w:bottom w:w="0" w:type="dxa"/>
              <w:right w:w="20" w:type="dxa"/>
            </w:tcMar>
            <w:vAlign w:val="bottom"/>
          </w:tcPr>
          <w:p w14:paraId="39D9766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64" w14:textId="77777777" w:rsidR="00996AD7" w:rsidRDefault="00D96458">
            <w:pPr>
              <w:jc w:val="right"/>
              <w:textAlignment w:val="bottom"/>
            </w:pPr>
            <w:r>
              <w:rPr>
                <w:rFonts w:ascii="Arial" w:eastAsia="宋体" w:hAnsi="Arial" w:cs="Arial"/>
                <w:color w:val="0068B5"/>
                <w:sz w:val="18"/>
                <w:szCs w:val="18"/>
              </w:rPr>
              <w:t>(570)</w:t>
            </w:r>
          </w:p>
        </w:tc>
        <w:tc>
          <w:tcPr>
            <w:tcW w:w="0" w:type="auto"/>
            <w:shd w:val="clear" w:color="auto" w:fill="auto"/>
            <w:tcMar>
              <w:top w:w="40" w:type="dxa"/>
              <w:left w:w="0" w:type="dxa"/>
              <w:bottom w:w="40" w:type="dxa"/>
              <w:right w:w="20" w:type="dxa"/>
            </w:tcMar>
            <w:vAlign w:val="bottom"/>
          </w:tcPr>
          <w:p w14:paraId="39D9766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6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67" w14:textId="77777777" w:rsidR="00996AD7" w:rsidRDefault="00D96458">
            <w:pPr>
              <w:jc w:val="right"/>
              <w:textAlignment w:val="bottom"/>
            </w:pPr>
            <w:r>
              <w:rPr>
                <w:rFonts w:ascii="Arial" w:eastAsia="宋体" w:hAnsi="Arial" w:cs="Arial"/>
                <w:color w:val="262626"/>
                <w:sz w:val="18"/>
                <w:szCs w:val="18"/>
              </w:rPr>
              <w:t>493 </w:t>
            </w:r>
          </w:p>
        </w:tc>
        <w:tc>
          <w:tcPr>
            <w:tcW w:w="0" w:type="auto"/>
            <w:shd w:val="clear" w:color="auto" w:fill="auto"/>
            <w:tcMar>
              <w:top w:w="40" w:type="dxa"/>
              <w:left w:w="0" w:type="dxa"/>
              <w:bottom w:w="40" w:type="dxa"/>
              <w:right w:w="20" w:type="dxa"/>
            </w:tcMar>
            <w:vAlign w:val="bottom"/>
          </w:tcPr>
          <w:p w14:paraId="39D97668" w14:textId="77777777" w:rsidR="00996AD7" w:rsidRDefault="00996AD7">
            <w:pPr>
              <w:jc w:val="right"/>
              <w:rPr>
                <w:rFonts w:ascii="宋体"/>
              </w:rPr>
            </w:pPr>
          </w:p>
        </w:tc>
      </w:tr>
      <w:tr w:rsidR="00996AD7" w14:paraId="39D97671" w14:textId="77777777">
        <w:tc>
          <w:tcPr>
            <w:tcW w:w="0" w:type="auto"/>
            <w:gridSpan w:val="3"/>
            <w:shd w:val="clear" w:color="auto" w:fill="auto"/>
            <w:tcMar>
              <w:top w:w="40" w:type="dxa"/>
              <w:left w:w="380" w:type="dxa"/>
              <w:bottom w:w="40" w:type="dxa"/>
              <w:right w:w="20" w:type="dxa"/>
            </w:tcMar>
          </w:tcPr>
          <w:p w14:paraId="39D9766A" w14:textId="77777777" w:rsidR="00996AD7" w:rsidRDefault="00D96458">
            <w:pPr>
              <w:textAlignment w:val="top"/>
            </w:pPr>
            <w:r>
              <w:rPr>
                <w:rFonts w:ascii="Arial" w:eastAsia="宋体" w:hAnsi="Arial" w:cs="Arial"/>
                <w:color w:val="262626"/>
                <w:sz w:val="18"/>
                <w:szCs w:val="18"/>
              </w:rPr>
              <w:t>Other assets and liabilities</w:t>
            </w:r>
          </w:p>
        </w:tc>
        <w:tc>
          <w:tcPr>
            <w:tcW w:w="0" w:type="auto"/>
            <w:gridSpan w:val="3"/>
            <w:shd w:val="clear" w:color="auto" w:fill="auto"/>
            <w:tcMar>
              <w:top w:w="0" w:type="dxa"/>
              <w:left w:w="20" w:type="dxa"/>
              <w:bottom w:w="0" w:type="dxa"/>
              <w:right w:w="20" w:type="dxa"/>
            </w:tcMar>
            <w:vAlign w:val="bottom"/>
          </w:tcPr>
          <w:p w14:paraId="39D9766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6C" w14:textId="77777777" w:rsidR="00996AD7" w:rsidRDefault="00D96458">
            <w:pPr>
              <w:jc w:val="right"/>
              <w:textAlignment w:val="bottom"/>
            </w:pPr>
            <w:r>
              <w:rPr>
                <w:rFonts w:ascii="Arial" w:eastAsia="宋体" w:hAnsi="Arial" w:cs="Arial"/>
                <w:color w:val="0068B5"/>
                <w:sz w:val="18"/>
                <w:szCs w:val="18"/>
              </w:rPr>
              <w:t>1,058 </w:t>
            </w:r>
          </w:p>
        </w:tc>
        <w:tc>
          <w:tcPr>
            <w:tcW w:w="0" w:type="auto"/>
            <w:shd w:val="clear" w:color="auto" w:fill="auto"/>
            <w:tcMar>
              <w:top w:w="40" w:type="dxa"/>
              <w:left w:w="0" w:type="dxa"/>
              <w:bottom w:w="40" w:type="dxa"/>
              <w:right w:w="20" w:type="dxa"/>
            </w:tcMar>
            <w:vAlign w:val="bottom"/>
          </w:tcPr>
          <w:p w14:paraId="39D9766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6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6F" w14:textId="77777777" w:rsidR="00996AD7" w:rsidRDefault="00D96458">
            <w:pPr>
              <w:jc w:val="right"/>
              <w:textAlignment w:val="bottom"/>
            </w:pPr>
            <w:r>
              <w:rPr>
                <w:rFonts w:ascii="Arial" w:eastAsia="宋体" w:hAnsi="Arial" w:cs="Arial"/>
                <w:color w:val="262626"/>
                <w:sz w:val="18"/>
                <w:szCs w:val="18"/>
              </w:rPr>
              <w:t>(361)</w:t>
            </w:r>
          </w:p>
        </w:tc>
        <w:tc>
          <w:tcPr>
            <w:tcW w:w="0" w:type="auto"/>
            <w:shd w:val="clear" w:color="auto" w:fill="auto"/>
            <w:tcMar>
              <w:top w:w="40" w:type="dxa"/>
              <w:left w:w="0" w:type="dxa"/>
              <w:bottom w:w="40" w:type="dxa"/>
              <w:right w:w="20" w:type="dxa"/>
            </w:tcMar>
            <w:vAlign w:val="bottom"/>
          </w:tcPr>
          <w:p w14:paraId="39D97670" w14:textId="77777777" w:rsidR="00996AD7" w:rsidRDefault="00996AD7">
            <w:pPr>
              <w:jc w:val="right"/>
              <w:rPr>
                <w:rFonts w:ascii="宋体"/>
              </w:rPr>
            </w:pPr>
          </w:p>
        </w:tc>
      </w:tr>
      <w:tr w:rsidR="00996AD7" w14:paraId="39D97679" w14:textId="77777777">
        <w:tc>
          <w:tcPr>
            <w:tcW w:w="0" w:type="auto"/>
            <w:gridSpan w:val="3"/>
            <w:shd w:val="clear" w:color="auto" w:fill="auto"/>
            <w:tcMar>
              <w:top w:w="40" w:type="dxa"/>
              <w:left w:w="140" w:type="dxa"/>
              <w:bottom w:w="40" w:type="dxa"/>
              <w:right w:w="20" w:type="dxa"/>
            </w:tcMar>
          </w:tcPr>
          <w:p w14:paraId="39D97672" w14:textId="77777777" w:rsidR="00996AD7" w:rsidRDefault="00D96458">
            <w:pPr>
              <w:textAlignment w:val="top"/>
            </w:pPr>
            <w:r>
              <w:rPr>
                <w:rFonts w:ascii="Arial" w:eastAsia="宋体" w:hAnsi="Arial" w:cs="Arial"/>
                <w:b/>
                <w:bCs/>
                <w:color w:val="262626"/>
                <w:sz w:val="18"/>
                <w:szCs w:val="18"/>
              </w:rPr>
              <w:t>Total adjustments</w:t>
            </w:r>
          </w:p>
        </w:tc>
        <w:tc>
          <w:tcPr>
            <w:tcW w:w="0" w:type="auto"/>
            <w:gridSpan w:val="3"/>
            <w:shd w:val="clear" w:color="auto" w:fill="auto"/>
            <w:tcMar>
              <w:top w:w="0" w:type="dxa"/>
              <w:left w:w="20" w:type="dxa"/>
              <w:bottom w:w="0" w:type="dxa"/>
              <w:right w:w="20" w:type="dxa"/>
            </w:tcMar>
            <w:vAlign w:val="bottom"/>
          </w:tcPr>
          <w:p w14:paraId="39D97673"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674" w14:textId="77777777" w:rsidR="00996AD7" w:rsidRDefault="00D96458">
            <w:pPr>
              <w:jc w:val="right"/>
              <w:textAlignment w:val="bottom"/>
            </w:pPr>
            <w:r>
              <w:rPr>
                <w:rFonts w:ascii="Arial" w:eastAsia="宋体" w:hAnsi="Arial" w:cs="Arial"/>
                <w:b/>
                <w:bCs/>
                <w:color w:val="0068B5"/>
                <w:sz w:val="18"/>
                <w:szCs w:val="18"/>
              </w:rPr>
              <w:t>8,949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67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76"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677" w14:textId="77777777" w:rsidR="00996AD7" w:rsidRDefault="00D96458">
            <w:pPr>
              <w:jc w:val="right"/>
              <w:textAlignment w:val="bottom"/>
            </w:pPr>
            <w:r>
              <w:rPr>
                <w:rFonts w:ascii="Arial" w:eastAsia="宋体" w:hAnsi="Arial" w:cs="Arial"/>
                <w:b/>
                <w:bCs/>
                <w:color w:val="262626"/>
                <w:sz w:val="18"/>
                <w:szCs w:val="18"/>
              </w:rPr>
              <w:t>10,452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678" w14:textId="77777777" w:rsidR="00996AD7" w:rsidRDefault="00996AD7">
            <w:pPr>
              <w:jc w:val="right"/>
              <w:rPr>
                <w:rFonts w:ascii="宋体"/>
              </w:rPr>
            </w:pPr>
          </w:p>
        </w:tc>
      </w:tr>
      <w:tr w:rsidR="00996AD7" w14:paraId="39D97681" w14:textId="77777777">
        <w:tc>
          <w:tcPr>
            <w:tcW w:w="0" w:type="auto"/>
            <w:gridSpan w:val="3"/>
            <w:shd w:val="clear" w:color="auto" w:fill="auto"/>
            <w:tcMar>
              <w:top w:w="40" w:type="dxa"/>
              <w:left w:w="20" w:type="dxa"/>
              <w:bottom w:w="40" w:type="dxa"/>
              <w:right w:w="20" w:type="dxa"/>
            </w:tcMar>
          </w:tcPr>
          <w:p w14:paraId="39D9767A" w14:textId="77777777" w:rsidR="00996AD7" w:rsidRDefault="00D96458">
            <w:pPr>
              <w:textAlignment w:val="top"/>
            </w:pPr>
            <w:r>
              <w:rPr>
                <w:rFonts w:ascii="Arial" w:eastAsia="宋体" w:hAnsi="Arial" w:cs="Arial"/>
                <w:b/>
                <w:bCs/>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vAlign w:val="bottom"/>
          </w:tcPr>
          <w:p w14:paraId="39D9767B"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67C" w14:textId="77777777" w:rsidR="00996AD7" w:rsidRDefault="00D96458">
            <w:pPr>
              <w:jc w:val="right"/>
              <w:textAlignment w:val="bottom"/>
            </w:pPr>
            <w:r>
              <w:rPr>
                <w:rFonts w:ascii="Arial" w:eastAsia="宋体" w:hAnsi="Arial" w:cs="Arial"/>
                <w:b/>
                <w:bCs/>
                <w:color w:val="0068B5"/>
                <w:sz w:val="18"/>
                <w:szCs w:val="18"/>
              </w:rPr>
              <w:t>24,194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67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7E"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67F" w14:textId="77777777" w:rsidR="00996AD7" w:rsidRDefault="00D96458">
            <w:pPr>
              <w:jc w:val="right"/>
              <w:textAlignment w:val="bottom"/>
            </w:pPr>
            <w:r>
              <w:rPr>
                <w:rFonts w:ascii="Arial" w:eastAsia="宋体" w:hAnsi="Arial" w:cs="Arial"/>
                <w:b/>
                <w:bCs/>
                <w:color w:val="262626"/>
                <w:sz w:val="18"/>
                <w:szCs w:val="18"/>
              </w:rPr>
              <w:t>25,494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680" w14:textId="77777777" w:rsidR="00996AD7" w:rsidRDefault="00996AD7">
            <w:pPr>
              <w:jc w:val="right"/>
              <w:rPr>
                <w:rFonts w:ascii="宋体"/>
              </w:rPr>
            </w:pPr>
          </w:p>
        </w:tc>
      </w:tr>
      <w:tr w:rsidR="00996AD7" w14:paraId="39D97687" w14:textId="77777777">
        <w:tc>
          <w:tcPr>
            <w:tcW w:w="0" w:type="auto"/>
            <w:gridSpan w:val="3"/>
            <w:shd w:val="clear" w:color="auto" w:fill="auto"/>
            <w:tcMar>
              <w:top w:w="40" w:type="dxa"/>
              <w:left w:w="20" w:type="dxa"/>
              <w:bottom w:w="40" w:type="dxa"/>
              <w:right w:w="20" w:type="dxa"/>
            </w:tcMar>
          </w:tcPr>
          <w:p w14:paraId="39D97682" w14:textId="77777777" w:rsidR="00996AD7" w:rsidRDefault="00D96458">
            <w:pPr>
              <w:textAlignment w:val="top"/>
            </w:pPr>
            <w:r>
              <w:rPr>
                <w:rFonts w:ascii="Arial" w:eastAsia="宋体" w:hAnsi="Arial" w:cs="Arial"/>
                <w:color w:val="262626"/>
                <w:sz w:val="18"/>
                <w:szCs w:val="18"/>
              </w:rPr>
              <w:t>Cash flows provided by (used for) investing activities:</w:t>
            </w:r>
          </w:p>
        </w:tc>
        <w:tc>
          <w:tcPr>
            <w:tcW w:w="0" w:type="auto"/>
            <w:gridSpan w:val="3"/>
            <w:shd w:val="clear" w:color="auto" w:fill="auto"/>
            <w:tcMar>
              <w:top w:w="0" w:type="dxa"/>
              <w:left w:w="20" w:type="dxa"/>
              <w:bottom w:w="0" w:type="dxa"/>
              <w:right w:w="20" w:type="dxa"/>
            </w:tcMar>
            <w:vAlign w:val="bottom"/>
          </w:tcPr>
          <w:p w14:paraId="39D97683"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768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685"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7686" w14:textId="77777777" w:rsidR="00996AD7" w:rsidRDefault="00996AD7">
            <w:pPr>
              <w:rPr>
                <w:rFonts w:ascii="宋体"/>
              </w:rPr>
            </w:pPr>
          </w:p>
        </w:tc>
      </w:tr>
      <w:tr w:rsidR="00996AD7" w14:paraId="39D9768F" w14:textId="77777777">
        <w:tc>
          <w:tcPr>
            <w:tcW w:w="0" w:type="auto"/>
            <w:gridSpan w:val="3"/>
            <w:shd w:val="clear" w:color="auto" w:fill="auto"/>
            <w:tcMar>
              <w:top w:w="40" w:type="dxa"/>
              <w:left w:w="140" w:type="dxa"/>
              <w:bottom w:w="40" w:type="dxa"/>
              <w:right w:w="20" w:type="dxa"/>
            </w:tcMar>
          </w:tcPr>
          <w:p w14:paraId="39D97688" w14:textId="77777777" w:rsidR="00996AD7" w:rsidRDefault="00D96458">
            <w:pPr>
              <w:textAlignment w:val="top"/>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vAlign w:val="bottom"/>
          </w:tcPr>
          <w:p w14:paraId="39D9768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8A" w14:textId="77777777" w:rsidR="00996AD7" w:rsidRDefault="00D96458">
            <w:pPr>
              <w:jc w:val="right"/>
              <w:textAlignment w:val="bottom"/>
            </w:pPr>
            <w:r>
              <w:rPr>
                <w:rFonts w:ascii="Arial" w:eastAsia="宋体" w:hAnsi="Arial" w:cs="Arial"/>
                <w:color w:val="0068B5"/>
                <w:sz w:val="18"/>
                <w:szCs w:val="18"/>
              </w:rPr>
              <w:t>(11,579)</w:t>
            </w:r>
          </w:p>
        </w:tc>
        <w:tc>
          <w:tcPr>
            <w:tcW w:w="0" w:type="auto"/>
            <w:shd w:val="clear" w:color="auto" w:fill="auto"/>
            <w:tcMar>
              <w:top w:w="40" w:type="dxa"/>
              <w:left w:w="0" w:type="dxa"/>
              <w:bottom w:w="40" w:type="dxa"/>
              <w:right w:w="20" w:type="dxa"/>
            </w:tcMar>
            <w:vAlign w:val="bottom"/>
          </w:tcPr>
          <w:p w14:paraId="39D9768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8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8D" w14:textId="77777777" w:rsidR="00996AD7" w:rsidRDefault="00D96458">
            <w:pPr>
              <w:jc w:val="right"/>
              <w:textAlignment w:val="bottom"/>
            </w:pPr>
            <w:r>
              <w:rPr>
                <w:rFonts w:ascii="Arial" w:eastAsia="宋体" w:hAnsi="Arial" w:cs="Arial"/>
                <w:color w:val="262626"/>
                <w:sz w:val="18"/>
                <w:szCs w:val="18"/>
              </w:rPr>
              <w:t>(10,392)</w:t>
            </w:r>
          </w:p>
        </w:tc>
        <w:tc>
          <w:tcPr>
            <w:tcW w:w="0" w:type="auto"/>
            <w:shd w:val="clear" w:color="auto" w:fill="auto"/>
            <w:tcMar>
              <w:top w:w="40" w:type="dxa"/>
              <w:left w:w="0" w:type="dxa"/>
              <w:bottom w:w="40" w:type="dxa"/>
              <w:right w:w="20" w:type="dxa"/>
            </w:tcMar>
            <w:vAlign w:val="bottom"/>
          </w:tcPr>
          <w:p w14:paraId="39D9768E" w14:textId="77777777" w:rsidR="00996AD7" w:rsidRDefault="00996AD7">
            <w:pPr>
              <w:jc w:val="right"/>
              <w:rPr>
                <w:rFonts w:ascii="宋体"/>
              </w:rPr>
            </w:pPr>
          </w:p>
        </w:tc>
      </w:tr>
      <w:tr w:rsidR="00996AD7" w14:paraId="39D97697" w14:textId="77777777">
        <w:tc>
          <w:tcPr>
            <w:tcW w:w="0" w:type="auto"/>
            <w:gridSpan w:val="3"/>
            <w:shd w:val="clear" w:color="auto" w:fill="auto"/>
            <w:tcMar>
              <w:top w:w="40" w:type="dxa"/>
              <w:left w:w="140" w:type="dxa"/>
              <w:bottom w:w="40" w:type="dxa"/>
              <w:right w:w="20" w:type="dxa"/>
            </w:tcMar>
          </w:tcPr>
          <w:p w14:paraId="39D97690" w14:textId="77777777" w:rsidR="00996AD7" w:rsidRDefault="00D96458">
            <w:pPr>
              <w:textAlignment w:val="top"/>
            </w:pPr>
            <w:r>
              <w:rPr>
                <w:rFonts w:ascii="Arial" w:eastAsia="宋体" w:hAnsi="Arial" w:cs="Arial"/>
                <w:color w:val="262626"/>
                <w:sz w:val="18"/>
                <w:szCs w:val="18"/>
              </w:rPr>
              <w:t>Additions to held for sale NAND property, plant and equipment</w:t>
            </w:r>
          </w:p>
        </w:tc>
        <w:tc>
          <w:tcPr>
            <w:tcW w:w="0" w:type="auto"/>
            <w:gridSpan w:val="3"/>
            <w:shd w:val="clear" w:color="auto" w:fill="auto"/>
            <w:tcMar>
              <w:top w:w="0" w:type="dxa"/>
              <w:left w:w="20" w:type="dxa"/>
              <w:bottom w:w="0" w:type="dxa"/>
              <w:right w:w="20" w:type="dxa"/>
            </w:tcMar>
            <w:vAlign w:val="bottom"/>
          </w:tcPr>
          <w:p w14:paraId="39D9769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92" w14:textId="77777777" w:rsidR="00996AD7" w:rsidRDefault="00D96458">
            <w:pPr>
              <w:jc w:val="right"/>
              <w:textAlignment w:val="bottom"/>
            </w:pPr>
            <w:r>
              <w:rPr>
                <w:rFonts w:ascii="Arial" w:eastAsia="宋体" w:hAnsi="Arial" w:cs="Arial"/>
                <w:color w:val="0068B5"/>
                <w:sz w:val="18"/>
                <w:szCs w:val="18"/>
              </w:rPr>
              <w:t>(1,118)</w:t>
            </w:r>
          </w:p>
        </w:tc>
        <w:tc>
          <w:tcPr>
            <w:tcW w:w="0" w:type="auto"/>
            <w:shd w:val="clear" w:color="auto" w:fill="auto"/>
            <w:tcMar>
              <w:top w:w="40" w:type="dxa"/>
              <w:left w:w="0" w:type="dxa"/>
              <w:bottom w:w="40" w:type="dxa"/>
              <w:right w:w="20" w:type="dxa"/>
            </w:tcMar>
            <w:vAlign w:val="bottom"/>
          </w:tcPr>
          <w:p w14:paraId="39D9769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9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95"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696" w14:textId="77777777" w:rsidR="00996AD7" w:rsidRDefault="00996AD7">
            <w:pPr>
              <w:jc w:val="right"/>
              <w:rPr>
                <w:rFonts w:ascii="宋体"/>
              </w:rPr>
            </w:pPr>
          </w:p>
        </w:tc>
      </w:tr>
      <w:tr w:rsidR="00996AD7" w14:paraId="39D9769D" w14:textId="77777777">
        <w:trPr>
          <w:hidden/>
        </w:trPr>
        <w:tc>
          <w:tcPr>
            <w:tcW w:w="0" w:type="auto"/>
            <w:gridSpan w:val="3"/>
            <w:shd w:val="clear" w:color="auto" w:fill="auto"/>
            <w:vAlign w:val="bottom"/>
          </w:tcPr>
          <w:p w14:paraId="39D97698" w14:textId="77777777" w:rsidR="00996AD7" w:rsidRDefault="00996AD7">
            <w:pPr>
              <w:rPr>
                <w:rFonts w:ascii="宋体"/>
                <w:vanish/>
              </w:rPr>
            </w:pPr>
          </w:p>
        </w:tc>
        <w:tc>
          <w:tcPr>
            <w:tcW w:w="0" w:type="auto"/>
            <w:gridSpan w:val="3"/>
            <w:shd w:val="clear" w:color="auto" w:fill="auto"/>
            <w:vAlign w:val="bottom"/>
          </w:tcPr>
          <w:p w14:paraId="39D97699" w14:textId="77777777" w:rsidR="00996AD7" w:rsidRDefault="00996AD7">
            <w:pPr>
              <w:rPr>
                <w:rFonts w:ascii="宋体"/>
                <w:vanish/>
              </w:rPr>
            </w:pPr>
          </w:p>
        </w:tc>
        <w:tc>
          <w:tcPr>
            <w:tcW w:w="0" w:type="auto"/>
            <w:gridSpan w:val="3"/>
            <w:shd w:val="clear" w:color="auto" w:fill="auto"/>
            <w:vAlign w:val="bottom"/>
          </w:tcPr>
          <w:p w14:paraId="39D9769A" w14:textId="77777777" w:rsidR="00996AD7" w:rsidRDefault="00996AD7">
            <w:pPr>
              <w:rPr>
                <w:rFonts w:ascii="宋体"/>
                <w:vanish/>
              </w:rPr>
            </w:pPr>
          </w:p>
        </w:tc>
        <w:tc>
          <w:tcPr>
            <w:tcW w:w="0" w:type="auto"/>
            <w:gridSpan w:val="3"/>
            <w:shd w:val="clear" w:color="auto" w:fill="auto"/>
            <w:vAlign w:val="bottom"/>
          </w:tcPr>
          <w:p w14:paraId="39D9769B" w14:textId="77777777" w:rsidR="00996AD7" w:rsidRDefault="00996AD7">
            <w:pPr>
              <w:rPr>
                <w:rFonts w:ascii="宋体"/>
                <w:vanish/>
              </w:rPr>
            </w:pPr>
          </w:p>
        </w:tc>
        <w:tc>
          <w:tcPr>
            <w:tcW w:w="0" w:type="auto"/>
            <w:gridSpan w:val="3"/>
            <w:shd w:val="clear" w:color="auto" w:fill="auto"/>
            <w:vAlign w:val="bottom"/>
          </w:tcPr>
          <w:p w14:paraId="39D9769C" w14:textId="77777777" w:rsidR="00996AD7" w:rsidRDefault="00996AD7">
            <w:pPr>
              <w:rPr>
                <w:rFonts w:ascii="宋体"/>
                <w:vanish/>
              </w:rPr>
            </w:pPr>
          </w:p>
        </w:tc>
      </w:tr>
      <w:tr w:rsidR="00996AD7" w14:paraId="39D976A5" w14:textId="77777777">
        <w:tc>
          <w:tcPr>
            <w:tcW w:w="0" w:type="auto"/>
            <w:gridSpan w:val="3"/>
            <w:shd w:val="clear" w:color="auto" w:fill="auto"/>
            <w:tcMar>
              <w:top w:w="40" w:type="dxa"/>
              <w:left w:w="140" w:type="dxa"/>
              <w:bottom w:w="40" w:type="dxa"/>
              <w:right w:w="20" w:type="dxa"/>
            </w:tcMar>
          </w:tcPr>
          <w:p w14:paraId="39D9769E" w14:textId="77777777" w:rsidR="00996AD7" w:rsidRDefault="00D96458">
            <w:pPr>
              <w:textAlignment w:val="top"/>
            </w:pPr>
            <w:r>
              <w:rPr>
                <w:rFonts w:ascii="Arial" w:eastAsia="宋体" w:hAnsi="Arial" w:cs="Arial"/>
                <w:color w:val="262626"/>
                <w:sz w:val="18"/>
                <w:szCs w:val="18"/>
              </w:rPr>
              <w:t xml:space="preserve">Purchases of </w:t>
            </w:r>
            <w:r>
              <w:rPr>
                <w:rFonts w:ascii="Arial" w:eastAsia="宋体" w:hAnsi="Arial" w:cs="Arial"/>
                <w:color w:val="262626"/>
                <w:sz w:val="18"/>
                <w:szCs w:val="18"/>
              </w:rPr>
              <w:t>available-for-sale debt investments</w:t>
            </w:r>
          </w:p>
        </w:tc>
        <w:tc>
          <w:tcPr>
            <w:tcW w:w="0" w:type="auto"/>
            <w:gridSpan w:val="3"/>
            <w:shd w:val="clear" w:color="auto" w:fill="auto"/>
            <w:tcMar>
              <w:top w:w="0" w:type="dxa"/>
              <w:left w:w="20" w:type="dxa"/>
              <w:bottom w:w="0" w:type="dxa"/>
              <w:right w:w="20" w:type="dxa"/>
            </w:tcMar>
            <w:vAlign w:val="bottom"/>
          </w:tcPr>
          <w:p w14:paraId="39D9769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A0" w14:textId="77777777" w:rsidR="00996AD7" w:rsidRDefault="00D96458">
            <w:pPr>
              <w:jc w:val="right"/>
              <w:textAlignment w:val="bottom"/>
            </w:pPr>
            <w:r>
              <w:rPr>
                <w:rFonts w:ascii="Arial" w:eastAsia="宋体" w:hAnsi="Arial" w:cs="Arial"/>
                <w:color w:val="0068B5"/>
                <w:sz w:val="18"/>
                <w:szCs w:val="18"/>
              </w:rPr>
              <w:t>(3,983)</w:t>
            </w:r>
          </w:p>
        </w:tc>
        <w:tc>
          <w:tcPr>
            <w:tcW w:w="0" w:type="auto"/>
            <w:shd w:val="clear" w:color="auto" w:fill="auto"/>
            <w:tcMar>
              <w:top w:w="40" w:type="dxa"/>
              <w:left w:w="0" w:type="dxa"/>
              <w:bottom w:w="40" w:type="dxa"/>
              <w:right w:w="20" w:type="dxa"/>
            </w:tcMar>
            <w:vAlign w:val="bottom"/>
          </w:tcPr>
          <w:p w14:paraId="39D976A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A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A3" w14:textId="77777777" w:rsidR="00996AD7" w:rsidRDefault="00D96458">
            <w:pPr>
              <w:jc w:val="right"/>
              <w:textAlignment w:val="bottom"/>
            </w:pPr>
            <w:r>
              <w:rPr>
                <w:rFonts w:ascii="Arial" w:eastAsia="宋体" w:hAnsi="Arial" w:cs="Arial"/>
                <w:color w:val="262626"/>
                <w:sz w:val="18"/>
                <w:szCs w:val="18"/>
              </w:rPr>
              <w:t>(6,323)</w:t>
            </w:r>
          </w:p>
        </w:tc>
        <w:tc>
          <w:tcPr>
            <w:tcW w:w="0" w:type="auto"/>
            <w:shd w:val="clear" w:color="auto" w:fill="auto"/>
            <w:tcMar>
              <w:top w:w="40" w:type="dxa"/>
              <w:left w:w="0" w:type="dxa"/>
              <w:bottom w:w="40" w:type="dxa"/>
              <w:right w:w="20" w:type="dxa"/>
            </w:tcMar>
            <w:vAlign w:val="bottom"/>
          </w:tcPr>
          <w:p w14:paraId="39D976A4" w14:textId="77777777" w:rsidR="00996AD7" w:rsidRDefault="00996AD7">
            <w:pPr>
              <w:jc w:val="right"/>
              <w:rPr>
                <w:rFonts w:ascii="宋体"/>
              </w:rPr>
            </w:pPr>
          </w:p>
        </w:tc>
      </w:tr>
      <w:tr w:rsidR="00996AD7" w14:paraId="39D976AB" w14:textId="77777777">
        <w:trPr>
          <w:hidden/>
        </w:trPr>
        <w:tc>
          <w:tcPr>
            <w:tcW w:w="0" w:type="auto"/>
            <w:gridSpan w:val="3"/>
            <w:shd w:val="clear" w:color="auto" w:fill="auto"/>
            <w:vAlign w:val="bottom"/>
          </w:tcPr>
          <w:p w14:paraId="39D976A6" w14:textId="77777777" w:rsidR="00996AD7" w:rsidRDefault="00996AD7">
            <w:pPr>
              <w:rPr>
                <w:rFonts w:ascii="宋体"/>
                <w:vanish/>
              </w:rPr>
            </w:pPr>
          </w:p>
        </w:tc>
        <w:tc>
          <w:tcPr>
            <w:tcW w:w="0" w:type="auto"/>
            <w:gridSpan w:val="3"/>
            <w:shd w:val="clear" w:color="auto" w:fill="auto"/>
            <w:vAlign w:val="bottom"/>
          </w:tcPr>
          <w:p w14:paraId="39D976A7" w14:textId="77777777" w:rsidR="00996AD7" w:rsidRDefault="00996AD7">
            <w:pPr>
              <w:rPr>
                <w:rFonts w:ascii="宋体"/>
                <w:vanish/>
              </w:rPr>
            </w:pPr>
          </w:p>
        </w:tc>
        <w:tc>
          <w:tcPr>
            <w:tcW w:w="0" w:type="auto"/>
            <w:gridSpan w:val="3"/>
            <w:shd w:val="clear" w:color="auto" w:fill="auto"/>
            <w:vAlign w:val="bottom"/>
          </w:tcPr>
          <w:p w14:paraId="39D976A8" w14:textId="77777777" w:rsidR="00996AD7" w:rsidRDefault="00996AD7">
            <w:pPr>
              <w:rPr>
                <w:rFonts w:ascii="宋体"/>
                <w:vanish/>
              </w:rPr>
            </w:pPr>
          </w:p>
        </w:tc>
        <w:tc>
          <w:tcPr>
            <w:tcW w:w="0" w:type="auto"/>
            <w:gridSpan w:val="3"/>
            <w:shd w:val="clear" w:color="auto" w:fill="auto"/>
            <w:vAlign w:val="bottom"/>
          </w:tcPr>
          <w:p w14:paraId="39D976A9" w14:textId="77777777" w:rsidR="00996AD7" w:rsidRDefault="00996AD7">
            <w:pPr>
              <w:rPr>
                <w:rFonts w:ascii="宋体"/>
                <w:vanish/>
              </w:rPr>
            </w:pPr>
          </w:p>
        </w:tc>
        <w:tc>
          <w:tcPr>
            <w:tcW w:w="0" w:type="auto"/>
            <w:gridSpan w:val="3"/>
            <w:shd w:val="clear" w:color="auto" w:fill="auto"/>
            <w:vAlign w:val="bottom"/>
          </w:tcPr>
          <w:p w14:paraId="39D976AA" w14:textId="77777777" w:rsidR="00996AD7" w:rsidRDefault="00996AD7">
            <w:pPr>
              <w:rPr>
                <w:rFonts w:ascii="宋体"/>
                <w:vanish/>
              </w:rPr>
            </w:pPr>
          </w:p>
        </w:tc>
      </w:tr>
      <w:tr w:rsidR="00996AD7" w14:paraId="39D976B3" w14:textId="77777777">
        <w:tc>
          <w:tcPr>
            <w:tcW w:w="0" w:type="auto"/>
            <w:gridSpan w:val="3"/>
            <w:shd w:val="clear" w:color="auto" w:fill="auto"/>
            <w:tcMar>
              <w:top w:w="40" w:type="dxa"/>
              <w:left w:w="140" w:type="dxa"/>
              <w:bottom w:w="40" w:type="dxa"/>
              <w:right w:w="20" w:type="dxa"/>
            </w:tcMar>
          </w:tcPr>
          <w:p w14:paraId="39D976AC" w14:textId="77777777" w:rsidR="00996AD7" w:rsidRDefault="00D96458">
            <w:pPr>
              <w:textAlignment w:val="top"/>
            </w:pPr>
            <w:r>
              <w:rPr>
                <w:rFonts w:ascii="Arial" w:eastAsia="宋体" w:hAnsi="Arial" w:cs="Arial"/>
                <w:color w:val="262626"/>
                <w:sz w:val="18"/>
                <w:szCs w:val="18"/>
              </w:rPr>
              <w:t>Maturities and sales of available-for-sale debt investments</w:t>
            </w:r>
          </w:p>
        </w:tc>
        <w:tc>
          <w:tcPr>
            <w:tcW w:w="0" w:type="auto"/>
            <w:gridSpan w:val="3"/>
            <w:shd w:val="clear" w:color="auto" w:fill="auto"/>
            <w:tcMar>
              <w:top w:w="0" w:type="dxa"/>
              <w:left w:w="20" w:type="dxa"/>
              <w:bottom w:w="0" w:type="dxa"/>
              <w:right w:w="20" w:type="dxa"/>
            </w:tcMar>
            <w:vAlign w:val="bottom"/>
          </w:tcPr>
          <w:p w14:paraId="39D976A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AE" w14:textId="77777777" w:rsidR="00996AD7" w:rsidRDefault="00D96458">
            <w:pPr>
              <w:jc w:val="right"/>
              <w:textAlignment w:val="bottom"/>
            </w:pPr>
            <w:r>
              <w:rPr>
                <w:rFonts w:ascii="Arial" w:eastAsia="宋体" w:hAnsi="Arial" w:cs="Arial"/>
                <w:color w:val="0068B5"/>
                <w:sz w:val="18"/>
                <w:szCs w:val="18"/>
              </w:rPr>
              <w:t>3,457 </w:t>
            </w:r>
          </w:p>
        </w:tc>
        <w:tc>
          <w:tcPr>
            <w:tcW w:w="0" w:type="auto"/>
            <w:shd w:val="clear" w:color="auto" w:fill="auto"/>
            <w:tcMar>
              <w:top w:w="40" w:type="dxa"/>
              <w:left w:w="0" w:type="dxa"/>
              <w:bottom w:w="40" w:type="dxa"/>
              <w:right w:w="20" w:type="dxa"/>
            </w:tcMar>
            <w:vAlign w:val="bottom"/>
          </w:tcPr>
          <w:p w14:paraId="39D976A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B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B1" w14:textId="77777777" w:rsidR="00996AD7" w:rsidRDefault="00D96458">
            <w:pPr>
              <w:jc w:val="right"/>
              <w:textAlignment w:val="bottom"/>
            </w:pPr>
            <w:r>
              <w:rPr>
                <w:rFonts w:ascii="Arial" w:eastAsia="宋体" w:hAnsi="Arial" w:cs="Arial"/>
                <w:color w:val="262626"/>
                <w:sz w:val="18"/>
                <w:szCs w:val="18"/>
              </w:rPr>
              <w:t>5,037 </w:t>
            </w:r>
          </w:p>
        </w:tc>
        <w:tc>
          <w:tcPr>
            <w:tcW w:w="0" w:type="auto"/>
            <w:shd w:val="clear" w:color="auto" w:fill="auto"/>
            <w:tcMar>
              <w:top w:w="40" w:type="dxa"/>
              <w:left w:w="0" w:type="dxa"/>
              <w:bottom w:w="40" w:type="dxa"/>
              <w:right w:w="20" w:type="dxa"/>
            </w:tcMar>
            <w:vAlign w:val="bottom"/>
          </w:tcPr>
          <w:p w14:paraId="39D976B2" w14:textId="77777777" w:rsidR="00996AD7" w:rsidRDefault="00996AD7">
            <w:pPr>
              <w:jc w:val="right"/>
              <w:rPr>
                <w:rFonts w:ascii="宋体"/>
              </w:rPr>
            </w:pPr>
          </w:p>
        </w:tc>
      </w:tr>
      <w:tr w:rsidR="00996AD7" w14:paraId="39D976BB" w14:textId="77777777">
        <w:tc>
          <w:tcPr>
            <w:tcW w:w="0" w:type="auto"/>
            <w:gridSpan w:val="3"/>
            <w:shd w:val="clear" w:color="auto" w:fill="auto"/>
            <w:tcMar>
              <w:top w:w="40" w:type="dxa"/>
              <w:left w:w="140" w:type="dxa"/>
              <w:bottom w:w="40" w:type="dxa"/>
              <w:right w:w="20" w:type="dxa"/>
            </w:tcMar>
          </w:tcPr>
          <w:p w14:paraId="39D976B4" w14:textId="77777777" w:rsidR="00996AD7" w:rsidRDefault="00D96458">
            <w:pPr>
              <w:textAlignment w:val="top"/>
            </w:pPr>
            <w:r>
              <w:rPr>
                <w:rFonts w:ascii="Arial" w:eastAsia="宋体" w:hAnsi="Arial" w:cs="Arial"/>
                <w:color w:val="262626"/>
                <w:sz w:val="18"/>
                <w:szCs w:val="18"/>
              </w:rPr>
              <w:t>Purchases of trading assets</w:t>
            </w:r>
          </w:p>
        </w:tc>
        <w:tc>
          <w:tcPr>
            <w:tcW w:w="0" w:type="auto"/>
            <w:gridSpan w:val="3"/>
            <w:shd w:val="clear" w:color="auto" w:fill="auto"/>
            <w:tcMar>
              <w:top w:w="0" w:type="dxa"/>
              <w:left w:w="20" w:type="dxa"/>
              <w:bottom w:w="0" w:type="dxa"/>
              <w:right w:w="20" w:type="dxa"/>
            </w:tcMar>
            <w:vAlign w:val="bottom"/>
          </w:tcPr>
          <w:p w14:paraId="39D976B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B6" w14:textId="77777777" w:rsidR="00996AD7" w:rsidRDefault="00D96458">
            <w:pPr>
              <w:jc w:val="right"/>
              <w:textAlignment w:val="bottom"/>
            </w:pPr>
            <w:r>
              <w:rPr>
                <w:rFonts w:ascii="Arial" w:eastAsia="宋体" w:hAnsi="Arial" w:cs="Arial"/>
                <w:color w:val="0068B5"/>
                <w:sz w:val="18"/>
                <w:szCs w:val="18"/>
              </w:rPr>
              <w:t>(26,343)</w:t>
            </w:r>
          </w:p>
        </w:tc>
        <w:tc>
          <w:tcPr>
            <w:tcW w:w="0" w:type="auto"/>
            <w:shd w:val="clear" w:color="auto" w:fill="auto"/>
            <w:tcMar>
              <w:top w:w="40" w:type="dxa"/>
              <w:left w:w="0" w:type="dxa"/>
              <w:bottom w:w="40" w:type="dxa"/>
              <w:right w:w="20" w:type="dxa"/>
            </w:tcMar>
            <w:vAlign w:val="bottom"/>
          </w:tcPr>
          <w:p w14:paraId="39D976B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B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B9" w14:textId="77777777" w:rsidR="00996AD7" w:rsidRDefault="00D96458">
            <w:pPr>
              <w:jc w:val="right"/>
              <w:textAlignment w:val="bottom"/>
            </w:pPr>
            <w:r>
              <w:rPr>
                <w:rFonts w:ascii="Arial" w:eastAsia="宋体" w:hAnsi="Arial" w:cs="Arial"/>
                <w:color w:val="262626"/>
                <w:sz w:val="18"/>
                <w:szCs w:val="18"/>
              </w:rPr>
              <w:t>(14,744)</w:t>
            </w:r>
          </w:p>
        </w:tc>
        <w:tc>
          <w:tcPr>
            <w:tcW w:w="0" w:type="auto"/>
            <w:shd w:val="clear" w:color="auto" w:fill="auto"/>
            <w:tcMar>
              <w:top w:w="40" w:type="dxa"/>
              <w:left w:w="0" w:type="dxa"/>
              <w:bottom w:w="40" w:type="dxa"/>
              <w:right w:w="20" w:type="dxa"/>
            </w:tcMar>
            <w:vAlign w:val="bottom"/>
          </w:tcPr>
          <w:p w14:paraId="39D976BA" w14:textId="77777777" w:rsidR="00996AD7" w:rsidRDefault="00996AD7">
            <w:pPr>
              <w:jc w:val="right"/>
              <w:rPr>
                <w:rFonts w:ascii="宋体"/>
              </w:rPr>
            </w:pPr>
          </w:p>
        </w:tc>
      </w:tr>
      <w:tr w:rsidR="00996AD7" w14:paraId="39D976C3" w14:textId="77777777">
        <w:tc>
          <w:tcPr>
            <w:tcW w:w="0" w:type="auto"/>
            <w:gridSpan w:val="3"/>
            <w:shd w:val="clear" w:color="auto" w:fill="auto"/>
            <w:tcMar>
              <w:top w:w="40" w:type="dxa"/>
              <w:left w:w="140" w:type="dxa"/>
              <w:bottom w:w="40" w:type="dxa"/>
              <w:right w:w="20" w:type="dxa"/>
            </w:tcMar>
          </w:tcPr>
          <w:p w14:paraId="39D976BC" w14:textId="77777777" w:rsidR="00996AD7" w:rsidRDefault="00D96458">
            <w:pPr>
              <w:textAlignment w:val="top"/>
            </w:pPr>
            <w:r>
              <w:rPr>
                <w:rFonts w:ascii="Arial" w:eastAsia="宋体" w:hAnsi="Arial" w:cs="Arial"/>
                <w:color w:val="262626"/>
                <w:sz w:val="18"/>
                <w:szCs w:val="18"/>
              </w:rPr>
              <w:t>Maturities and sales of trading assets</w:t>
            </w:r>
          </w:p>
        </w:tc>
        <w:tc>
          <w:tcPr>
            <w:tcW w:w="0" w:type="auto"/>
            <w:gridSpan w:val="3"/>
            <w:shd w:val="clear" w:color="auto" w:fill="auto"/>
            <w:tcMar>
              <w:top w:w="0" w:type="dxa"/>
              <w:left w:w="20" w:type="dxa"/>
              <w:bottom w:w="0" w:type="dxa"/>
              <w:right w:w="20" w:type="dxa"/>
            </w:tcMar>
            <w:vAlign w:val="bottom"/>
          </w:tcPr>
          <w:p w14:paraId="39D976B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BE" w14:textId="77777777" w:rsidR="00996AD7" w:rsidRDefault="00D96458">
            <w:pPr>
              <w:jc w:val="right"/>
              <w:textAlignment w:val="bottom"/>
            </w:pPr>
            <w:r>
              <w:rPr>
                <w:rFonts w:ascii="Arial" w:eastAsia="宋体" w:hAnsi="Arial" w:cs="Arial"/>
                <w:color w:val="0068B5"/>
                <w:sz w:val="18"/>
                <w:szCs w:val="18"/>
              </w:rPr>
              <w:t>18,813 </w:t>
            </w:r>
          </w:p>
        </w:tc>
        <w:tc>
          <w:tcPr>
            <w:tcW w:w="0" w:type="auto"/>
            <w:shd w:val="clear" w:color="auto" w:fill="auto"/>
            <w:tcMar>
              <w:top w:w="40" w:type="dxa"/>
              <w:left w:w="0" w:type="dxa"/>
              <w:bottom w:w="40" w:type="dxa"/>
              <w:right w:w="20" w:type="dxa"/>
            </w:tcMar>
            <w:vAlign w:val="bottom"/>
          </w:tcPr>
          <w:p w14:paraId="39D976B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C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C1" w14:textId="77777777" w:rsidR="00996AD7" w:rsidRDefault="00D96458">
            <w:pPr>
              <w:jc w:val="right"/>
              <w:textAlignment w:val="bottom"/>
            </w:pPr>
            <w:r>
              <w:rPr>
                <w:rFonts w:ascii="Arial" w:eastAsia="宋体" w:hAnsi="Arial" w:cs="Arial"/>
                <w:color w:val="262626"/>
                <w:sz w:val="18"/>
                <w:szCs w:val="18"/>
              </w:rPr>
              <w:t>11,227 </w:t>
            </w:r>
          </w:p>
        </w:tc>
        <w:tc>
          <w:tcPr>
            <w:tcW w:w="0" w:type="auto"/>
            <w:shd w:val="clear" w:color="auto" w:fill="auto"/>
            <w:tcMar>
              <w:top w:w="40" w:type="dxa"/>
              <w:left w:w="0" w:type="dxa"/>
              <w:bottom w:w="40" w:type="dxa"/>
              <w:right w:w="20" w:type="dxa"/>
            </w:tcMar>
            <w:vAlign w:val="bottom"/>
          </w:tcPr>
          <w:p w14:paraId="39D976C2" w14:textId="77777777" w:rsidR="00996AD7" w:rsidRDefault="00996AD7">
            <w:pPr>
              <w:jc w:val="right"/>
              <w:rPr>
                <w:rFonts w:ascii="宋体"/>
              </w:rPr>
            </w:pPr>
          </w:p>
        </w:tc>
      </w:tr>
      <w:tr w:rsidR="00996AD7" w14:paraId="39D976C9" w14:textId="77777777">
        <w:trPr>
          <w:hidden/>
        </w:trPr>
        <w:tc>
          <w:tcPr>
            <w:tcW w:w="0" w:type="auto"/>
            <w:gridSpan w:val="3"/>
            <w:shd w:val="clear" w:color="auto" w:fill="auto"/>
            <w:vAlign w:val="bottom"/>
          </w:tcPr>
          <w:p w14:paraId="39D976C4" w14:textId="77777777" w:rsidR="00996AD7" w:rsidRDefault="00996AD7">
            <w:pPr>
              <w:rPr>
                <w:rFonts w:ascii="宋体"/>
                <w:vanish/>
              </w:rPr>
            </w:pPr>
          </w:p>
        </w:tc>
        <w:tc>
          <w:tcPr>
            <w:tcW w:w="0" w:type="auto"/>
            <w:gridSpan w:val="3"/>
            <w:shd w:val="clear" w:color="auto" w:fill="auto"/>
            <w:vAlign w:val="bottom"/>
          </w:tcPr>
          <w:p w14:paraId="39D976C5" w14:textId="77777777" w:rsidR="00996AD7" w:rsidRDefault="00996AD7">
            <w:pPr>
              <w:rPr>
                <w:rFonts w:ascii="宋体"/>
                <w:vanish/>
              </w:rPr>
            </w:pPr>
          </w:p>
        </w:tc>
        <w:tc>
          <w:tcPr>
            <w:tcW w:w="0" w:type="auto"/>
            <w:gridSpan w:val="3"/>
            <w:shd w:val="clear" w:color="auto" w:fill="auto"/>
            <w:vAlign w:val="bottom"/>
          </w:tcPr>
          <w:p w14:paraId="39D976C6" w14:textId="77777777" w:rsidR="00996AD7" w:rsidRDefault="00996AD7">
            <w:pPr>
              <w:rPr>
                <w:rFonts w:ascii="宋体"/>
                <w:vanish/>
              </w:rPr>
            </w:pPr>
          </w:p>
        </w:tc>
        <w:tc>
          <w:tcPr>
            <w:tcW w:w="0" w:type="auto"/>
            <w:gridSpan w:val="3"/>
            <w:shd w:val="clear" w:color="auto" w:fill="auto"/>
            <w:vAlign w:val="bottom"/>
          </w:tcPr>
          <w:p w14:paraId="39D976C7" w14:textId="77777777" w:rsidR="00996AD7" w:rsidRDefault="00996AD7">
            <w:pPr>
              <w:rPr>
                <w:rFonts w:ascii="宋体"/>
                <w:vanish/>
              </w:rPr>
            </w:pPr>
          </w:p>
        </w:tc>
        <w:tc>
          <w:tcPr>
            <w:tcW w:w="0" w:type="auto"/>
            <w:gridSpan w:val="3"/>
            <w:shd w:val="clear" w:color="auto" w:fill="auto"/>
            <w:vAlign w:val="bottom"/>
          </w:tcPr>
          <w:p w14:paraId="39D976C8" w14:textId="77777777" w:rsidR="00996AD7" w:rsidRDefault="00996AD7">
            <w:pPr>
              <w:rPr>
                <w:rFonts w:ascii="宋体"/>
                <w:vanish/>
              </w:rPr>
            </w:pPr>
          </w:p>
        </w:tc>
      </w:tr>
      <w:tr w:rsidR="00996AD7" w14:paraId="39D976CF" w14:textId="77777777">
        <w:trPr>
          <w:hidden/>
        </w:trPr>
        <w:tc>
          <w:tcPr>
            <w:tcW w:w="0" w:type="auto"/>
            <w:gridSpan w:val="3"/>
            <w:shd w:val="clear" w:color="auto" w:fill="auto"/>
            <w:vAlign w:val="bottom"/>
          </w:tcPr>
          <w:p w14:paraId="39D976CA" w14:textId="77777777" w:rsidR="00996AD7" w:rsidRDefault="00996AD7">
            <w:pPr>
              <w:rPr>
                <w:rFonts w:ascii="宋体"/>
                <w:vanish/>
              </w:rPr>
            </w:pPr>
          </w:p>
        </w:tc>
        <w:tc>
          <w:tcPr>
            <w:tcW w:w="0" w:type="auto"/>
            <w:gridSpan w:val="3"/>
            <w:shd w:val="clear" w:color="auto" w:fill="auto"/>
            <w:vAlign w:val="bottom"/>
          </w:tcPr>
          <w:p w14:paraId="39D976CB" w14:textId="77777777" w:rsidR="00996AD7" w:rsidRDefault="00996AD7">
            <w:pPr>
              <w:rPr>
                <w:rFonts w:ascii="宋体"/>
                <w:vanish/>
              </w:rPr>
            </w:pPr>
          </w:p>
        </w:tc>
        <w:tc>
          <w:tcPr>
            <w:tcW w:w="0" w:type="auto"/>
            <w:gridSpan w:val="3"/>
            <w:shd w:val="clear" w:color="auto" w:fill="auto"/>
            <w:vAlign w:val="bottom"/>
          </w:tcPr>
          <w:p w14:paraId="39D976CC" w14:textId="77777777" w:rsidR="00996AD7" w:rsidRDefault="00996AD7">
            <w:pPr>
              <w:rPr>
                <w:rFonts w:ascii="宋体"/>
                <w:vanish/>
              </w:rPr>
            </w:pPr>
          </w:p>
        </w:tc>
        <w:tc>
          <w:tcPr>
            <w:tcW w:w="0" w:type="auto"/>
            <w:gridSpan w:val="3"/>
            <w:shd w:val="clear" w:color="auto" w:fill="auto"/>
            <w:vAlign w:val="bottom"/>
          </w:tcPr>
          <w:p w14:paraId="39D976CD" w14:textId="77777777" w:rsidR="00996AD7" w:rsidRDefault="00996AD7">
            <w:pPr>
              <w:rPr>
                <w:rFonts w:ascii="宋体"/>
                <w:vanish/>
              </w:rPr>
            </w:pPr>
          </w:p>
        </w:tc>
        <w:tc>
          <w:tcPr>
            <w:tcW w:w="0" w:type="auto"/>
            <w:gridSpan w:val="3"/>
            <w:shd w:val="clear" w:color="auto" w:fill="auto"/>
            <w:vAlign w:val="bottom"/>
          </w:tcPr>
          <w:p w14:paraId="39D976CE" w14:textId="77777777" w:rsidR="00996AD7" w:rsidRDefault="00996AD7">
            <w:pPr>
              <w:rPr>
                <w:rFonts w:ascii="宋体"/>
                <w:vanish/>
              </w:rPr>
            </w:pPr>
          </w:p>
        </w:tc>
      </w:tr>
      <w:tr w:rsidR="00996AD7" w14:paraId="39D976D5" w14:textId="77777777">
        <w:trPr>
          <w:hidden/>
        </w:trPr>
        <w:tc>
          <w:tcPr>
            <w:tcW w:w="0" w:type="auto"/>
            <w:gridSpan w:val="3"/>
            <w:shd w:val="clear" w:color="auto" w:fill="auto"/>
            <w:vAlign w:val="bottom"/>
          </w:tcPr>
          <w:p w14:paraId="39D976D0" w14:textId="77777777" w:rsidR="00996AD7" w:rsidRDefault="00996AD7">
            <w:pPr>
              <w:rPr>
                <w:rFonts w:ascii="宋体"/>
                <w:vanish/>
              </w:rPr>
            </w:pPr>
          </w:p>
        </w:tc>
        <w:tc>
          <w:tcPr>
            <w:tcW w:w="0" w:type="auto"/>
            <w:gridSpan w:val="3"/>
            <w:shd w:val="clear" w:color="auto" w:fill="auto"/>
            <w:vAlign w:val="bottom"/>
          </w:tcPr>
          <w:p w14:paraId="39D976D1" w14:textId="77777777" w:rsidR="00996AD7" w:rsidRDefault="00996AD7">
            <w:pPr>
              <w:rPr>
                <w:rFonts w:ascii="宋体"/>
                <w:vanish/>
              </w:rPr>
            </w:pPr>
          </w:p>
        </w:tc>
        <w:tc>
          <w:tcPr>
            <w:tcW w:w="0" w:type="auto"/>
            <w:gridSpan w:val="3"/>
            <w:shd w:val="clear" w:color="auto" w:fill="auto"/>
            <w:vAlign w:val="bottom"/>
          </w:tcPr>
          <w:p w14:paraId="39D976D2" w14:textId="77777777" w:rsidR="00996AD7" w:rsidRDefault="00996AD7">
            <w:pPr>
              <w:rPr>
                <w:rFonts w:ascii="宋体"/>
                <w:vanish/>
              </w:rPr>
            </w:pPr>
          </w:p>
        </w:tc>
        <w:tc>
          <w:tcPr>
            <w:tcW w:w="0" w:type="auto"/>
            <w:gridSpan w:val="3"/>
            <w:shd w:val="clear" w:color="auto" w:fill="auto"/>
            <w:vAlign w:val="bottom"/>
          </w:tcPr>
          <w:p w14:paraId="39D976D3" w14:textId="77777777" w:rsidR="00996AD7" w:rsidRDefault="00996AD7">
            <w:pPr>
              <w:rPr>
                <w:rFonts w:ascii="宋体"/>
                <w:vanish/>
              </w:rPr>
            </w:pPr>
          </w:p>
        </w:tc>
        <w:tc>
          <w:tcPr>
            <w:tcW w:w="0" w:type="auto"/>
            <w:gridSpan w:val="3"/>
            <w:shd w:val="clear" w:color="auto" w:fill="auto"/>
            <w:vAlign w:val="bottom"/>
          </w:tcPr>
          <w:p w14:paraId="39D976D4" w14:textId="77777777" w:rsidR="00996AD7" w:rsidRDefault="00996AD7">
            <w:pPr>
              <w:rPr>
                <w:rFonts w:ascii="宋体"/>
                <w:vanish/>
              </w:rPr>
            </w:pPr>
          </w:p>
        </w:tc>
      </w:tr>
      <w:tr w:rsidR="00996AD7" w14:paraId="39D976DB" w14:textId="77777777">
        <w:trPr>
          <w:hidden/>
        </w:trPr>
        <w:tc>
          <w:tcPr>
            <w:tcW w:w="0" w:type="auto"/>
            <w:gridSpan w:val="3"/>
            <w:shd w:val="clear" w:color="auto" w:fill="auto"/>
            <w:vAlign w:val="bottom"/>
          </w:tcPr>
          <w:p w14:paraId="39D976D6" w14:textId="77777777" w:rsidR="00996AD7" w:rsidRDefault="00996AD7">
            <w:pPr>
              <w:rPr>
                <w:rFonts w:ascii="宋体"/>
                <w:vanish/>
              </w:rPr>
            </w:pPr>
          </w:p>
        </w:tc>
        <w:tc>
          <w:tcPr>
            <w:tcW w:w="0" w:type="auto"/>
            <w:gridSpan w:val="3"/>
            <w:shd w:val="clear" w:color="auto" w:fill="auto"/>
            <w:vAlign w:val="bottom"/>
          </w:tcPr>
          <w:p w14:paraId="39D976D7" w14:textId="77777777" w:rsidR="00996AD7" w:rsidRDefault="00996AD7">
            <w:pPr>
              <w:rPr>
                <w:rFonts w:ascii="宋体"/>
                <w:vanish/>
              </w:rPr>
            </w:pPr>
          </w:p>
        </w:tc>
        <w:tc>
          <w:tcPr>
            <w:tcW w:w="0" w:type="auto"/>
            <w:gridSpan w:val="3"/>
            <w:shd w:val="clear" w:color="auto" w:fill="auto"/>
            <w:vAlign w:val="bottom"/>
          </w:tcPr>
          <w:p w14:paraId="39D976D8" w14:textId="77777777" w:rsidR="00996AD7" w:rsidRDefault="00996AD7">
            <w:pPr>
              <w:rPr>
                <w:rFonts w:ascii="宋体"/>
                <w:vanish/>
              </w:rPr>
            </w:pPr>
          </w:p>
        </w:tc>
        <w:tc>
          <w:tcPr>
            <w:tcW w:w="0" w:type="auto"/>
            <w:gridSpan w:val="3"/>
            <w:shd w:val="clear" w:color="auto" w:fill="auto"/>
            <w:vAlign w:val="bottom"/>
          </w:tcPr>
          <w:p w14:paraId="39D976D9" w14:textId="77777777" w:rsidR="00996AD7" w:rsidRDefault="00996AD7">
            <w:pPr>
              <w:rPr>
                <w:rFonts w:ascii="宋体"/>
                <w:vanish/>
              </w:rPr>
            </w:pPr>
          </w:p>
        </w:tc>
        <w:tc>
          <w:tcPr>
            <w:tcW w:w="0" w:type="auto"/>
            <w:gridSpan w:val="3"/>
            <w:shd w:val="clear" w:color="auto" w:fill="auto"/>
            <w:vAlign w:val="bottom"/>
          </w:tcPr>
          <w:p w14:paraId="39D976DA" w14:textId="77777777" w:rsidR="00996AD7" w:rsidRDefault="00996AD7">
            <w:pPr>
              <w:rPr>
                <w:rFonts w:ascii="宋体"/>
                <w:vanish/>
              </w:rPr>
            </w:pPr>
          </w:p>
        </w:tc>
      </w:tr>
      <w:tr w:rsidR="00996AD7" w14:paraId="39D976E1" w14:textId="77777777">
        <w:trPr>
          <w:hidden/>
        </w:trPr>
        <w:tc>
          <w:tcPr>
            <w:tcW w:w="0" w:type="auto"/>
            <w:gridSpan w:val="3"/>
            <w:shd w:val="clear" w:color="auto" w:fill="auto"/>
            <w:vAlign w:val="bottom"/>
          </w:tcPr>
          <w:p w14:paraId="39D976DC" w14:textId="77777777" w:rsidR="00996AD7" w:rsidRDefault="00996AD7">
            <w:pPr>
              <w:rPr>
                <w:rFonts w:ascii="宋体"/>
                <w:vanish/>
              </w:rPr>
            </w:pPr>
          </w:p>
        </w:tc>
        <w:tc>
          <w:tcPr>
            <w:tcW w:w="0" w:type="auto"/>
            <w:gridSpan w:val="3"/>
            <w:shd w:val="clear" w:color="auto" w:fill="auto"/>
            <w:vAlign w:val="bottom"/>
          </w:tcPr>
          <w:p w14:paraId="39D976DD" w14:textId="77777777" w:rsidR="00996AD7" w:rsidRDefault="00996AD7">
            <w:pPr>
              <w:rPr>
                <w:rFonts w:ascii="宋体"/>
                <w:vanish/>
              </w:rPr>
            </w:pPr>
          </w:p>
        </w:tc>
        <w:tc>
          <w:tcPr>
            <w:tcW w:w="0" w:type="auto"/>
            <w:gridSpan w:val="3"/>
            <w:shd w:val="clear" w:color="auto" w:fill="auto"/>
            <w:vAlign w:val="bottom"/>
          </w:tcPr>
          <w:p w14:paraId="39D976DE" w14:textId="77777777" w:rsidR="00996AD7" w:rsidRDefault="00996AD7">
            <w:pPr>
              <w:rPr>
                <w:rFonts w:ascii="宋体"/>
                <w:vanish/>
              </w:rPr>
            </w:pPr>
          </w:p>
        </w:tc>
        <w:tc>
          <w:tcPr>
            <w:tcW w:w="0" w:type="auto"/>
            <w:gridSpan w:val="3"/>
            <w:shd w:val="clear" w:color="auto" w:fill="auto"/>
            <w:vAlign w:val="bottom"/>
          </w:tcPr>
          <w:p w14:paraId="39D976DF" w14:textId="77777777" w:rsidR="00996AD7" w:rsidRDefault="00996AD7">
            <w:pPr>
              <w:rPr>
                <w:rFonts w:ascii="宋体"/>
                <w:vanish/>
              </w:rPr>
            </w:pPr>
          </w:p>
        </w:tc>
        <w:tc>
          <w:tcPr>
            <w:tcW w:w="0" w:type="auto"/>
            <w:gridSpan w:val="3"/>
            <w:shd w:val="clear" w:color="auto" w:fill="auto"/>
            <w:vAlign w:val="bottom"/>
          </w:tcPr>
          <w:p w14:paraId="39D976E0" w14:textId="77777777" w:rsidR="00996AD7" w:rsidRDefault="00996AD7">
            <w:pPr>
              <w:rPr>
                <w:rFonts w:ascii="宋体"/>
                <w:vanish/>
              </w:rPr>
            </w:pPr>
          </w:p>
        </w:tc>
      </w:tr>
      <w:tr w:rsidR="00996AD7" w14:paraId="39D976E7" w14:textId="77777777">
        <w:trPr>
          <w:hidden/>
        </w:trPr>
        <w:tc>
          <w:tcPr>
            <w:tcW w:w="0" w:type="auto"/>
            <w:gridSpan w:val="3"/>
            <w:shd w:val="clear" w:color="auto" w:fill="auto"/>
            <w:vAlign w:val="bottom"/>
          </w:tcPr>
          <w:p w14:paraId="39D976E2" w14:textId="77777777" w:rsidR="00996AD7" w:rsidRDefault="00996AD7">
            <w:pPr>
              <w:rPr>
                <w:rFonts w:ascii="宋体"/>
                <w:vanish/>
              </w:rPr>
            </w:pPr>
          </w:p>
        </w:tc>
        <w:tc>
          <w:tcPr>
            <w:tcW w:w="0" w:type="auto"/>
            <w:gridSpan w:val="3"/>
            <w:shd w:val="clear" w:color="auto" w:fill="auto"/>
            <w:vAlign w:val="bottom"/>
          </w:tcPr>
          <w:p w14:paraId="39D976E3" w14:textId="77777777" w:rsidR="00996AD7" w:rsidRDefault="00996AD7">
            <w:pPr>
              <w:rPr>
                <w:rFonts w:ascii="宋体"/>
                <w:vanish/>
              </w:rPr>
            </w:pPr>
          </w:p>
        </w:tc>
        <w:tc>
          <w:tcPr>
            <w:tcW w:w="0" w:type="auto"/>
            <w:gridSpan w:val="3"/>
            <w:shd w:val="clear" w:color="auto" w:fill="auto"/>
            <w:vAlign w:val="bottom"/>
          </w:tcPr>
          <w:p w14:paraId="39D976E4" w14:textId="77777777" w:rsidR="00996AD7" w:rsidRDefault="00996AD7">
            <w:pPr>
              <w:rPr>
                <w:rFonts w:ascii="宋体"/>
                <w:vanish/>
              </w:rPr>
            </w:pPr>
          </w:p>
        </w:tc>
        <w:tc>
          <w:tcPr>
            <w:tcW w:w="0" w:type="auto"/>
            <w:gridSpan w:val="3"/>
            <w:shd w:val="clear" w:color="auto" w:fill="auto"/>
            <w:vAlign w:val="bottom"/>
          </w:tcPr>
          <w:p w14:paraId="39D976E5" w14:textId="77777777" w:rsidR="00996AD7" w:rsidRDefault="00996AD7">
            <w:pPr>
              <w:rPr>
                <w:rFonts w:ascii="宋体"/>
                <w:vanish/>
              </w:rPr>
            </w:pPr>
          </w:p>
        </w:tc>
        <w:tc>
          <w:tcPr>
            <w:tcW w:w="0" w:type="auto"/>
            <w:gridSpan w:val="3"/>
            <w:shd w:val="clear" w:color="auto" w:fill="auto"/>
            <w:vAlign w:val="bottom"/>
          </w:tcPr>
          <w:p w14:paraId="39D976E6" w14:textId="77777777" w:rsidR="00996AD7" w:rsidRDefault="00996AD7">
            <w:pPr>
              <w:rPr>
                <w:rFonts w:ascii="宋体"/>
                <w:vanish/>
              </w:rPr>
            </w:pPr>
          </w:p>
        </w:tc>
      </w:tr>
      <w:tr w:rsidR="00996AD7" w14:paraId="39D976ED" w14:textId="77777777">
        <w:trPr>
          <w:hidden/>
        </w:trPr>
        <w:tc>
          <w:tcPr>
            <w:tcW w:w="0" w:type="auto"/>
            <w:gridSpan w:val="3"/>
            <w:shd w:val="clear" w:color="auto" w:fill="auto"/>
            <w:vAlign w:val="bottom"/>
          </w:tcPr>
          <w:p w14:paraId="39D976E8" w14:textId="77777777" w:rsidR="00996AD7" w:rsidRDefault="00996AD7">
            <w:pPr>
              <w:rPr>
                <w:rFonts w:ascii="宋体"/>
                <w:vanish/>
              </w:rPr>
            </w:pPr>
          </w:p>
        </w:tc>
        <w:tc>
          <w:tcPr>
            <w:tcW w:w="0" w:type="auto"/>
            <w:gridSpan w:val="3"/>
            <w:shd w:val="clear" w:color="auto" w:fill="auto"/>
            <w:vAlign w:val="bottom"/>
          </w:tcPr>
          <w:p w14:paraId="39D976E9" w14:textId="77777777" w:rsidR="00996AD7" w:rsidRDefault="00996AD7">
            <w:pPr>
              <w:rPr>
                <w:rFonts w:ascii="宋体"/>
                <w:vanish/>
              </w:rPr>
            </w:pPr>
          </w:p>
        </w:tc>
        <w:tc>
          <w:tcPr>
            <w:tcW w:w="0" w:type="auto"/>
            <w:gridSpan w:val="3"/>
            <w:shd w:val="clear" w:color="auto" w:fill="auto"/>
            <w:vAlign w:val="bottom"/>
          </w:tcPr>
          <w:p w14:paraId="39D976EA" w14:textId="77777777" w:rsidR="00996AD7" w:rsidRDefault="00996AD7">
            <w:pPr>
              <w:rPr>
                <w:rFonts w:ascii="宋体"/>
                <w:vanish/>
              </w:rPr>
            </w:pPr>
          </w:p>
        </w:tc>
        <w:tc>
          <w:tcPr>
            <w:tcW w:w="0" w:type="auto"/>
            <w:gridSpan w:val="3"/>
            <w:shd w:val="clear" w:color="auto" w:fill="auto"/>
            <w:vAlign w:val="bottom"/>
          </w:tcPr>
          <w:p w14:paraId="39D976EB" w14:textId="77777777" w:rsidR="00996AD7" w:rsidRDefault="00996AD7">
            <w:pPr>
              <w:rPr>
                <w:rFonts w:ascii="宋体"/>
                <w:vanish/>
              </w:rPr>
            </w:pPr>
          </w:p>
        </w:tc>
        <w:tc>
          <w:tcPr>
            <w:tcW w:w="0" w:type="auto"/>
            <w:gridSpan w:val="3"/>
            <w:shd w:val="clear" w:color="auto" w:fill="auto"/>
            <w:vAlign w:val="bottom"/>
          </w:tcPr>
          <w:p w14:paraId="39D976EC" w14:textId="77777777" w:rsidR="00996AD7" w:rsidRDefault="00996AD7">
            <w:pPr>
              <w:rPr>
                <w:rFonts w:ascii="宋体"/>
                <w:vanish/>
              </w:rPr>
            </w:pPr>
          </w:p>
        </w:tc>
      </w:tr>
      <w:tr w:rsidR="00996AD7" w14:paraId="39D976F5" w14:textId="77777777">
        <w:tc>
          <w:tcPr>
            <w:tcW w:w="0" w:type="auto"/>
            <w:gridSpan w:val="3"/>
            <w:shd w:val="clear" w:color="auto" w:fill="auto"/>
            <w:tcMar>
              <w:top w:w="40" w:type="dxa"/>
              <w:left w:w="140" w:type="dxa"/>
              <w:bottom w:w="40" w:type="dxa"/>
              <w:right w:w="20" w:type="dxa"/>
            </w:tcMar>
          </w:tcPr>
          <w:p w14:paraId="39D976EE" w14:textId="77777777" w:rsidR="00996AD7" w:rsidRDefault="00D96458">
            <w:pPr>
              <w:textAlignment w:val="top"/>
            </w:pPr>
            <w:r>
              <w:rPr>
                <w:rFonts w:ascii="Arial" w:eastAsia="宋体" w:hAnsi="Arial" w:cs="Arial"/>
                <w:color w:val="262626"/>
                <w:sz w:val="18"/>
                <w:szCs w:val="18"/>
              </w:rPr>
              <w:t>Other investing</w:t>
            </w:r>
          </w:p>
        </w:tc>
        <w:tc>
          <w:tcPr>
            <w:tcW w:w="0" w:type="auto"/>
            <w:gridSpan w:val="3"/>
            <w:shd w:val="clear" w:color="auto" w:fill="auto"/>
            <w:tcMar>
              <w:top w:w="0" w:type="dxa"/>
              <w:left w:w="20" w:type="dxa"/>
              <w:bottom w:w="0" w:type="dxa"/>
              <w:right w:w="20" w:type="dxa"/>
            </w:tcMar>
            <w:vAlign w:val="bottom"/>
          </w:tcPr>
          <w:p w14:paraId="39D976E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F0" w14:textId="77777777" w:rsidR="00996AD7" w:rsidRDefault="00D96458">
            <w:pPr>
              <w:jc w:val="right"/>
              <w:textAlignment w:val="bottom"/>
            </w:pPr>
            <w:r>
              <w:rPr>
                <w:rFonts w:ascii="Arial" w:eastAsia="宋体" w:hAnsi="Arial" w:cs="Arial"/>
                <w:color w:val="0068B5"/>
                <w:sz w:val="18"/>
                <w:szCs w:val="18"/>
              </w:rPr>
              <w:t>620 </w:t>
            </w:r>
          </w:p>
        </w:tc>
        <w:tc>
          <w:tcPr>
            <w:tcW w:w="0" w:type="auto"/>
            <w:shd w:val="clear" w:color="auto" w:fill="auto"/>
            <w:tcMar>
              <w:top w:w="40" w:type="dxa"/>
              <w:left w:w="0" w:type="dxa"/>
              <w:bottom w:w="40" w:type="dxa"/>
              <w:right w:w="20" w:type="dxa"/>
            </w:tcMar>
            <w:vAlign w:val="bottom"/>
          </w:tcPr>
          <w:p w14:paraId="39D976F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F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6F3" w14:textId="77777777" w:rsidR="00996AD7" w:rsidRDefault="00D96458">
            <w:pPr>
              <w:jc w:val="right"/>
              <w:textAlignment w:val="bottom"/>
            </w:pPr>
            <w:r>
              <w:rPr>
                <w:rFonts w:ascii="Arial" w:eastAsia="宋体" w:hAnsi="Arial" w:cs="Arial"/>
                <w:color w:val="262626"/>
                <w:sz w:val="18"/>
                <w:szCs w:val="18"/>
              </w:rPr>
              <w:t>83 </w:t>
            </w:r>
          </w:p>
        </w:tc>
        <w:tc>
          <w:tcPr>
            <w:tcW w:w="0" w:type="auto"/>
            <w:shd w:val="clear" w:color="auto" w:fill="auto"/>
            <w:tcMar>
              <w:top w:w="40" w:type="dxa"/>
              <w:left w:w="0" w:type="dxa"/>
              <w:bottom w:w="40" w:type="dxa"/>
              <w:right w:w="20" w:type="dxa"/>
            </w:tcMar>
            <w:vAlign w:val="bottom"/>
          </w:tcPr>
          <w:p w14:paraId="39D976F4" w14:textId="77777777" w:rsidR="00996AD7" w:rsidRDefault="00996AD7">
            <w:pPr>
              <w:jc w:val="right"/>
              <w:rPr>
                <w:rFonts w:ascii="宋体"/>
              </w:rPr>
            </w:pPr>
          </w:p>
        </w:tc>
      </w:tr>
      <w:tr w:rsidR="00996AD7" w14:paraId="39D976FD" w14:textId="77777777">
        <w:tc>
          <w:tcPr>
            <w:tcW w:w="0" w:type="auto"/>
            <w:gridSpan w:val="3"/>
            <w:shd w:val="clear" w:color="auto" w:fill="auto"/>
            <w:tcMar>
              <w:top w:w="40" w:type="dxa"/>
              <w:left w:w="20" w:type="dxa"/>
              <w:bottom w:w="40" w:type="dxa"/>
              <w:right w:w="20" w:type="dxa"/>
            </w:tcMar>
          </w:tcPr>
          <w:p w14:paraId="39D976F6" w14:textId="77777777" w:rsidR="00996AD7" w:rsidRDefault="00D96458">
            <w:pPr>
              <w:textAlignment w:val="top"/>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39D976F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6F8" w14:textId="77777777" w:rsidR="00996AD7" w:rsidRDefault="00D96458">
            <w:pPr>
              <w:jc w:val="right"/>
              <w:textAlignment w:val="bottom"/>
            </w:pPr>
            <w:r>
              <w:rPr>
                <w:rFonts w:ascii="Arial" w:eastAsia="宋体" w:hAnsi="Arial" w:cs="Arial"/>
                <w:b/>
                <w:bCs/>
                <w:color w:val="0068B5"/>
                <w:sz w:val="18"/>
                <w:szCs w:val="18"/>
              </w:rPr>
              <w:t>(20,133)</w:t>
            </w:r>
          </w:p>
        </w:tc>
        <w:tc>
          <w:tcPr>
            <w:tcW w:w="0" w:type="auto"/>
            <w:tcBorders>
              <w:top w:val="single" w:sz="4" w:space="0" w:color="262626"/>
            </w:tcBorders>
            <w:shd w:val="clear" w:color="auto" w:fill="auto"/>
            <w:tcMar>
              <w:top w:w="40" w:type="dxa"/>
              <w:left w:w="0" w:type="dxa"/>
              <w:bottom w:w="40" w:type="dxa"/>
              <w:right w:w="20" w:type="dxa"/>
            </w:tcMar>
            <w:vAlign w:val="bottom"/>
          </w:tcPr>
          <w:p w14:paraId="39D976F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6FA"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6FB" w14:textId="77777777" w:rsidR="00996AD7" w:rsidRDefault="00D96458">
            <w:pPr>
              <w:jc w:val="right"/>
              <w:textAlignment w:val="bottom"/>
            </w:pPr>
            <w:r>
              <w:rPr>
                <w:rFonts w:ascii="Arial" w:eastAsia="宋体" w:hAnsi="Arial" w:cs="Arial"/>
                <w:b/>
                <w:bCs/>
                <w:color w:val="262626"/>
                <w:sz w:val="18"/>
                <w:szCs w:val="18"/>
              </w:rPr>
              <w:t>(15,112)</w:t>
            </w:r>
          </w:p>
        </w:tc>
        <w:tc>
          <w:tcPr>
            <w:tcW w:w="0" w:type="auto"/>
            <w:tcBorders>
              <w:top w:val="single" w:sz="4" w:space="0" w:color="262626"/>
            </w:tcBorders>
            <w:shd w:val="clear" w:color="auto" w:fill="auto"/>
            <w:tcMar>
              <w:top w:w="40" w:type="dxa"/>
              <w:left w:w="0" w:type="dxa"/>
              <w:bottom w:w="40" w:type="dxa"/>
              <w:right w:w="20" w:type="dxa"/>
            </w:tcMar>
            <w:vAlign w:val="bottom"/>
          </w:tcPr>
          <w:p w14:paraId="39D976FC" w14:textId="77777777" w:rsidR="00996AD7" w:rsidRDefault="00996AD7">
            <w:pPr>
              <w:jc w:val="right"/>
              <w:rPr>
                <w:rFonts w:ascii="宋体"/>
              </w:rPr>
            </w:pPr>
          </w:p>
        </w:tc>
      </w:tr>
      <w:tr w:rsidR="00996AD7" w14:paraId="39D97703" w14:textId="77777777">
        <w:tc>
          <w:tcPr>
            <w:tcW w:w="0" w:type="auto"/>
            <w:gridSpan w:val="3"/>
            <w:shd w:val="clear" w:color="auto" w:fill="auto"/>
            <w:tcMar>
              <w:top w:w="40" w:type="dxa"/>
              <w:left w:w="20" w:type="dxa"/>
              <w:bottom w:w="40" w:type="dxa"/>
              <w:right w:w="20" w:type="dxa"/>
            </w:tcMar>
          </w:tcPr>
          <w:p w14:paraId="39D976FE" w14:textId="77777777" w:rsidR="00996AD7" w:rsidRDefault="00D96458">
            <w:pPr>
              <w:textAlignment w:val="top"/>
            </w:pPr>
            <w:r>
              <w:rPr>
                <w:rFonts w:ascii="Arial" w:eastAsia="宋体" w:hAnsi="Arial" w:cs="Arial"/>
                <w:color w:val="262626"/>
                <w:sz w:val="18"/>
                <w:szCs w:val="18"/>
              </w:rPr>
              <w:t>Cash flows provided by (used for) financing activities:</w:t>
            </w:r>
          </w:p>
        </w:tc>
        <w:tc>
          <w:tcPr>
            <w:tcW w:w="0" w:type="auto"/>
            <w:gridSpan w:val="3"/>
            <w:shd w:val="clear" w:color="auto" w:fill="auto"/>
            <w:tcMar>
              <w:top w:w="0" w:type="dxa"/>
              <w:left w:w="20" w:type="dxa"/>
              <w:bottom w:w="0" w:type="dxa"/>
              <w:right w:w="20" w:type="dxa"/>
            </w:tcMar>
            <w:vAlign w:val="bottom"/>
          </w:tcPr>
          <w:p w14:paraId="39D976FF"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770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701"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7702" w14:textId="77777777" w:rsidR="00996AD7" w:rsidRDefault="00996AD7">
            <w:pPr>
              <w:rPr>
                <w:rFonts w:ascii="宋体"/>
              </w:rPr>
            </w:pPr>
          </w:p>
        </w:tc>
      </w:tr>
      <w:tr w:rsidR="00996AD7" w14:paraId="39D97709" w14:textId="77777777">
        <w:trPr>
          <w:hidden/>
        </w:trPr>
        <w:tc>
          <w:tcPr>
            <w:tcW w:w="0" w:type="auto"/>
            <w:gridSpan w:val="3"/>
            <w:shd w:val="clear" w:color="auto" w:fill="auto"/>
            <w:vAlign w:val="bottom"/>
          </w:tcPr>
          <w:p w14:paraId="39D97704" w14:textId="77777777" w:rsidR="00996AD7" w:rsidRDefault="00996AD7">
            <w:pPr>
              <w:rPr>
                <w:rFonts w:ascii="宋体"/>
                <w:vanish/>
              </w:rPr>
            </w:pPr>
          </w:p>
        </w:tc>
        <w:tc>
          <w:tcPr>
            <w:tcW w:w="0" w:type="auto"/>
            <w:gridSpan w:val="3"/>
            <w:shd w:val="clear" w:color="auto" w:fill="auto"/>
            <w:vAlign w:val="bottom"/>
          </w:tcPr>
          <w:p w14:paraId="39D97705" w14:textId="77777777" w:rsidR="00996AD7" w:rsidRDefault="00996AD7">
            <w:pPr>
              <w:rPr>
                <w:rFonts w:ascii="宋体"/>
                <w:vanish/>
              </w:rPr>
            </w:pPr>
          </w:p>
        </w:tc>
        <w:tc>
          <w:tcPr>
            <w:tcW w:w="0" w:type="auto"/>
            <w:gridSpan w:val="3"/>
            <w:shd w:val="clear" w:color="auto" w:fill="auto"/>
            <w:vAlign w:val="bottom"/>
          </w:tcPr>
          <w:p w14:paraId="39D97706" w14:textId="77777777" w:rsidR="00996AD7" w:rsidRDefault="00996AD7">
            <w:pPr>
              <w:rPr>
                <w:rFonts w:ascii="宋体"/>
                <w:vanish/>
              </w:rPr>
            </w:pPr>
          </w:p>
        </w:tc>
        <w:tc>
          <w:tcPr>
            <w:tcW w:w="0" w:type="auto"/>
            <w:gridSpan w:val="3"/>
            <w:shd w:val="clear" w:color="auto" w:fill="auto"/>
            <w:vAlign w:val="bottom"/>
          </w:tcPr>
          <w:p w14:paraId="39D97707" w14:textId="77777777" w:rsidR="00996AD7" w:rsidRDefault="00996AD7">
            <w:pPr>
              <w:rPr>
                <w:rFonts w:ascii="宋体"/>
                <w:vanish/>
              </w:rPr>
            </w:pPr>
          </w:p>
        </w:tc>
        <w:tc>
          <w:tcPr>
            <w:tcW w:w="0" w:type="auto"/>
            <w:gridSpan w:val="3"/>
            <w:shd w:val="clear" w:color="auto" w:fill="auto"/>
            <w:vAlign w:val="bottom"/>
          </w:tcPr>
          <w:p w14:paraId="39D97708" w14:textId="77777777" w:rsidR="00996AD7" w:rsidRDefault="00996AD7">
            <w:pPr>
              <w:rPr>
                <w:rFonts w:ascii="宋体"/>
                <w:vanish/>
              </w:rPr>
            </w:pPr>
          </w:p>
        </w:tc>
      </w:tr>
      <w:tr w:rsidR="00996AD7" w14:paraId="39D9770F" w14:textId="77777777">
        <w:trPr>
          <w:hidden/>
        </w:trPr>
        <w:tc>
          <w:tcPr>
            <w:tcW w:w="0" w:type="auto"/>
            <w:gridSpan w:val="3"/>
            <w:shd w:val="clear" w:color="auto" w:fill="auto"/>
            <w:vAlign w:val="bottom"/>
          </w:tcPr>
          <w:p w14:paraId="39D9770A" w14:textId="77777777" w:rsidR="00996AD7" w:rsidRDefault="00996AD7">
            <w:pPr>
              <w:rPr>
                <w:rFonts w:ascii="宋体"/>
                <w:vanish/>
              </w:rPr>
            </w:pPr>
          </w:p>
        </w:tc>
        <w:tc>
          <w:tcPr>
            <w:tcW w:w="0" w:type="auto"/>
            <w:gridSpan w:val="3"/>
            <w:shd w:val="clear" w:color="auto" w:fill="auto"/>
            <w:vAlign w:val="bottom"/>
          </w:tcPr>
          <w:p w14:paraId="39D9770B" w14:textId="77777777" w:rsidR="00996AD7" w:rsidRDefault="00996AD7">
            <w:pPr>
              <w:rPr>
                <w:rFonts w:ascii="宋体"/>
                <w:vanish/>
              </w:rPr>
            </w:pPr>
          </w:p>
        </w:tc>
        <w:tc>
          <w:tcPr>
            <w:tcW w:w="0" w:type="auto"/>
            <w:gridSpan w:val="3"/>
            <w:shd w:val="clear" w:color="auto" w:fill="auto"/>
            <w:vAlign w:val="bottom"/>
          </w:tcPr>
          <w:p w14:paraId="39D9770C" w14:textId="77777777" w:rsidR="00996AD7" w:rsidRDefault="00996AD7">
            <w:pPr>
              <w:rPr>
                <w:rFonts w:ascii="宋体"/>
                <w:vanish/>
              </w:rPr>
            </w:pPr>
          </w:p>
        </w:tc>
        <w:tc>
          <w:tcPr>
            <w:tcW w:w="0" w:type="auto"/>
            <w:gridSpan w:val="3"/>
            <w:shd w:val="clear" w:color="auto" w:fill="auto"/>
            <w:vAlign w:val="bottom"/>
          </w:tcPr>
          <w:p w14:paraId="39D9770D" w14:textId="77777777" w:rsidR="00996AD7" w:rsidRDefault="00996AD7">
            <w:pPr>
              <w:rPr>
                <w:rFonts w:ascii="宋体"/>
                <w:vanish/>
              </w:rPr>
            </w:pPr>
          </w:p>
        </w:tc>
        <w:tc>
          <w:tcPr>
            <w:tcW w:w="0" w:type="auto"/>
            <w:gridSpan w:val="3"/>
            <w:shd w:val="clear" w:color="auto" w:fill="auto"/>
            <w:vAlign w:val="bottom"/>
          </w:tcPr>
          <w:p w14:paraId="39D9770E" w14:textId="77777777" w:rsidR="00996AD7" w:rsidRDefault="00996AD7">
            <w:pPr>
              <w:rPr>
                <w:rFonts w:ascii="宋体"/>
                <w:vanish/>
              </w:rPr>
            </w:pPr>
          </w:p>
        </w:tc>
      </w:tr>
      <w:tr w:rsidR="00996AD7" w14:paraId="39D97715" w14:textId="77777777">
        <w:trPr>
          <w:hidden/>
        </w:trPr>
        <w:tc>
          <w:tcPr>
            <w:tcW w:w="0" w:type="auto"/>
            <w:gridSpan w:val="3"/>
            <w:shd w:val="clear" w:color="auto" w:fill="auto"/>
            <w:vAlign w:val="bottom"/>
          </w:tcPr>
          <w:p w14:paraId="39D97710" w14:textId="77777777" w:rsidR="00996AD7" w:rsidRDefault="00996AD7">
            <w:pPr>
              <w:rPr>
                <w:rFonts w:ascii="宋体"/>
                <w:vanish/>
              </w:rPr>
            </w:pPr>
          </w:p>
        </w:tc>
        <w:tc>
          <w:tcPr>
            <w:tcW w:w="0" w:type="auto"/>
            <w:gridSpan w:val="3"/>
            <w:shd w:val="clear" w:color="auto" w:fill="auto"/>
            <w:vAlign w:val="bottom"/>
          </w:tcPr>
          <w:p w14:paraId="39D97711" w14:textId="77777777" w:rsidR="00996AD7" w:rsidRDefault="00996AD7">
            <w:pPr>
              <w:rPr>
                <w:rFonts w:ascii="宋体"/>
                <w:vanish/>
              </w:rPr>
            </w:pPr>
          </w:p>
        </w:tc>
        <w:tc>
          <w:tcPr>
            <w:tcW w:w="0" w:type="auto"/>
            <w:gridSpan w:val="3"/>
            <w:shd w:val="clear" w:color="auto" w:fill="auto"/>
            <w:vAlign w:val="bottom"/>
          </w:tcPr>
          <w:p w14:paraId="39D97712" w14:textId="77777777" w:rsidR="00996AD7" w:rsidRDefault="00996AD7">
            <w:pPr>
              <w:rPr>
                <w:rFonts w:ascii="宋体"/>
                <w:vanish/>
              </w:rPr>
            </w:pPr>
          </w:p>
        </w:tc>
        <w:tc>
          <w:tcPr>
            <w:tcW w:w="0" w:type="auto"/>
            <w:gridSpan w:val="3"/>
            <w:shd w:val="clear" w:color="auto" w:fill="auto"/>
            <w:vAlign w:val="bottom"/>
          </w:tcPr>
          <w:p w14:paraId="39D97713" w14:textId="77777777" w:rsidR="00996AD7" w:rsidRDefault="00996AD7">
            <w:pPr>
              <w:rPr>
                <w:rFonts w:ascii="宋体"/>
                <w:vanish/>
              </w:rPr>
            </w:pPr>
          </w:p>
        </w:tc>
        <w:tc>
          <w:tcPr>
            <w:tcW w:w="0" w:type="auto"/>
            <w:gridSpan w:val="3"/>
            <w:shd w:val="clear" w:color="auto" w:fill="auto"/>
            <w:vAlign w:val="bottom"/>
          </w:tcPr>
          <w:p w14:paraId="39D97714" w14:textId="77777777" w:rsidR="00996AD7" w:rsidRDefault="00996AD7">
            <w:pPr>
              <w:rPr>
                <w:rFonts w:ascii="宋体"/>
                <w:vanish/>
              </w:rPr>
            </w:pPr>
          </w:p>
        </w:tc>
      </w:tr>
      <w:tr w:rsidR="00996AD7" w14:paraId="39D9771D" w14:textId="77777777">
        <w:tc>
          <w:tcPr>
            <w:tcW w:w="0" w:type="auto"/>
            <w:gridSpan w:val="3"/>
            <w:shd w:val="clear" w:color="auto" w:fill="auto"/>
            <w:tcMar>
              <w:top w:w="40" w:type="dxa"/>
              <w:left w:w="140" w:type="dxa"/>
              <w:bottom w:w="40" w:type="dxa"/>
              <w:right w:w="20" w:type="dxa"/>
            </w:tcMar>
          </w:tcPr>
          <w:p w14:paraId="39D97716" w14:textId="77777777" w:rsidR="00996AD7" w:rsidRDefault="00D96458">
            <w:pPr>
              <w:textAlignment w:val="top"/>
            </w:pPr>
            <w:r>
              <w:rPr>
                <w:rFonts w:ascii="Arial" w:eastAsia="宋体" w:hAnsi="Arial" w:cs="Arial"/>
                <w:color w:val="262626"/>
                <w:sz w:val="18"/>
                <w:szCs w:val="18"/>
              </w:rPr>
              <w:t xml:space="preserve">Issuance of long-term debt, </w:t>
            </w:r>
            <w:r>
              <w:rPr>
                <w:rFonts w:ascii="Arial" w:eastAsia="宋体" w:hAnsi="Arial" w:cs="Arial"/>
                <w:color w:val="262626"/>
                <w:sz w:val="18"/>
                <w:szCs w:val="18"/>
              </w:rPr>
              <w:t>net of issuance costs</w:t>
            </w:r>
          </w:p>
        </w:tc>
        <w:tc>
          <w:tcPr>
            <w:tcW w:w="0" w:type="auto"/>
            <w:gridSpan w:val="3"/>
            <w:shd w:val="clear" w:color="auto" w:fill="auto"/>
            <w:tcMar>
              <w:top w:w="0" w:type="dxa"/>
              <w:left w:w="20" w:type="dxa"/>
              <w:bottom w:w="0" w:type="dxa"/>
              <w:right w:w="20" w:type="dxa"/>
            </w:tcMar>
            <w:vAlign w:val="bottom"/>
          </w:tcPr>
          <w:p w14:paraId="39D9771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18" w14:textId="77777777" w:rsidR="00996AD7" w:rsidRDefault="00D96458">
            <w:pPr>
              <w:jc w:val="right"/>
              <w:textAlignment w:val="bottom"/>
            </w:pPr>
            <w:r>
              <w:rPr>
                <w:rFonts w:ascii="Arial" w:eastAsia="宋体" w:hAnsi="Arial" w:cs="Arial"/>
                <w:color w:val="0068B5"/>
                <w:sz w:val="18"/>
                <w:szCs w:val="18"/>
              </w:rPr>
              <w:t>4,974 </w:t>
            </w:r>
          </w:p>
        </w:tc>
        <w:tc>
          <w:tcPr>
            <w:tcW w:w="0" w:type="auto"/>
            <w:shd w:val="clear" w:color="auto" w:fill="auto"/>
            <w:tcMar>
              <w:top w:w="40" w:type="dxa"/>
              <w:left w:w="0" w:type="dxa"/>
              <w:bottom w:w="40" w:type="dxa"/>
              <w:right w:w="20" w:type="dxa"/>
            </w:tcMar>
            <w:vAlign w:val="bottom"/>
          </w:tcPr>
          <w:p w14:paraId="39D9771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71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1B" w14:textId="77777777" w:rsidR="00996AD7" w:rsidRDefault="00D96458">
            <w:pPr>
              <w:jc w:val="right"/>
              <w:textAlignment w:val="bottom"/>
            </w:pPr>
            <w:r>
              <w:rPr>
                <w:rFonts w:ascii="Arial" w:eastAsia="宋体" w:hAnsi="Arial" w:cs="Arial"/>
                <w:color w:val="262626"/>
                <w:sz w:val="18"/>
                <w:szCs w:val="18"/>
              </w:rPr>
              <w:t>10,247 </w:t>
            </w:r>
          </w:p>
        </w:tc>
        <w:tc>
          <w:tcPr>
            <w:tcW w:w="0" w:type="auto"/>
            <w:shd w:val="clear" w:color="auto" w:fill="auto"/>
            <w:tcMar>
              <w:top w:w="40" w:type="dxa"/>
              <w:left w:w="0" w:type="dxa"/>
              <w:bottom w:w="40" w:type="dxa"/>
              <w:right w:w="20" w:type="dxa"/>
            </w:tcMar>
            <w:vAlign w:val="bottom"/>
          </w:tcPr>
          <w:p w14:paraId="39D9771C" w14:textId="77777777" w:rsidR="00996AD7" w:rsidRDefault="00996AD7">
            <w:pPr>
              <w:jc w:val="right"/>
              <w:rPr>
                <w:rFonts w:ascii="宋体"/>
              </w:rPr>
            </w:pPr>
          </w:p>
        </w:tc>
      </w:tr>
      <w:tr w:rsidR="00996AD7" w14:paraId="39D97725" w14:textId="77777777">
        <w:tc>
          <w:tcPr>
            <w:tcW w:w="0" w:type="auto"/>
            <w:gridSpan w:val="3"/>
            <w:shd w:val="clear" w:color="auto" w:fill="auto"/>
            <w:tcMar>
              <w:top w:w="40" w:type="dxa"/>
              <w:left w:w="140" w:type="dxa"/>
              <w:bottom w:w="40" w:type="dxa"/>
              <w:right w:w="20" w:type="dxa"/>
            </w:tcMar>
          </w:tcPr>
          <w:p w14:paraId="39D9771E" w14:textId="77777777" w:rsidR="00996AD7" w:rsidRDefault="00D96458">
            <w:pPr>
              <w:textAlignment w:val="top"/>
            </w:pPr>
            <w:r>
              <w:rPr>
                <w:rFonts w:ascii="Arial" w:eastAsia="宋体" w:hAnsi="Arial" w:cs="Arial"/>
                <w:color w:val="262626"/>
                <w:sz w:val="18"/>
                <w:szCs w:val="18"/>
              </w:rPr>
              <w:t>Repayment of debt and debt conversion</w:t>
            </w:r>
          </w:p>
        </w:tc>
        <w:tc>
          <w:tcPr>
            <w:tcW w:w="0" w:type="auto"/>
            <w:gridSpan w:val="3"/>
            <w:shd w:val="clear" w:color="auto" w:fill="auto"/>
            <w:tcMar>
              <w:top w:w="0" w:type="dxa"/>
              <w:left w:w="20" w:type="dxa"/>
              <w:bottom w:w="0" w:type="dxa"/>
              <w:right w:w="20" w:type="dxa"/>
            </w:tcMar>
            <w:vAlign w:val="bottom"/>
          </w:tcPr>
          <w:p w14:paraId="39D9771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20" w14:textId="77777777" w:rsidR="00996AD7" w:rsidRDefault="00D96458">
            <w:pPr>
              <w:jc w:val="right"/>
              <w:textAlignment w:val="bottom"/>
            </w:pPr>
            <w:r>
              <w:rPr>
                <w:rFonts w:ascii="Arial" w:eastAsia="宋体" w:hAnsi="Arial" w:cs="Arial"/>
                <w:color w:val="0068B5"/>
                <w:sz w:val="18"/>
                <w:szCs w:val="18"/>
              </w:rPr>
              <w:t>(500)</w:t>
            </w:r>
          </w:p>
        </w:tc>
        <w:tc>
          <w:tcPr>
            <w:tcW w:w="0" w:type="auto"/>
            <w:shd w:val="clear" w:color="auto" w:fill="auto"/>
            <w:tcMar>
              <w:top w:w="40" w:type="dxa"/>
              <w:left w:w="0" w:type="dxa"/>
              <w:bottom w:w="40" w:type="dxa"/>
              <w:right w:w="20" w:type="dxa"/>
            </w:tcMar>
            <w:vAlign w:val="bottom"/>
          </w:tcPr>
          <w:p w14:paraId="39D9772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72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23" w14:textId="77777777" w:rsidR="00996AD7" w:rsidRDefault="00D96458">
            <w:pPr>
              <w:jc w:val="right"/>
              <w:textAlignment w:val="bottom"/>
            </w:pPr>
            <w:r>
              <w:rPr>
                <w:rFonts w:ascii="Arial" w:eastAsia="宋体" w:hAnsi="Arial" w:cs="Arial"/>
                <w:color w:val="262626"/>
                <w:sz w:val="18"/>
                <w:szCs w:val="18"/>
              </w:rPr>
              <w:t>(4,525)</w:t>
            </w:r>
          </w:p>
        </w:tc>
        <w:tc>
          <w:tcPr>
            <w:tcW w:w="0" w:type="auto"/>
            <w:shd w:val="clear" w:color="auto" w:fill="auto"/>
            <w:tcMar>
              <w:top w:w="40" w:type="dxa"/>
              <w:left w:w="0" w:type="dxa"/>
              <w:bottom w:w="40" w:type="dxa"/>
              <w:right w:w="20" w:type="dxa"/>
            </w:tcMar>
            <w:vAlign w:val="bottom"/>
          </w:tcPr>
          <w:p w14:paraId="39D97724" w14:textId="77777777" w:rsidR="00996AD7" w:rsidRDefault="00996AD7">
            <w:pPr>
              <w:jc w:val="right"/>
              <w:rPr>
                <w:rFonts w:ascii="宋体"/>
              </w:rPr>
            </w:pPr>
          </w:p>
        </w:tc>
      </w:tr>
      <w:tr w:rsidR="00996AD7" w14:paraId="39D9772D" w14:textId="77777777">
        <w:tc>
          <w:tcPr>
            <w:tcW w:w="0" w:type="auto"/>
            <w:gridSpan w:val="3"/>
            <w:shd w:val="clear" w:color="auto" w:fill="auto"/>
            <w:tcMar>
              <w:top w:w="40" w:type="dxa"/>
              <w:left w:w="140" w:type="dxa"/>
              <w:bottom w:w="40" w:type="dxa"/>
              <w:right w:w="20" w:type="dxa"/>
            </w:tcMar>
          </w:tcPr>
          <w:p w14:paraId="39D97726" w14:textId="77777777" w:rsidR="00996AD7" w:rsidRDefault="00D96458">
            <w:pPr>
              <w:textAlignment w:val="top"/>
            </w:pPr>
            <w:r>
              <w:rPr>
                <w:rFonts w:ascii="Arial" w:eastAsia="宋体" w:hAnsi="Arial" w:cs="Arial"/>
                <w:color w:val="262626"/>
                <w:sz w:val="18"/>
                <w:szCs w:val="18"/>
              </w:rPr>
              <w:t>Proceeds from sales of common stock through employee equity incentive plans</w:t>
            </w:r>
          </w:p>
        </w:tc>
        <w:tc>
          <w:tcPr>
            <w:tcW w:w="0" w:type="auto"/>
            <w:gridSpan w:val="3"/>
            <w:shd w:val="clear" w:color="auto" w:fill="auto"/>
            <w:tcMar>
              <w:top w:w="0" w:type="dxa"/>
              <w:left w:w="20" w:type="dxa"/>
              <w:bottom w:w="0" w:type="dxa"/>
              <w:right w:w="20" w:type="dxa"/>
            </w:tcMar>
            <w:vAlign w:val="bottom"/>
          </w:tcPr>
          <w:p w14:paraId="39D9772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28" w14:textId="77777777" w:rsidR="00996AD7" w:rsidRDefault="00D96458">
            <w:pPr>
              <w:jc w:val="right"/>
              <w:textAlignment w:val="bottom"/>
            </w:pPr>
            <w:r>
              <w:rPr>
                <w:rFonts w:ascii="Arial" w:eastAsia="宋体" w:hAnsi="Arial" w:cs="Arial"/>
                <w:color w:val="0068B5"/>
                <w:sz w:val="18"/>
                <w:szCs w:val="18"/>
              </w:rPr>
              <w:t>1,016 </w:t>
            </w:r>
          </w:p>
        </w:tc>
        <w:tc>
          <w:tcPr>
            <w:tcW w:w="0" w:type="auto"/>
            <w:shd w:val="clear" w:color="auto" w:fill="auto"/>
            <w:tcMar>
              <w:top w:w="40" w:type="dxa"/>
              <w:left w:w="0" w:type="dxa"/>
              <w:bottom w:w="40" w:type="dxa"/>
              <w:right w:w="20" w:type="dxa"/>
            </w:tcMar>
            <w:vAlign w:val="bottom"/>
          </w:tcPr>
          <w:p w14:paraId="39D9772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72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2B" w14:textId="77777777" w:rsidR="00996AD7" w:rsidRDefault="00D96458">
            <w:pPr>
              <w:jc w:val="right"/>
              <w:textAlignment w:val="bottom"/>
            </w:pPr>
            <w:r>
              <w:rPr>
                <w:rFonts w:ascii="Arial" w:eastAsia="宋体" w:hAnsi="Arial" w:cs="Arial"/>
                <w:color w:val="262626"/>
                <w:sz w:val="18"/>
                <w:szCs w:val="18"/>
              </w:rPr>
              <w:t>897 </w:t>
            </w:r>
          </w:p>
        </w:tc>
        <w:tc>
          <w:tcPr>
            <w:tcW w:w="0" w:type="auto"/>
            <w:shd w:val="clear" w:color="auto" w:fill="auto"/>
            <w:tcMar>
              <w:top w:w="40" w:type="dxa"/>
              <w:left w:w="0" w:type="dxa"/>
              <w:bottom w:w="40" w:type="dxa"/>
              <w:right w:w="20" w:type="dxa"/>
            </w:tcMar>
            <w:vAlign w:val="bottom"/>
          </w:tcPr>
          <w:p w14:paraId="39D9772C" w14:textId="77777777" w:rsidR="00996AD7" w:rsidRDefault="00996AD7">
            <w:pPr>
              <w:jc w:val="right"/>
              <w:rPr>
                <w:rFonts w:ascii="宋体"/>
              </w:rPr>
            </w:pPr>
          </w:p>
        </w:tc>
      </w:tr>
      <w:tr w:rsidR="00996AD7" w14:paraId="39D97735" w14:textId="77777777">
        <w:tc>
          <w:tcPr>
            <w:tcW w:w="0" w:type="auto"/>
            <w:gridSpan w:val="3"/>
            <w:shd w:val="clear" w:color="auto" w:fill="auto"/>
            <w:tcMar>
              <w:top w:w="40" w:type="dxa"/>
              <w:left w:w="140" w:type="dxa"/>
              <w:bottom w:w="40" w:type="dxa"/>
              <w:right w:w="20" w:type="dxa"/>
            </w:tcMar>
          </w:tcPr>
          <w:p w14:paraId="39D9772E" w14:textId="77777777" w:rsidR="00996AD7" w:rsidRDefault="00D96458">
            <w:pPr>
              <w:textAlignment w:val="top"/>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39D9772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30" w14:textId="77777777" w:rsidR="00996AD7" w:rsidRDefault="00D96458">
            <w:pPr>
              <w:jc w:val="right"/>
              <w:textAlignment w:val="bottom"/>
            </w:pPr>
            <w:r>
              <w:rPr>
                <w:rFonts w:ascii="Arial" w:eastAsia="宋体" w:hAnsi="Arial" w:cs="Arial"/>
                <w:color w:val="0068B5"/>
                <w:sz w:val="18"/>
                <w:szCs w:val="18"/>
              </w:rPr>
              <w:t>(2,415)</w:t>
            </w:r>
          </w:p>
        </w:tc>
        <w:tc>
          <w:tcPr>
            <w:tcW w:w="0" w:type="auto"/>
            <w:shd w:val="clear" w:color="auto" w:fill="auto"/>
            <w:tcMar>
              <w:top w:w="40" w:type="dxa"/>
              <w:left w:w="0" w:type="dxa"/>
              <w:bottom w:w="40" w:type="dxa"/>
              <w:right w:w="20" w:type="dxa"/>
            </w:tcMar>
            <w:vAlign w:val="bottom"/>
          </w:tcPr>
          <w:p w14:paraId="39D9773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73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33" w14:textId="77777777" w:rsidR="00996AD7" w:rsidRDefault="00D96458">
            <w:pPr>
              <w:jc w:val="right"/>
              <w:textAlignment w:val="bottom"/>
            </w:pPr>
            <w:r>
              <w:rPr>
                <w:rFonts w:ascii="Arial" w:eastAsia="宋体" w:hAnsi="Arial" w:cs="Arial"/>
                <w:color w:val="262626"/>
                <w:sz w:val="18"/>
                <w:szCs w:val="18"/>
              </w:rPr>
              <w:t>(12,229)</w:t>
            </w:r>
          </w:p>
        </w:tc>
        <w:tc>
          <w:tcPr>
            <w:tcW w:w="0" w:type="auto"/>
            <w:shd w:val="clear" w:color="auto" w:fill="auto"/>
            <w:tcMar>
              <w:top w:w="40" w:type="dxa"/>
              <w:left w:w="0" w:type="dxa"/>
              <w:bottom w:w="40" w:type="dxa"/>
              <w:right w:w="20" w:type="dxa"/>
            </w:tcMar>
            <w:vAlign w:val="bottom"/>
          </w:tcPr>
          <w:p w14:paraId="39D97734" w14:textId="77777777" w:rsidR="00996AD7" w:rsidRDefault="00996AD7">
            <w:pPr>
              <w:jc w:val="right"/>
              <w:rPr>
                <w:rFonts w:ascii="宋体"/>
              </w:rPr>
            </w:pPr>
          </w:p>
        </w:tc>
      </w:tr>
      <w:tr w:rsidR="00996AD7" w14:paraId="39D9773D" w14:textId="77777777">
        <w:tc>
          <w:tcPr>
            <w:tcW w:w="0" w:type="auto"/>
            <w:gridSpan w:val="3"/>
            <w:shd w:val="clear" w:color="auto" w:fill="auto"/>
            <w:tcMar>
              <w:top w:w="40" w:type="dxa"/>
              <w:left w:w="20" w:type="dxa"/>
              <w:bottom w:w="40" w:type="dxa"/>
              <w:right w:w="20" w:type="dxa"/>
            </w:tcMar>
          </w:tcPr>
          <w:p w14:paraId="39D97736" w14:textId="77777777" w:rsidR="00996AD7" w:rsidRDefault="00D96458">
            <w:pPr>
              <w:spacing w:after="180"/>
              <w:textAlignment w:val="top"/>
            </w:pPr>
            <w:r>
              <w:rPr>
                <w:rFonts w:ascii="Arial" w:eastAsia="宋体" w:hAnsi="Arial" w:cs="Arial"/>
                <w:color w:val="262626"/>
                <w:sz w:val="18"/>
                <w:szCs w:val="18"/>
              </w:rPr>
              <w:t>Accelerated share repurchase forward agreements</w:t>
            </w:r>
          </w:p>
        </w:tc>
        <w:tc>
          <w:tcPr>
            <w:tcW w:w="0" w:type="auto"/>
            <w:gridSpan w:val="3"/>
            <w:shd w:val="clear" w:color="auto" w:fill="auto"/>
            <w:tcMar>
              <w:top w:w="0" w:type="dxa"/>
              <w:left w:w="20" w:type="dxa"/>
              <w:bottom w:w="0" w:type="dxa"/>
              <w:right w:w="20" w:type="dxa"/>
            </w:tcMar>
            <w:vAlign w:val="bottom"/>
          </w:tcPr>
          <w:p w14:paraId="39D9773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38"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73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73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3B" w14:textId="77777777" w:rsidR="00996AD7" w:rsidRDefault="00D96458">
            <w:pPr>
              <w:jc w:val="right"/>
              <w:textAlignment w:val="bottom"/>
            </w:pPr>
            <w:r>
              <w:rPr>
                <w:rFonts w:ascii="Arial" w:eastAsia="宋体" w:hAnsi="Arial" w:cs="Arial"/>
                <w:color w:val="262626"/>
                <w:sz w:val="18"/>
                <w:szCs w:val="18"/>
              </w:rPr>
              <w:t>(2,000)</w:t>
            </w:r>
          </w:p>
        </w:tc>
        <w:tc>
          <w:tcPr>
            <w:tcW w:w="0" w:type="auto"/>
            <w:shd w:val="clear" w:color="auto" w:fill="auto"/>
            <w:tcMar>
              <w:top w:w="40" w:type="dxa"/>
              <w:left w:w="0" w:type="dxa"/>
              <w:bottom w:w="40" w:type="dxa"/>
              <w:right w:w="20" w:type="dxa"/>
            </w:tcMar>
            <w:vAlign w:val="bottom"/>
          </w:tcPr>
          <w:p w14:paraId="39D9773C" w14:textId="77777777" w:rsidR="00996AD7" w:rsidRDefault="00996AD7">
            <w:pPr>
              <w:jc w:val="right"/>
              <w:rPr>
                <w:rFonts w:ascii="宋体"/>
              </w:rPr>
            </w:pPr>
          </w:p>
        </w:tc>
      </w:tr>
      <w:tr w:rsidR="00996AD7" w14:paraId="39D97743" w14:textId="77777777">
        <w:trPr>
          <w:hidden/>
        </w:trPr>
        <w:tc>
          <w:tcPr>
            <w:tcW w:w="0" w:type="auto"/>
            <w:gridSpan w:val="3"/>
            <w:shd w:val="clear" w:color="auto" w:fill="auto"/>
            <w:vAlign w:val="bottom"/>
          </w:tcPr>
          <w:p w14:paraId="39D9773E" w14:textId="77777777" w:rsidR="00996AD7" w:rsidRDefault="00996AD7">
            <w:pPr>
              <w:rPr>
                <w:rFonts w:ascii="宋体"/>
                <w:vanish/>
              </w:rPr>
            </w:pPr>
          </w:p>
        </w:tc>
        <w:tc>
          <w:tcPr>
            <w:tcW w:w="0" w:type="auto"/>
            <w:gridSpan w:val="3"/>
            <w:shd w:val="clear" w:color="auto" w:fill="auto"/>
            <w:vAlign w:val="bottom"/>
          </w:tcPr>
          <w:p w14:paraId="39D9773F" w14:textId="77777777" w:rsidR="00996AD7" w:rsidRDefault="00996AD7">
            <w:pPr>
              <w:rPr>
                <w:rFonts w:ascii="宋体"/>
                <w:vanish/>
              </w:rPr>
            </w:pPr>
          </w:p>
        </w:tc>
        <w:tc>
          <w:tcPr>
            <w:tcW w:w="0" w:type="auto"/>
            <w:gridSpan w:val="3"/>
            <w:shd w:val="clear" w:color="auto" w:fill="auto"/>
            <w:vAlign w:val="bottom"/>
          </w:tcPr>
          <w:p w14:paraId="39D97740" w14:textId="77777777" w:rsidR="00996AD7" w:rsidRDefault="00996AD7">
            <w:pPr>
              <w:rPr>
                <w:rFonts w:ascii="宋体"/>
                <w:vanish/>
              </w:rPr>
            </w:pPr>
          </w:p>
        </w:tc>
        <w:tc>
          <w:tcPr>
            <w:tcW w:w="0" w:type="auto"/>
            <w:gridSpan w:val="3"/>
            <w:shd w:val="clear" w:color="auto" w:fill="auto"/>
            <w:vAlign w:val="bottom"/>
          </w:tcPr>
          <w:p w14:paraId="39D97741" w14:textId="77777777" w:rsidR="00996AD7" w:rsidRDefault="00996AD7">
            <w:pPr>
              <w:rPr>
                <w:rFonts w:ascii="宋体"/>
                <w:vanish/>
              </w:rPr>
            </w:pPr>
          </w:p>
        </w:tc>
        <w:tc>
          <w:tcPr>
            <w:tcW w:w="0" w:type="auto"/>
            <w:gridSpan w:val="3"/>
            <w:shd w:val="clear" w:color="auto" w:fill="auto"/>
            <w:vAlign w:val="bottom"/>
          </w:tcPr>
          <w:p w14:paraId="39D97742" w14:textId="77777777" w:rsidR="00996AD7" w:rsidRDefault="00996AD7">
            <w:pPr>
              <w:rPr>
                <w:rFonts w:ascii="宋体"/>
                <w:vanish/>
              </w:rPr>
            </w:pPr>
          </w:p>
        </w:tc>
      </w:tr>
      <w:tr w:rsidR="00996AD7" w14:paraId="39D9774B" w14:textId="77777777">
        <w:tc>
          <w:tcPr>
            <w:tcW w:w="0" w:type="auto"/>
            <w:gridSpan w:val="3"/>
            <w:shd w:val="clear" w:color="auto" w:fill="auto"/>
            <w:tcMar>
              <w:top w:w="40" w:type="dxa"/>
              <w:left w:w="140" w:type="dxa"/>
              <w:bottom w:w="40" w:type="dxa"/>
              <w:right w:w="20" w:type="dxa"/>
            </w:tcMar>
          </w:tcPr>
          <w:p w14:paraId="39D97744" w14:textId="77777777" w:rsidR="00996AD7" w:rsidRDefault="00D96458">
            <w:pPr>
              <w:textAlignment w:val="top"/>
            </w:pPr>
            <w:r>
              <w:rPr>
                <w:rFonts w:ascii="Arial" w:eastAsia="宋体" w:hAnsi="Arial" w:cs="Arial"/>
                <w:color w:val="262626"/>
                <w:sz w:val="18"/>
                <w:szCs w:val="18"/>
              </w:rPr>
              <w:t>Payment of dividends to stockholders</w:t>
            </w:r>
          </w:p>
        </w:tc>
        <w:tc>
          <w:tcPr>
            <w:tcW w:w="0" w:type="auto"/>
            <w:gridSpan w:val="3"/>
            <w:shd w:val="clear" w:color="auto" w:fill="auto"/>
            <w:tcMar>
              <w:top w:w="0" w:type="dxa"/>
              <w:left w:w="20" w:type="dxa"/>
              <w:bottom w:w="0" w:type="dxa"/>
              <w:right w:w="20" w:type="dxa"/>
            </w:tcMar>
            <w:vAlign w:val="bottom"/>
          </w:tcPr>
          <w:p w14:paraId="39D9774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46" w14:textId="77777777" w:rsidR="00996AD7" w:rsidRDefault="00D96458">
            <w:pPr>
              <w:jc w:val="right"/>
              <w:textAlignment w:val="bottom"/>
            </w:pPr>
            <w:r>
              <w:rPr>
                <w:rFonts w:ascii="Arial" w:eastAsia="宋体" w:hAnsi="Arial" w:cs="Arial"/>
                <w:color w:val="0068B5"/>
                <w:sz w:val="18"/>
                <w:szCs w:val="18"/>
              </w:rPr>
              <w:t>(4,231)</w:t>
            </w:r>
          </w:p>
        </w:tc>
        <w:tc>
          <w:tcPr>
            <w:tcW w:w="0" w:type="auto"/>
            <w:shd w:val="clear" w:color="auto" w:fill="auto"/>
            <w:tcMar>
              <w:top w:w="40" w:type="dxa"/>
              <w:left w:w="0" w:type="dxa"/>
              <w:bottom w:w="40" w:type="dxa"/>
              <w:right w:w="20" w:type="dxa"/>
            </w:tcMar>
            <w:vAlign w:val="bottom"/>
          </w:tcPr>
          <w:p w14:paraId="39D9774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74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49" w14:textId="77777777" w:rsidR="00996AD7" w:rsidRDefault="00D96458">
            <w:pPr>
              <w:jc w:val="right"/>
              <w:textAlignment w:val="bottom"/>
            </w:pPr>
            <w:r>
              <w:rPr>
                <w:rFonts w:ascii="Arial" w:eastAsia="宋体" w:hAnsi="Arial" w:cs="Arial"/>
                <w:color w:val="262626"/>
                <w:sz w:val="18"/>
                <w:szCs w:val="18"/>
              </w:rPr>
              <w:t>(4,215)</w:t>
            </w:r>
          </w:p>
        </w:tc>
        <w:tc>
          <w:tcPr>
            <w:tcW w:w="0" w:type="auto"/>
            <w:shd w:val="clear" w:color="auto" w:fill="auto"/>
            <w:tcMar>
              <w:top w:w="40" w:type="dxa"/>
              <w:left w:w="0" w:type="dxa"/>
              <w:bottom w:w="40" w:type="dxa"/>
              <w:right w:w="20" w:type="dxa"/>
            </w:tcMar>
            <w:vAlign w:val="bottom"/>
          </w:tcPr>
          <w:p w14:paraId="39D9774A" w14:textId="77777777" w:rsidR="00996AD7" w:rsidRDefault="00996AD7">
            <w:pPr>
              <w:jc w:val="right"/>
              <w:rPr>
                <w:rFonts w:ascii="宋体"/>
              </w:rPr>
            </w:pPr>
          </w:p>
        </w:tc>
      </w:tr>
      <w:tr w:rsidR="00996AD7" w14:paraId="39D97751" w14:textId="77777777">
        <w:trPr>
          <w:hidden/>
        </w:trPr>
        <w:tc>
          <w:tcPr>
            <w:tcW w:w="0" w:type="auto"/>
            <w:gridSpan w:val="3"/>
            <w:shd w:val="clear" w:color="auto" w:fill="auto"/>
            <w:vAlign w:val="bottom"/>
          </w:tcPr>
          <w:p w14:paraId="39D9774C" w14:textId="77777777" w:rsidR="00996AD7" w:rsidRDefault="00996AD7">
            <w:pPr>
              <w:rPr>
                <w:rFonts w:ascii="宋体"/>
                <w:vanish/>
              </w:rPr>
            </w:pPr>
          </w:p>
        </w:tc>
        <w:tc>
          <w:tcPr>
            <w:tcW w:w="0" w:type="auto"/>
            <w:gridSpan w:val="3"/>
            <w:shd w:val="clear" w:color="auto" w:fill="auto"/>
            <w:vAlign w:val="bottom"/>
          </w:tcPr>
          <w:p w14:paraId="39D9774D" w14:textId="77777777" w:rsidR="00996AD7" w:rsidRDefault="00996AD7">
            <w:pPr>
              <w:rPr>
                <w:rFonts w:ascii="宋体"/>
                <w:vanish/>
              </w:rPr>
            </w:pPr>
          </w:p>
        </w:tc>
        <w:tc>
          <w:tcPr>
            <w:tcW w:w="0" w:type="auto"/>
            <w:gridSpan w:val="3"/>
            <w:shd w:val="clear" w:color="auto" w:fill="auto"/>
            <w:vAlign w:val="bottom"/>
          </w:tcPr>
          <w:p w14:paraId="39D9774E" w14:textId="77777777" w:rsidR="00996AD7" w:rsidRDefault="00996AD7">
            <w:pPr>
              <w:rPr>
                <w:rFonts w:ascii="宋体"/>
                <w:vanish/>
              </w:rPr>
            </w:pPr>
          </w:p>
        </w:tc>
        <w:tc>
          <w:tcPr>
            <w:tcW w:w="0" w:type="auto"/>
            <w:gridSpan w:val="3"/>
            <w:shd w:val="clear" w:color="auto" w:fill="auto"/>
            <w:vAlign w:val="bottom"/>
          </w:tcPr>
          <w:p w14:paraId="39D9774F" w14:textId="77777777" w:rsidR="00996AD7" w:rsidRDefault="00996AD7">
            <w:pPr>
              <w:rPr>
                <w:rFonts w:ascii="宋体"/>
                <w:vanish/>
              </w:rPr>
            </w:pPr>
          </w:p>
        </w:tc>
        <w:tc>
          <w:tcPr>
            <w:tcW w:w="0" w:type="auto"/>
            <w:gridSpan w:val="3"/>
            <w:shd w:val="clear" w:color="auto" w:fill="auto"/>
            <w:vAlign w:val="bottom"/>
          </w:tcPr>
          <w:p w14:paraId="39D97750" w14:textId="77777777" w:rsidR="00996AD7" w:rsidRDefault="00996AD7">
            <w:pPr>
              <w:rPr>
                <w:rFonts w:ascii="宋体"/>
                <w:vanish/>
              </w:rPr>
            </w:pPr>
          </w:p>
        </w:tc>
      </w:tr>
      <w:tr w:rsidR="00996AD7" w14:paraId="39D97757" w14:textId="77777777">
        <w:trPr>
          <w:hidden/>
        </w:trPr>
        <w:tc>
          <w:tcPr>
            <w:tcW w:w="0" w:type="auto"/>
            <w:gridSpan w:val="3"/>
            <w:shd w:val="clear" w:color="auto" w:fill="auto"/>
            <w:vAlign w:val="bottom"/>
          </w:tcPr>
          <w:p w14:paraId="39D97752" w14:textId="77777777" w:rsidR="00996AD7" w:rsidRDefault="00996AD7">
            <w:pPr>
              <w:rPr>
                <w:rFonts w:ascii="宋体"/>
                <w:vanish/>
              </w:rPr>
            </w:pPr>
          </w:p>
        </w:tc>
        <w:tc>
          <w:tcPr>
            <w:tcW w:w="0" w:type="auto"/>
            <w:gridSpan w:val="3"/>
            <w:shd w:val="clear" w:color="auto" w:fill="auto"/>
            <w:vAlign w:val="bottom"/>
          </w:tcPr>
          <w:p w14:paraId="39D97753" w14:textId="77777777" w:rsidR="00996AD7" w:rsidRDefault="00996AD7">
            <w:pPr>
              <w:rPr>
                <w:rFonts w:ascii="宋体"/>
                <w:vanish/>
              </w:rPr>
            </w:pPr>
          </w:p>
        </w:tc>
        <w:tc>
          <w:tcPr>
            <w:tcW w:w="0" w:type="auto"/>
            <w:gridSpan w:val="3"/>
            <w:shd w:val="clear" w:color="auto" w:fill="auto"/>
            <w:vAlign w:val="bottom"/>
          </w:tcPr>
          <w:p w14:paraId="39D97754" w14:textId="77777777" w:rsidR="00996AD7" w:rsidRDefault="00996AD7">
            <w:pPr>
              <w:rPr>
                <w:rFonts w:ascii="宋体"/>
                <w:vanish/>
              </w:rPr>
            </w:pPr>
          </w:p>
        </w:tc>
        <w:tc>
          <w:tcPr>
            <w:tcW w:w="0" w:type="auto"/>
            <w:gridSpan w:val="3"/>
            <w:shd w:val="clear" w:color="auto" w:fill="auto"/>
            <w:vAlign w:val="bottom"/>
          </w:tcPr>
          <w:p w14:paraId="39D97755" w14:textId="77777777" w:rsidR="00996AD7" w:rsidRDefault="00996AD7">
            <w:pPr>
              <w:rPr>
                <w:rFonts w:ascii="宋体"/>
                <w:vanish/>
              </w:rPr>
            </w:pPr>
          </w:p>
        </w:tc>
        <w:tc>
          <w:tcPr>
            <w:tcW w:w="0" w:type="auto"/>
            <w:gridSpan w:val="3"/>
            <w:shd w:val="clear" w:color="auto" w:fill="auto"/>
            <w:vAlign w:val="bottom"/>
          </w:tcPr>
          <w:p w14:paraId="39D97756" w14:textId="77777777" w:rsidR="00996AD7" w:rsidRDefault="00996AD7">
            <w:pPr>
              <w:rPr>
                <w:rFonts w:ascii="宋体"/>
                <w:vanish/>
              </w:rPr>
            </w:pPr>
          </w:p>
        </w:tc>
      </w:tr>
      <w:tr w:rsidR="00996AD7" w14:paraId="39D9775D" w14:textId="77777777">
        <w:trPr>
          <w:hidden/>
        </w:trPr>
        <w:tc>
          <w:tcPr>
            <w:tcW w:w="0" w:type="auto"/>
            <w:gridSpan w:val="3"/>
            <w:shd w:val="clear" w:color="auto" w:fill="auto"/>
            <w:vAlign w:val="bottom"/>
          </w:tcPr>
          <w:p w14:paraId="39D97758" w14:textId="77777777" w:rsidR="00996AD7" w:rsidRDefault="00996AD7">
            <w:pPr>
              <w:rPr>
                <w:rFonts w:ascii="宋体"/>
                <w:vanish/>
              </w:rPr>
            </w:pPr>
          </w:p>
        </w:tc>
        <w:tc>
          <w:tcPr>
            <w:tcW w:w="0" w:type="auto"/>
            <w:gridSpan w:val="3"/>
            <w:shd w:val="clear" w:color="auto" w:fill="auto"/>
            <w:vAlign w:val="bottom"/>
          </w:tcPr>
          <w:p w14:paraId="39D97759" w14:textId="77777777" w:rsidR="00996AD7" w:rsidRDefault="00996AD7">
            <w:pPr>
              <w:rPr>
                <w:rFonts w:ascii="宋体"/>
                <w:vanish/>
              </w:rPr>
            </w:pPr>
          </w:p>
        </w:tc>
        <w:tc>
          <w:tcPr>
            <w:tcW w:w="0" w:type="auto"/>
            <w:gridSpan w:val="3"/>
            <w:shd w:val="clear" w:color="auto" w:fill="auto"/>
            <w:vAlign w:val="bottom"/>
          </w:tcPr>
          <w:p w14:paraId="39D9775A" w14:textId="77777777" w:rsidR="00996AD7" w:rsidRDefault="00996AD7">
            <w:pPr>
              <w:rPr>
                <w:rFonts w:ascii="宋体"/>
                <w:vanish/>
              </w:rPr>
            </w:pPr>
          </w:p>
        </w:tc>
        <w:tc>
          <w:tcPr>
            <w:tcW w:w="0" w:type="auto"/>
            <w:gridSpan w:val="3"/>
            <w:shd w:val="clear" w:color="auto" w:fill="auto"/>
            <w:vAlign w:val="bottom"/>
          </w:tcPr>
          <w:p w14:paraId="39D9775B" w14:textId="77777777" w:rsidR="00996AD7" w:rsidRDefault="00996AD7">
            <w:pPr>
              <w:rPr>
                <w:rFonts w:ascii="宋体"/>
                <w:vanish/>
              </w:rPr>
            </w:pPr>
          </w:p>
        </w:tc>
        <w:tc>
          <w:tcPr>
            <w:tcW w:w="0" w:type="auto"/>
            <w:gridSpan w:val="3"/>
            <w:shd w:val="clear" w:color="auto" w:fill="auto"/>
            <w:vAlign w:val="bottom"/>
          </w:tcPr>
          <w:p w14:paraId="39D9775C" w14:textId="77777777" w:rsidR="00996AD7" w:rsidRDefault="00996AD7">
            <w:pPr>
              <w:rPr>
                <w:rFonts w:ascii="宋体"/>
                <w:vanish/>
              </w:rPr>
            </w:pPr>
          </w:p>
        </w:tc>
      </w:tr>
      <w:tr w:rsidR="00996AD7" w14:paraId="39D97765" w14:textId="77777777">
        <w:tc>
          <w:tcPr>
            <w:tcW w:w="0" w:type="auto"/>
            <w:gridSpan w:val="3"/>
            <w:shd w:val="clear" w:color="auto" w:fill="auto"/>
            <w:tcMar>
              <w:top w:w="40" w:type="dxa"/>
              <w:left w:w="140" w:type="dxa"/>
              <w:bottom w:w="40" w:type="dxa"/>
              <w:right w:w="20" w:type="dxa"/>
            </w:tcMar>
          </w:tcPr>
          <w:p w14:paraId="39D9775E" w14:textId="77777777" w:rsidR="00996AD7" w:rsidRDefault="00D96458">
            <w:pPr>
              <w:textAlignment w:val="top"/>
            </w:pPr>
            <w:r>
              <w:rPr>
                <w:rFonts w:ascii="Arial" w:eastAsia="宋体" w:hAnsi="Arial" w:cs="Arial"/>
                <w:color w:val="262626"/>
                <w:sz w:val="18"/>
                <w:szCs w:val="18"/>
              </w:rPr>
              <w:t>Other financing</w:t>
            </w:r>
          </w:p>
        </w:tc>
        <w:tc>
          <w:tcPr>
            <w:tcW w:w="0" w:type="auto"/>
            <w:gridSpan w:val="3"/>
            <w:shd w:val="clear" w:color="auto" w:fill="auto"/>
            <w:tcMar>
              <w:top w:w="0" w:type="dxa"/>
              <w:left w:w="20" w:type="dxa"/>
              <w:bottom w:w="0" w:type="dxa"/>
              <w:right w:w="20" w:type="dxa"/>
            </w:tcMar>
            <w:vAlign w:val="bottom"/>
          </w:tcPr>
          <w:p w14:paraId="39D9775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60" w14:textId="77777777" w:rsidR="00996AD7" w:rsidRDefault="00D96458">
            <w:pPr>
              <w:jc w:val="right"/>
              <w:textAlignment w:val="bottom"/>
            </w:pPr>
            <w:r>
              <w:rPr>
                <w:rFonts w:ascii="Arial" w:eastAsia="宋体" w:hAnsi="Arial" w:cs="Arial"/>
                <w:color w:val="0068B5"/>
                <w:sz w:val="18"/>
                <w:szCs w:val="18"/>
              </w:rPr>
              <w:t>(900)</w:t>
            </w:r>
          </w:p>
        </w:tc>
        <w:tc>
          <w:tcPr>
            <w:tcW w:w="0" w:type="auto"/>
            <w:shd w:val="clear" w:color="auto" w:fill="auto"/>
            <w:tcMar>
              <w:top w:w="40" w:type="dxa"/>
              <w:left w:w="0" w:type="dxa"/>
              <w:bottom w:w="40" w:type="dxa"/>
              <w:right w:w="20" w:type="dxa"/>
            </w:tcMar>
            <w:vAlign w:val="bottom"/>
          </w:tcPr>
          <w:p w14:paraId="39D9776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76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63" w14:textId="77777777" w:rsidR="00996AD7" w:rsidRDefault="00D96458">
            <w:pPr>
              <w:jc w:val="right"/>
              <w:textAlignment w:val="bottom"/>
            </w:pPr>
            <w:r>
              <w:rPr>
                <w:rFonts w:ascii="Arial" w:eastAsia="宋体" w:hAnsi="Arial" w:cs="Arial"/>
                <w:color w:val="262626"/>
                <w:sz w:val="18"/>
                <w:szCs w:val="18"/>
              </w:rPr>
              <w:t>605 </w:t>
            </w:r>
          </w:p>
        </w:tc>
        <w:tc>
          <w:tcPr>
            <w:tcW w:w="0" w:type="auto"/>
            <w:shd w:val="clear" w:color="auto" w:fill="auto"/>
            <w:tcMar>
              <w:top w:w="40" w:type="dxa"/>
              <w:left w:w="0" w:type="dxa"/>
              <w:bottom w:w="40" w:type="dxa"/>
              <w:right w:w="20" w:type="dxa"/>
            </w:tcMar>
            <w:vAlign w:val="bottom"/>
          </w:tcPr>
          <w:p w14:paraId="39D97764" w14:textId="77777777" w:rsidR="00996AD7" w:rsidRDefault="00996AD7">
            <w:pPr>
              <w:jc w:val="right"/>
              <w:rPr>
                <w:rFonts w:ascii="宋体"/>
              </w:rPr>
            </w:pPr>
          </w:p>
        </w:tc>
      </w:tr>
      <w:tr w:rsidR="00996AD7" w14:paraId="39D9776D" w14:textId="77777777">
        <w:tc>
          <w:tcPr>
            <w:tcW w:w="0" w:type="auto"/>
            <w:gridSpan w:val="3"/>
            <w:shd w:val="clear" w:color="auto" w:fill="auto"/>
            <w:tcMar>
              <w:top w:w="40" w:type="dxa"/>
              <w:left w:w="20" w:type="dxa"/>
              <w:bottom w:w="40" w:type="dxa"/>
              <w:right w:w="20" w:type="dxa"/>
            </w:tcMar>
          </w:tcPr>
          <w:p w14:paraId="39D97766" w14:textId="77777777" w:rsidR="00996AD7" w:rsidRDefault="00D96458">
            <w:pPr>
              <w:textAlignment w:val="top"/>
            </w:pPr>
            <w:r>
              <w:rPr>
                <w:rFonts w:ascii="Arial" w:eastAsia="宋体" w:hAnsi="Arial" w:cs="Arial"/>
                <w:b/>
                <w:bCs/>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vAlign w:val="bottom"/>
          </w:tcPr>
          <w:p w14:paraId="39D9776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768" w14:textId="77777777" w:rsidR="00996AD7" w:rsidRDefault="00D96458">
            <w:pPr>
              <w:jc w:val="right"/>
              <w:textAlignment w:val="bottom"/>
            </w:pPr>
            <w:r>
              <w:rPr>
                <w:rFonts w:ascii="Arial" w:eastAsia="宋体" w:hAnsi="Arial" w:cs="Arial"/>
                <w:b/>
                <w:bCs/>
                <w:color w:val="0068B5"/>
                <w:sz w:val="18"/>
                <w:szCs w:val="18"/>
              </w:rPr>
              <w:t>(2,056)</w:t>
            </w:r>
          </w:p>
        </w:tc>
        <w:tc>
          <w:tcPr>
            <w:tcW w:w="0" w:type="auto"/>
            <w:tcBorders>
              <w:top w:val="single" w:sz="4" w:space="0" w:color="262626"/>
            </w:tcBorders>
            <w:shd w:val="clear" w:color="auto" w:fill="auto"/>
            <w:tcMar>
              <w:top w:w="40" w:type="dxa"/>
              <w:left w:w="0" w:type="dxa"/>
              <w:bottom w:w="40" w:type="dxa"/>
              <w:right w:w="20" w:type="dxa"/>
            </w:tcMar>
            <w:vAlign w:val="bottom"/>
          </w:tcPr>
          <w:p w14:paraId="39D9776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76A"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76B" w14:textId="77777777" w:rsidR="00996AD7" w:rsidRDefault="00D96458">
            <w:pPr>
              <w:jc w:val="right"/>
              <w:textAlignment w:val="bottom"/>
            </w:pPr>
            <w:r>
              <w:rPr>
                <w:rFonts w:ascii="Arial" w:eastAsia="宋体" w:hAnsi="Arial" w:cs="Arial"/>
                <w:b/>
                <w:bCs/>
                <w:color w:val="262626"/>
                <w:sz w:val="18"/>
                <w:szCs w:val="18"/>
              </w:rPr>
              <w:t>(11,220)</w:t>
            </w:r>
          </w:p>
        </w:tc>
        <w:tc>
          <w:tcPr>
            <w:tcW w:w="0" w:type="auto"/>
            <w:tcBorders>
              <w:top w:val="single" w:sz="4" w:space="0" w:color="262626"/>
            </w:tcBorders>
            <w:shd w:val="clear" w:color="auto" w:fill="auto"/>
            <w:tcMar>
              <w:top w:w="40" w:type="dxa"/>
              <w:left w:w="0" w:type="dxa"/>
              <w:bottom w:w="40" w:type="dxa"/>
              <w:right w:w="20" w:type="dxa"/>
            </w:tcMar>
            <w:vAlign w:val="bottom"/>
          </w:tcPr>
          <w:p w14:paraId="39D9776C" w14:textId="77777777" w:rsidR="00996AD7" w:rsidRDefault="00996AD7">
            <w:pPr>
              <w:jc w:val="right"/>
              <w:rPr>
                <w:rFonts w:ascii="宋体"/>
              </w:rPr>
            </w:pPr>
          </w:p>
        </w:tc>
      </w:tr>
      <w:tr w:rsidR="00996AD7" w14:paraId="39D97773" w14:textId="77777777">
        <w:trPr>
          <w:hidden/>
        </w:trPr>
        <w:tc>
          <w:tcPr>
            <w:tcW w:w="0" w:type="auto"/>
            <w:gridSpan w:val="3"/>
            <w:shd w:val="clear" w:color="auto" w:fill="auto"/>
            <w:vAlign w:val="bottom"/>
          </w:tcPr>
          <w:p w14:paraId="39D9776E" w14:textId="77777777" w:rsidR="00996AD7" w:rsidRDefault="00996AD7">
            <w:pPr>
              <w:rPr>
                <w:rFonts w:ascii="宋体"/>
                <w:vanish/>
              </w:rPr>
            </w:pPr>
          </w:p>
        </w:tc>
        <w:tc>
          <w:tcPr>
            <w:tcW w:w="0" w:type="auto"/>
            <w:gridSpan w:val="3"/>
            <w:shd w:val="clear" w:color="auto" w:fill="auto"/>
            <w:vAlign w:val="bottom"/>
          </w:tcPr>
          <w:p w14:paraId="39D9776F" w14:textId="77777777" w:rsidR="00996AD7" w:rsidRDefault="00996AD7">
            <w:pPr>
              <w:rPr>
                <w:rFonts w:ascii="宋体"/>
                <w:vanish/>
              </w:rPr>
            </w:pPr>
          </w:p>
        </w:tc>
        <w:tc>
          <w:tcPr>
            <w:tcW w:w="0" w:type="auto"/>
            <w:gridSpan w:val="3"/>
            <w:shd w:val="clear" w:color="auto" w:fill="auto"/>
            <w:vAlign w:val="bottom"/>
          </w:tcPr>
          <w:p w14:paraId="39D97770" w14:textId="77777777" w:rsidR="00996AD7" w:rsidRDefault="00996AD7">
            <w:pPr>
              <w:rPr>
                <w:rFonts w:ascii="宋体"/>
                <w:vanish/>
              </w:rPr>
            </w:pPr>
          </w:p>
        </w:tc>
        <w:tc>
          <w:tcPr>
            <w:tcW w:w="0" w:type="auto"/>
            <w:gridSpan w:val="3"/>
            <w:shd w:val="clear" w:color="auto" w:fill="auto"/>
            <w:vAlign w:val="bottom"/>
          </w:tcPr>
          <w:p w14:paraId="39D97771" w14:textId="77777777" w:rsidR="00996AD7" w:rsidRDefault="00996AD7">
            <w:pPr>
              <w:rPr>
                <w:rFonts w:ascii="宋体"/>
                <w:vanish/>
              </w:rPr>
            </w:pPr>
          </w:p>
        </w:tc>
        <w:tc>
          <w:tcPr>
            <w:tcW w:w="0" w:type="auto"/>
            <w:gridSpan w:val="3"/>
            <w:shd w:val="clear" w:color="auto" w:fill="auto"/>
            <w:vAlign w:val="bottom"/>
          </w:tcPr>
          <w:p w14:paraId="39D97772" w14:textId="77777777" w:rsidR="00996AD7" w:rsidRDefault="00996AD7">
            <w:pPr>
              <w:rPr>
                <w:rFonts w:ascii="宋体"/>
                <w:vanish/>
              </w:rPr>
            </w:pPr>
          </w:p>
        </w:tc>
      </w:tr>
      <w:tr w:rsidR="00996AD7" w14:paraId="39D9777B" w14:textId="77777777">
        <w:tc>
          <w:tcPr>
            <w:tcW w:w="0" w:type="auto"/>
            <w:gridSpan w:val="3"/>
            <w:shd w:val="clear" w:color="auto" w:fill="auto"/>
            <w:tcMar>
              <w:top w:w="40" w:type="dxa"/>
              <w:left w:w="20" w:type="dxa"/>
              <w:bottom w:w="40" w:type="dxa"/>
              <w:right w:w="20" w:type="dxa"/>
            </w:tcMar>
          </w:tcPr>
          <w:p w14:paraId="39D97774" w14:textId="77777777" w:rsidR="00996AD7" w:rsidRDefault="00D96458">
            <w:pPr>
              <w:textAlignment w:val="top"/>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vAlign w:val="bottom"/>
          </w:tcPr>
          <w:p w14:paraId="39D9777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76" w14:textId="77777777" w:rsidR="00996AD7" w:rsidRDefault="00D96458">
            <w:pPr>
              <w:jc w:val="right"/>
              <w:textAlignment w:val="bottom"/>
            </w:pPr>
            <w:r>
              <w:rPr>
                <w:rFonts w:ascii="Arial" w:eastAsia="宋体" w:hAnsi="Arial" w:cs="Arial"/>
                <w:b/>
                <w:bCs/>
                <w:color w:val="0068B5"/>
                <w:sz w:val="18"/>
                <w:szCs w:val="18"/>
              </w:rPr>
              <w:t>2,005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77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77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779" w14:textId="77777777" w:rsidR="00996AD7" w:rsidRDefault="00D96458">
            <w:pPr>
              <w:jc w:val="right"/>
              <w:textAlignment w:val="bottom"/>
            </w:pPr>
            <w:r>
              <w:rPr>
                <w:rFonts w:ascii="Arial" w:eastAsia="宋体" w:hAnsi="Arial" w:cs="Arial"/>
                <w:b/>
                <w:bCs/>
                <w:color w:val="262626"/>
                <w:sz w:val="18"/>
                <w:szCs w:val="18"/>
              </w:rPr>
              <w:t>(838)</w:t>
            </w:r>
          </w:p>
        </w:tc>
        <w:tc>
          <w:tcPr>
            <w:tcW w:w="0" w:type="auto"/>
            <w:shd w:val="clear" w:color="auto" w:fill="auto"/>
            <w:tcMar>
              <w:top w:w="40" w:type="dxa"/>
              <w:left w:w="0" w:type="dxa"/>
              <w:bottom w:w="40" w:type="dxa"/>
              <w:right w:w="20" w:type="dxa"/>
            </w:tcMar>
            <w:vAlign w:val="bottom"/>
          </w:tcPr>
          <w:p w14:paraId="39D9777A" w14:textId="77777777" w:rsidR="00996AD7" w:rsidRDefault="00996AD7">
            <w:pPr>
              <w:jc w:val="right"/>
              <w:rPr>
                <w:rFonts w:ascii="宋体"/>
              </w:rPr>
            </w:pPr>
          </w:p>
        </w:tc>
      </w:tr>
      <w:tr w:rsidR="00996AD7" w14:paraId="39D97785" w14:textId="77777777">
        <w:tc>
          <w:tcPr>
            <w:tcW w:w="0" w:type="auto"/>
            <w:gridSpan w:val="3"/>
            <w:shd w:val="clear" w:color="auto" w:fill="auto"/>
            <w:tcMar>
              <w:top w:w="40" w:type="dxa"/>
              <w:left w:w="20" w:type="dxa"/>
              <w:bottom w:w="40" w:type="dxa"/>
              <w:right w:w="20" w:type="dxa"/>
            </w:tcMar>
          </w:tcPr>
          <w:p w14:paraId="39D9777C" w14:textId="77777777" w:rsidR="00996AD7" w:rsidRDefault="00D96458">
            <w:pPr>
              <w:textAlignment w:val="top"/>
            </w:pPr>
            <w:r>
              <w:rPr>
                <w:rFonts w:ascii="Arial" w:eastAsia="宋体" w:hAnsi="Arial" w:cs="Arial"/>
                <w:b/>
                <w:bCs/>
                <w:color w:val="262626"/>
                <w:sz w:val="18"/>
                <w:szCs w:val="18"/>
              </w:rPr>
              <w:t>Cash and cash equivalents, end of period</w:t>
            </w:r>
          </w:p>
        </w:tc>
        <w:tc>
          <w:tcPr>
            <w:tcW w:w="0" w:type="auto"/>
            <w:gridSpan w:val="3"/>
            <w:shd w:val="clear" w:color="auto" w:fill="auto"/>
            <w:tcMar>
              <w:top w:w="0" w:type="dxa"/>
              <w:left w:w="20" w:type="dxa"/>
              <w:bottom w:w="0" w:type="dxa"/>
              <w:right w:w="20" w:type="dxa"/>
            </w:tcMar>
            <w:vAlign w:val="bottom"/>
          </w:tcPr>
          <w:p w14:paraId="39D9777D"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77E"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77F" w14:textId="77777777" w:rsidR="00996AD7" w:rsidRDefault="00D96458">
            <w:pPr>
              <w:jc w:val="right"/>
              <w:textAlignment w:val="bottom"/>
            </w:pPr>
            <w:r>
              <w:rPr>
                <w:rFonts w:ascii="Arial" w:eastAsia="宋体" w:hAnsi="Arial" w:cs="Arial"/>
                <w:b/>
                <w:bCs/>
                <w:color w:val="0068B5"/>
                <w:sz w:val="18"/>
                <w:szCs w:val="18"/>
              </w:rPr>
              <w:t>7,870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78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781"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782"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783" w14:textId="77777777" w:rsidR="00996AD7" w:rsidRDefault="00D96458">
            <w:pPr>
              <w:jc w:val="right"/>
              <w:textAlignment w:val="bottom"/>
            </w:pPr>
            <w:r>
              <w:rPr>
                <w:rFonts w:ascii="Arial" w:eastAsia="宋体" w:hAnsi="Arial" w:cs="Arial"/>
                <w:b/>
                <w:bCs/>
                <w:color w:val="262626"/>
                <w:sz w:val="18"/>
                <w:szCs w:val="18"/>
              </w:rPr>
              <w:t>3,356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784" w14:textId="77777777" w:rsidR="00996AD7" w:rsidRDefault="00996AD7">
            <w:pPr>
              <w:jc w:val="right"/>
              <w:rPr>
                <w:rFonts w:ascii="宋体"/>
              </w:rPr>
            </w:pPr>
          </w:p>
        </w:tc>
      </w:tr>
      <w:tr w:rsidR="00996AD7" w14:paraId="39D9778B" w14:textId="77777777">
        <w:trPr>
          <w:trHeight w:val="100"/>
        </w:trPr>
        <w:tc>
          <w:tcPr>
            <w:tcW w:w="0" w:type="auto"/>
            <w:gridSpan w:val="3"/>
            <w:shd w:val="clear" w:color="auto" w:fill="auto"/>
            <w:tcMar>
              <w:top w:w="0" w:type="dxa"/>
              <w:left w:w="20" w:type="dxa"/>
              <w:bottom w:w="0" w:type="dxa"/>
              <w:right w:w="20" w:type="dxa"/>
            </w:tcMar>
            <w:vAlign w:val="bottom"/>
          </w:tcPr>
          <w:p w14:paraId="39D9778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787"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78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789"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78A" w14:textId="77777777" w:rsidR="00996AD7" w:rsidRDefault="00996AD7">
            <w:pPr>
              <w:rPr>
                <w:rFonts w:ascii="宋体"/>
              </w:rPr>
            </w:pPr>
          </w:p>
        </w:tc>
      </w:tr>
      <w:tr w:rsidR="00996AD7" w14:paraId="39D97791" w14:textId="77777777">
        <w:tc>
          <w:tcPr>
            <w:tcW w:w="0" w:type="auto"/>
            <w:gridSpan w:val="3"/>
            <w:shd w:val="clear" w:color="auto" w:fill="auto"/>
            <w:tcMar>
              <w:top w:w="40" w:type="dxa"/>
              <w:left w:w="20" w:type="dxa"/>
              <w:bottom w:w="40" w:type="dxa"/>
              <w:right w:w="20" w:type="dxa"/>
            </w:tcMar>
          </w:tcPr>
          <w:p w14:paraId="39D9778C" w14:textId="77777777" w:rsidR="00996AD7" w:rsidRDefault="00D96458">
            <w:pPr>
              <w:textAlignment w:val="top"/>
            </w:pPr>
            <w:r>
              <w:rPr>
                <w:rFonts w:ascii="Arial" w:eastAsia="宋体" w:hAnsi="Arial" w:cs="Arial"/>
                <w:color w:val="262626"/>
                <w:sz w:val="18"/>
                <w:szCs w:val="18"/>
              </w:rPr>
              <w:t>Supplemental disclosures of noncash investing activities and cash flow information:</w:t>
            </w:r>
          </w:p>
        </w:tc>
        <w:tc>
          <w:tcPr>
            <w:tcW w:w="0" w:type="auto"/>
            <w:gridSpan w:val="3"/>
            <w:shd w:val="clear" w:color="auto" w:fill="auto"/>
            <w:tcMar>
              <w:top w:w="0" w:type="dxa"/>
              <w:left w:w="20" w:type="dxa"/>
              <w:bottom w:w="0" w:type="dxa"/>
              <w:right w:w="20" w:type="dxa"/>
            </w:tcMar>
            <w:vAlign w:val="bottom"/>
          </w:tcPr>
          <w:p w14:paraId="39D9778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78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78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790" w14:textId="77777777" w:rsidR="00996AD7" w:rsidRDefault="00996AD7">
            <w:pPr>
              <w:rPr>
                <w:rFonts w:ascii="宋体"/>
              </w:rPr>
            </w:pPr>
          </w:p>
        </w:tc>
      </w:tr>
      <w:tr w:rsidR="00996AD7" w14:paraId="39D9779B" w14:textId="77777777">
        <w:tc>
          <w:tcPr>
            <w:tcW w:w="0" w:type="auto"/>
            <w:gridSpan w:val="3"/>
            <w:shd w:val="clear" w:color="auto" w:fill="auto"/>
            <w:tcMar>
              <w:top w:w="40" w:type="dxa"/>
              <w:left w:w="140" w:type="dxa"/>
              <w:bottom w:w="40" w:type="dxa"/>
              <w:right w:w="20" w:type="dxa"/>
            </w:tcMar>
          </w:tcPr>
          <w:p w14:paraId="39D97792" w14:textId="77777777" w:rsidR="00996AD7" w:rsidRDefault="00D96458">
            <w:pPr>
              <w:textAlignment w:val="top"/>
            </w:pPr>
            <w:r>
              <w:rPr>
                <w:rFonts w:ascii="Arial" w:eastAsia="宋体" w:hAnsi="Arial" w:cs="Arial"/>
                <w:color w:val="262626"/>
                <w:sz w:val="18"/>
                <w:szCs w:val="18"/>
              </w:rPr>
              <w:t>Acquisition of property, plant, and equipment included in accounts payable and accrued liabilities</w:t>
            </w:r>
          </w:p>
        </w:tc>
        <w:tc>
          <w:tcPr>
            <w:tcW w:w="0" w:type="auto"/>
            <w:gridSpan w:val="3"/>
            <w:shd w:val="clear" w:color="auto" w:fill="auto"/>
            <w:tcMar>
              <w:top w:w="0" w:type="dxa"/>
              <w:left w:w="20" w:type="dxa"/>
              <w:bottom w:w="0" w:type="dxa"/>
              <w:right w:w="20" w:type="dxa"/>
            </w:tcMar>
            <w:vAlign w:val="bottom"/>
          </w:tcPr>
          <w:p w14:paraId="39D97793"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794"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7795" w14:textId="77777777" w:rsidR="00996AD7" w:rsidRDefault="00D96458">
            <w:pPr>
              <w:jc w:val="right"/>
              <w:textAlignment w:val="bottom"/>
            </w:pPr>
            <w:r>
              <w:rPr>
                <w:rFonts w:ascii="Arial" w:eastAsia="宋体" w:hAnsi="Arial" w:cs="Arial"/>
                <w:color w:val="0068B5"/>
                <w:sz w:val="18"/>
                <w:szCs w:val="18"/>
              </w:rPr>
              <w:t>2,693 </w:t>
            </w:r>
          </w:p>
        </w:tc>
        <w:tc>
          <w:tcPr>
            <w:tcW w:w="0" w:type="auto"/>
            <w:shd w:val="clear" w:color="auto" w:fill="auto"/>
            <w:tcMar>
              <w:top w:w="40" w:type="dxa"/>
              <w:left w:w="0" w:type="dxa"/>
              <w:bottom w:w="40" w:type="dxa"/>
              <w:right w:w="20" w:type="dxa"/>
            </w:tcMar>
            <w:vAlign w:val="bottom"/>
          </w:tcPr>
          <w:p w14:paraId="39D9779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797"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798"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7799" w14:textId="77777777" w:rsidR="00996AD7" w:rsidRDefault="00D96458">
            <w:pPr>
              <w:jc w:val="right"/>
              <w:textAlignment w:val="bottom"/>
            </w:pPr>
            <w:r>
              <w:rPr>
                <w:rFonts w:ascii="Arial" w:eastAsia="宋体" w:hAnsi="Arial" w:cs="Arial"/>
                <w:color w:val="262626"/>
                <w:sz w:val="18"/>
                <w:szCs w:val="18"/>
              </w:rPr>
              <w:t>2,752 </w:t>
            </w:r>
          </w:p>
        </w:tc>
        <w:tc>
          <w:tcPr>
            <w:tcW w:w="0" w:type="auto"/>
            <w:shd w:val="clear" w:color="auto" w:fill="auto"/>
            <w:tcMar>
              <w:top w:w="40" w:type="dxa"/>
              <w:left w:w="0" w:type="dxa"/>
              <w:bottom w:w="40" w:type="dxa"/>
              <w:right w:w="20" w:type="dxa"/>
            </w:tcMar>
            <w:vAlign w:val="bottom"/>
          </w:tcPr>
          <w:p w14:paraId="39D9779A" w14:textId="77777777" w:rsidR="00996AD7" w:rsidRDefault="00996AD7">
            <w:pPr>
              <w:jc w:val="right"/>
              <w:rPr>
                <w:rFonts w:ascii="宋体"/>
              </w:rPr>
            </w:pPr>
          </w:p>
        </w:tc>
      </w:tr>
      <w:tr w:rsidR="00996AD7" w14:paraId="39D977A1" w14:textId="77777777">
        <w:trPr>
          <w:hidden/>
        </w:trPr>
        <w:tc>
          <w:tcPr>
            <w:tcW w:w="0" w:type="auto"/>
            <w:gridSpan w:val="3"/>
            <w:shd w:val="clear" w:color="auto" w:fill="auto"/>
            <w:vAlign w:val="bottom"/>
          </w:tcPr>
          <w:p w14:paraId="39D9779C" w14:textId="77777777" w:rsidR="00996AD7" w:rsidRDefault="00996AD7">
            <w:pPr>
              <w:rPr>
                <w:rFonts w:ascii="宋体"/>
                <w:vanish/>
              </w:rPr>
            </w:pPr>
          </w:p>
        </w:tc>
        <w:tc>
          <w:tcPr>
            <w:tcW w:w="0" w:type="auto"/>
            <w:gridSpan w:val="3"/>
            <w:shd w:val="clear" w:color="auto" w:fill="auto"/>
            <w:vAlign w:val="bottom"/>
          </w:tcPr>
          <w:p w14:paraId="39D9779D" w14:textId="77777777" w:rsidR="00996AD7" w:rsidRDefault="00996AD7">
            <w:pPr>
              <w:rPr>
                <w:rFonts w:ascii="宋体"/>
                <w:vanish/>
              </w:rPr>
            </w:pPr>
          </w:p>
        </w:tc>
        <w:tc>
          <w:tcPr>
            <w:tcW w:w="0" w:type="auto"/>
            <w:gridSpan w:val="3"/>
            <w:shd w:val="clear" w:color="auto" w:fill="auto"/>
            <w:vAlign w:val="bottom"/>
          </w:tcPr>
          <w:p w14:paraId="39D9779E" w14:textId="77777777" w:rsidR="00996AD7" w:rsidRDefault="00996AD7">
            <w:pPr>
              <w:rPr>
                <w:rFonts w:ascii="宋体"/>
                <w:vanish/>
              </w:rPr>
            </w:pPr>
          </w:p>
        </w:tc>
        <w:tc>
          <w:tcPr>
            <w:tcW w:w="0" w:type="auto"/>
            <w:gridSpan w:val="3"/>
            <w:shd w:val="clear" w:color="auto" w:fill="auto"/>
            <w:vAlign w:val="bottom"/>
          </w:tcPr>
          <w:p w14:paraId="39D9779F" w14:textId="77777777" w:rsidR="00996AD7" w:rsidRDefault="00996AD7">
            <w:pPr>
              <w:rPr>
                <w:rFonts w:ascii="宋体"/>
                <w:vanish/>
              </w:rPr>
            </w:pPr>
          </w:p>
        </w:tc>
        <w:tc>
          <w:tcPr>
            <w:tcW w:w="0" w:type="auto"/>
            <w:gridSpan w:val="3"/>
            <w:shd w:val="clear" w:color="auto" w:fill="auto"/>
            <w:vAlign w:val="bottom"/>
          </w:tcPr>
          <w:p w14:paraId="39D977A0" w14:textId="77777777" w:rsidR="00996AD7" w:rsidRDefault="00996AD7">
            <w:pPr>
              <w:rPr>
                <w:rFonts w:ascii="宋体"/>
                <w:vanish/>
              </w:rPr>
            </w:pPr>
          </w:p>
        </w:tc>
      </w:tr>
      <w:tr w:rsidR="00996AD7" w14:paraId="39D977A7" w14:textId="77777777">
        <w:trPr>
          <w:hidden/>
        </w:trPr>
        <w:tc>
          <w:tcPr>
            <w:tcW w:w="0" w:type="auto"/>
            <w:gridSpan w:val="3"/>
            <w:shd w:val="clear" w:color="auto" w:fill="auto"/>
            <w:vAlign w:val="bottom"/>
          </w:tcPr>
          <w:p w14:paraId="39D977A2" w14:textId="77777777" w:rsidR="00996AD7" w:rsidRDefault="00996AD7">
            <w:pPr>
              <w:rPr>
                <w:rFonts w:ascii="宋体"/>
                <w:vanish/>
              </w:rPr>
            </w:pPr>
          </w:p>
        </w:tc>
        <w:tc>
          <w:tcPr>
            <w:tcW w:w="0" w:type="auto"/>
            <w:gridSpan w:val="3"/>
            <w:shd w:val="clear" w:color="auto" w:fill="auto"/>
            <w:vAlign w:val="bottom"/>
          </w:tcPr>
          <w:p w14:paraId="39D977A3" w14:textId="77777777" w:rsidR="00996AD7" w:rsidRDefault="00996AD7">
            <w:pPr>
              <w:rPr>
                <w:rFonts w:ascii="宋体"/>
                <w:vanish/>
              </w:rPr>
            </w:pPr>
          </w:p>
        </w:tc>
        <w:tc>
          <w:tcPr>
            <w:tcW w:w="0" w:type="auto"/>
            <w:gridSpan w:val="3"/>
            <w:shd w:val="clear" w:color="auto" w:fill="auto"/>
            <w:vAlign w:val="bottom"/>
          </w:tcPr>
          <w:p w14:paraId="39D977A4" w14:textId="77777777" w:rsidR="00996AD7" w:rsidRDefault="00996AD7">
            <w:pPr>
              <w:rPr>
                <w:rFonts w:ascii="宋体"/>
                <w:vanish/>
              </w:rPr>
            </w:pPr>
          </w:p>
        </w:tc>
        <w:tc>
          <w:tcPr>
            <w:tcW w:w="0" w:type="auto"/>
            <w:gridSpan w:val="3"/>
            <w:shd w:val="clear" w:color="auto" w:fill="auto"/>
            <w:vAlign w:val="bottom"/>
          </w:tcPr>
          <w:p w14:paraId="39D977A5" w14:textId="77777777" w:rsidR="00996AD7" w:rsidRDefault="00996AD7">
            <w:pPr>
              <w:rPr>
                <w:rFonts w:ascii="宋体"/>
                <w:vanish/>
              </w:rPr>
            </w:pPr>
          </w:p>
        </w:tc>
        <w:tc>
          <w:tcPr>
            <w:tcW w:w="0" w:type="auto"/>
            <w:gridSpan w:val="3"/>
            <w:shd w:val="clear" w:color="auto" w:fill="auto"/>
            <w:vAlign w:val="bottom"/>
          </w:tcPr>
          <w:p w14:paraId="39D977A6" w14:textId="77777777" w:rsidR="00996AD7" w:rsidRDefault="00996AD7">
            <w:pPr>
              <w:rPr>
                <w:rFonts w:ascii="宋体"/>
                <w:vanish/>
              </w:rPr>
            </w:pPr>
          </w:p>
        </w:tc>
      </w:tr>
      <w:tr w:rsidR="00996AD7" w14:paraId="39D977AD" w14:textId="77777777">
        <w:tc>
          <w:tcPr>
            <w:tcW w:w="0" w:type="auto"/>
            <w:gridSpan w:val="3"/>
            <w:shd w:val="clear" w:color="auto" w:fill="auto"/>
            <w:tcMar>
              <w:top w:w="40" w:type="dxa"/>
              <w:left w:w="140" w:type="dxa"/>
              <w:bottom w:w="40" w:type="dxa"/>
              <w:right w:w="20" w:type="dxa"/>
            </w:tcMar>
          </w:tcPr>
          <w:p w14:paraId="39D977A8" w14:textId="77777777" w:rsidR="00996AD7" w:rsidRDefault="00D96458">
            <w:pPr>
              <w:textAlignment w:val="top"/>
            </w:pPr>
            <w:r>
              <w:rPr>
                <w:rFonts w:ascii="Arial" w:eastAsia="宋体" w:hAnsi="Arial" w:cs="Arial"/>
                <w:color w:val="262626"/>
                <w:sz w:val="18"/>
                <w:szCs w:val="18"/>
              </w:rPr>
              <w:t>Cash paid during the period for:</w:t>
            </w:r>
          </w:p>
        </w:tc>
        <w:tc>
          <w:tcPr>
            <w:tcW w:w="0" w:type="auto"/>
            <w:gridSpan w:val="3"/>
            <w:shd w:val="clear" w:color="auto" w:fill="auto"/>
            <w:tcMar>
              <w:top w:w="0" w:type="dxa"/>
              <w:left w:w="20" w:type="dxa"/>
              <w:bottom w:w="0" w:type="dxa"/>
              <w:right w:w="20" w:type="dxa"/>
            </w:tcMar>
            <w:vAlign w:val="bottom"/>
          </w:tcPr>
          <w:p w14:paraId="39D977A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7A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7A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7AC" w14:textId="77777777" w:rsidR="00996AD7" w:rsidRDefault="00996AD7">
            <w:pPr>
              <w:rPr>
                <w:rFonts w:ascii="宋体"/>
              </w:rPr>
            </w:pPr>
          </w:p>
        </w:tc>
      </w:tr>
      <w:tr w:rsidR="00996AD7" w14:paraId="39D977B7" w14:textId="77777777">
        <w:tc>
          <w:tcPr>
            <w:tcW w:w="0" w:type="auto"/>
            <w:gridSpan w:val="3"/>
            <w:shd w:val="clear" w:color="auto" w:fill="auto"/>
            <w:tcMar>
              <w:top w:w="40" w:type="dxa"/>
              <w:left w:w="260" w:type="dxa"/>
              <w:bottom w:w="40" w:type="dxa"/>
              <w:right w:w="20" w:type="dxa"/>
            </w:tcMar>
          </w:tcPr>
          <w:p w14:paraId="39D977AE" w14:textId="77777777" w:rsidR="00996AD7" w:rsidRDefault="00D96458">
            <w:pPr>
              <w:textAlignment w:val="top"/>
            </w:pPr>
            <w:r>
              <w:rPr>
                <w:rFonts w:ascii="Arial" w:eastAsia="宋体" w:hAnsi="Arial" w:cs="Arial"/>
                <w:color w:val="262626"/>
                <w:sz w:val="18"/>
                <w:szCs w:val="18"/>
              </w:rPr>
              <w:t>Interest, net of capitalized interest</w:t>
            </w:r>
          </w:p>
        </w:tc>
        <w:tc>
          <w:tcPr>
            <w:tcW w:w="0" w:type="auto"/>
            <w:gridSpan w:val="3"/>
            <w:shd w:val="clear" w:color="auto" w:fill="auto"/>
            <w:tcMar>
              <w:top w:w="0" w:type="dxa"/>
              <w:left w:w="20" w:type="dxa"/>
              <w:bottom w:w="0" w:type="dxa"/>
              <w:right w:w="20" w:type="dxa"/>
            </w:tcMar>
            <w:vAlign w:val="bottom"/>
          </w:tcPr>
          <w:p w14:paraId="39D977AF"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7B0"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77B1" w14:textId="77777777" w:rsidR="00996AD7" w:rsidRDefault="00D96458">
            <w:pPr>
              <w:jc w:val="right"/>
              <w:textAlignment w:val="bottom"/>
            </w:pPr>
            <w:r>
              <w:rPr>
                <w:rFonts w:ascii="Arial" w:eastAsia="宋体" w:hAnsi="Arial" w:cs="Arial"/>
                <w:color w:val="0068B5"/>
                <w:sz w:val="18"/>
                <w:szCs w:val="18"/>
              </w:rPr>
              <w:t>271 </w:t>
            </w:r>
          </w:p>
        </w:tc>
        <w:tc>
          <w:tcPr>
            <w:tcW w:w="0" w:type="auto"/>
            <w:shd w:val="clear" w:color="auto" w:fill="auto"/>
            <w:tcMar>
              <w:top w:w="40" w:type="dxa"/>
              <w:left w:w="0" w:type="dxa"/>
              <w:bottom w:w="40" w:type="dxa"/>
              <w:right w:w="20" w:type="dxa"/>
            </w:tcMar>
            <w:vAlign w:val="bottom"/>
          </w:tcPr>
          <w:p w14:paraId="39D977B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7B3"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7B4"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77B5" w14:textId="77777777" w:rsidR="00996AD7" w:rsidRDefault="00D96458">
            <w:pPr>
              <w:jc w:val="right"/>
              <w:textAlignment w:val="bottom"/>
            </w:pPr>
            <w:r>
              <w:rPr>
                <w:rFonts w:ascii="Arial" w:eastAsia="宋体" w:hAnsi="Arial" w:cs="Arial"/>
                <w:color w:val="262626"/>
                <w:sz w:val="18"/>
                <w:szCs w:val="18"/>
              </w:rPr>
              <w:t>459 </w:t>
            </w:r>
          </w:p>
        </w:tc>
        <w:tc>
          <w:tcPr>
            <w:tcW w:w="0" w:type="auto"/>
            <w:shd w:val="clear" w:color="auto" w:fill="auto"/>
            <w:tcMar>
              <w:top w:w="40" w:type="dxa"/>
              <w:left w:w="0" w:type="dxa"/>
              <w:bottom w:w="40" w:type="dxa"/>
              <w:right w:w="20" w:type="dxa"/>
            </w:tcMar>
            <w:vAlign w:val="bottom"/>
          </w:tcPr>
          <w:p w14:paraId="39D977B6" w14:textId="77777777" w:rsidR="00996AD7" w:rsidRDefault="00996AD7">
            <w:pPr>
              <w:jc w:val="right"/>
              <w:rPr>
                <w:rFonts w:ascii="宋体"/>
              </w:rPr>
            </w:pPr>
          </w:p>
        </w:tc>
      </w:tr>
      <w:tr w:rsidR="00996AD7" w14:paraId="39D977C1" w14:textId="77777777">
        <w:tc>
          <w:tcPr>
            <w:tcW w:w="0" w:type="auto"/>
            <w:gridSpan w:val="3"/>
            <w:shd w:val="clear" w:color="auto" w:fill="auto"/>
            <w:tcMar>
              <w:top w:w="40" w:type="dxa"/>
              <w:left w:w="260" w:type="dxa"/>
              <w:bottom w:w="40" w:type="dxa"/>
              <w:right w:w="20" w:type="dxa"/>
            </w:tcMar>
          </w:tcPr>
          <w:p w14:paraId="39D977B8" w14:textId="77777777" w:rsidR="00996AD7" w:rsidRDefault="00D96458">
            <w:pPr>
              <w:textAlignment w:val="top"/>
            </w:pPr>
            <w:r>
              <w:rPr>
                <w:rFonts w:ascii="Arial" w:eastAsia="宋体" w:hAnsi="Arial" w:cs="Arial"/>
                <w:color w:val="262626"/>
                <w:sz w:val="18"/>
                <w:szCs w:val="18"/>
              </w:rPr>
              <w:t xml:space="preserve">Income taxes, net of </w:t>
            </w:r>
            <w:r>
              <w:rPr>
                <w:rFonts w:ascii="Arial" w:eastAsia="宋体" w:hAnsi="Arial" w:cs="Arial"/>
                <w:color w:val="262626"/>
                <w:sz w:val="18"/>
                <w:szCs w:val="18"/>
              </w:rPr>
              <w:t>refunds</w:t>
            </w:r>
          </w:p>
        </w:tc>
        <w:tc>
          <w:tcPr>
            <w:tcW w:w="0" w:type="auto"/>
            <w:gridSpan w:val="3"/>
            <w:shd w:val="clear" w:color="auto" w:fill="auto"/>
            <w:tcMar>
              <w:top w:w="0" w:type="dxa"/>
              <w:left w:w="20" w:type="dxa"/>
              <w:bottom w:w="0" w:type="dxa"/>
              <w:right w:w="20" w:type="dxa"/>
            </w:tcMar>
            <w:vAlign w:val="bottom"/>
          </w:tcPr>
          <w:p w14:paraId="39D977B9"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7BA"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77BB" w14:textId="77777777" w:rsidR="00996AD7" w:rsidRDefault="00D96458">
            <w:pPr>
              <w:jc w:val="right"/>
              <w:textAlignment w:val="bottom"/>
            </w:pPr>
            <w:r>
              <w:rPr>
                <w:rFonts w:ascii="Arial" w:eastAsia="宋体" w:hAnsi="Arial" w:cs="Arial"/>
                <w:color w:val="0068B5"/>
                <w:sz w:val="18"/>
                <w:szCs w:val="18"/>
              </w:rPr>
              <w:t>1,831 </w:t>
            </w:r>
          </w:p>
        </w:tc>
        <w:tc>
          <w:tcPr>
            <w:tcW w:w="0" w:type="auto"/>
            <w:shd w:val="clear" w:color="auto" w:fill="auto"/>
            <w:tcMar>
              <w:top w:w="40" w:type="dxa"/>
              <w:left w:w="0" w:type="dxa"/>
              <w:bottom w:w="40" w:type="dxa"/>
              <w:right w:w="20" w:type="dxa"/>
            </w:tcMar>
            <w:vAlign w:val="bottom"/>
          </w:tcPr>
          <w:p w14:paraId="39D977B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7BD"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7BE"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77BF" w14:textId="77777777" w:rsidR="00996AD7" w:rsidRDefault="00D96458">
            <w:pPr>
              <w:jc w:val="right"/>
              <w:textAlignment w:val="bottom"/>
            </w:pPr>
            <w:r>
              <w:rPr>
                <w:rFonts w:ascii="Arial" w:eastAsia="宋体" w:hAnsi="Arial" w:cs="Arial"/>
                <w:color w:val="262626"/>
                <w:sz w:val="18"/>
                <w:szCs w:val="18"/>
              </w:rPr>
              <w:t>1,986 </w:t>
            </w:r>
          </w:p>
        </w:tc>
        <w:tc>
          <w:tcPr>
            <w:tcW w:w="0" w:type="auto"/>
            <w:shd w:val="clear" w:color="auto" w:fill="auto"/>
            <w:tcMar>
              <w:top w:w="40" w:type="dxa"/>
              <w:left w:w="0" w:type="dxa"/>
              <w:bottom w:w="40" w:type="dxa"/>
              <w:right w:w="20" w:type="dxa"/>
            </w:tcMar>
            <w:vAlign w:val="bottom"/>
          </w:tcPr>
          <w:p w14:paraId="39D977C0" w14:textId="77777777" w:rsidR="00996AD7" w:rsidRDefault="00996AD7">
            <w:pPr>
              <w:jc w:val="right"/>
              <w:rPr>
                <w:rFonts w:ascii="宋体"/>
              </w:rPr>
            </w:pPr>
          </w:p>
        </w:tc>
      </w:tr>
    </w:tbl>
    <w:p w14:paraId="39D977C2" w14:textId="77777777" w:rsidR="00996AD7" w:rsidRDefault="00D96458">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77CF" w14:textId="77777777">
        <w:tc>
          <w:tcPr>
            <w:tcW w:w="50" w:type="pct"/>
            <w:shd w:val="clear" w:color="auto" w:fill="auto"/>
            <w:vAlign w:val="bottom"/>
          </w:tcPr>
          <w:p w14:paraId="39D977C3" w14:textId="77777777" w:rsidR="00996AD7" w:rsidRDefault="00996AD7">
            <w:pPr>
              <w:rPr>
                <w:rFonts w:ascii="宋体"/>
              </w:rPr>
            </w:pPr>
          </w:p>
        </w:tc>
        <w:tc>
          <w:tcPr>
            <w:tcW w:w="238" w:type="pct"/>
            <w:shd w:val="clear" w:color="auto" w:fill="auto"/>
            <w:vAlign w:val="bottom"/>
          </w:tcPr>
          <w:p w14:paraId="39D977C4" w14:textId="77777777" w:rsidR="00996AD7" w:rsidRDefault="00996AD7">
            <w:pPr>
              <w:rPr>
                <w:rFonts w:ascii="宋体"/>
              </w:rPr>
            </w:pPr>
          </w:p>
        </w:tc>
        <w:tc>
          <w:tcPr>
            <w:tcW w:w="5" w:type="pct"/>
            <w:shd w:val="clear" w:color="auto" w:fill="auto"/>
            <w:vAlign w:val="bottom"/>
          </w:tcPr>
          <w:p w14:paraId="39D977C5" w14:textId="77777777" w:rsidR="00996AD7" w:rsidRDefault="00996AD7">
            <w:pPr>
              <w:rPr>
                <w:rFonts w:ascii="宋体"/>
              </w:rPr>
            </w:pPr>
          </w:p>
        </w:tc>
        <w:tc>
          <w:tcPr>
            <w:tcW w:w="50" w:type="pct"/>
            <w:shd w:val="clear" w:color="auto" w:fill="auto"/>
            <w:vAlign w:val="bottom"/>
          </w:tcPr>
          <w:p w14:paraId="39D977C6" w14:textId="77777777" w:rsidR="00996AD7" w:rsidRDefault="00996AD7">
            <w:pPr>
              <w:rPr>
                <w:rFonts w:ascii="宋体"/>
              </w:rPr>
            </w:pPr>
          </w:p>
        </w:tc>
        <w:tc>
          <w:tcPr>
            <w:tcW w:w="983" w:type="pct"/>
            <w:shd w:val="clear" w:color="auto" w:fill="auto"/>
            <w:vAlign w:val="bottom"/>
          </w:tcPr>
          <w:p w14:paraId="39D977C7" w14:textId="77777777" w:rsidR="00996AD7" w:rsidRDefault="00996AD7">
            <w:pPr>
              <w:rPr>
                <w:rFonts w:ascii="宋体"/>
              </w:rPr>
            </w:pPr>
          </w:p>
        </w:tc>
        <w:tc>
          <w:tcPr>
            <w:tcW w:w="5" w:type="pct"/>
            <w:shd w:val="clear" w:color="auto" w:fill="auto"/>
            <w:vAlign w:val="bottom"/>
          </w:tcPr>
          <w:p w14:paraId="39D977C8" w14:textId="77777777" w:rsidR="00996AD7" w:rsidRDefault="00996AD7">
            <w:pPr>
              <w:rPr>
                <w:rFonts w:ascii="宋体"/>
              </w:rPr>
            </w:pPr>
          </w:p>
        </w:tc>
        <w:tc>
          <w:tcPr>
            <w:tcW w:w="50" w:type="pct"/>
            <w:shd w:val="clear" w:color="auto" w:fill="auto"/>
            <w:vAlign w:val="bottom"/>
          </w:tcPr>
          <w:p w14:paraId="39D977C9" w14:textId="77777777" w:rsidR="00996AD7" w:rsidRDefault="00996AD7">
            <w:pPr>
              <w:rPr>
                <w:rFonts w:ascii="宋体"/>
              </w:rPr>
            </w:pPr>
          </w:p>
        </w:tc>
        <w:tc>
          <w:tcPr>
            <w:tcW w:w="2035" w:type="pct"/>
            <w:shd w:val="clear" w:color="auto" w:fill="auto"/>
            <w:vAlign w:val="bottom"/>
          </w:tcPr>
          <w:p w14:paraId="39D977CA" w14:textId="77777777" w:rsidR="00996AD7" w:rsidRDefault="00996AD7">
            <w:pPr>
              <w:rPr>
                <w:rFonts w:ascii="宋体"/>
              </w:rPr>
            </w:pPr>
          </w:p>
        </w:tc>
        <w:tc>
          <w:tcPr>
            <w:tcW w:w="5" w:type="pct"/>
            <w:shd w:val="clear" w:color="auto" w:fill="auto"/>
            <w:vAlign w:val="bottom"/>
          </w:tcPr>
          <w:p w14:paraId="39D977CB" w14:textId="77777777" w:rsidR="00996AD7" w:rsidRDefault="00996AD7">
            <w:pPr>
              <w:rPr>
                <w:rFonts w:ascii="宋体"/>
              </w:rPr>
            </w:pPr>
          </w:p>
        </w:tc>
        <w:tc>
          <w:tcPr>
            <w:tcW w:w="50" w:type="pct"/>
            <w:shd w:val="clear" w:color="auto" w:fill="auto"/>
            <w:vAlign w:val="bottom"/>
          </w:tcPr>
          <w:p w14:paraId="39D977CC" w14:textId="77777777" w:rsidR="00996AD7" w:rsidRDefault="00996AD7">
            <w:pPr>
              <w:rPr>
                <w:rFonts w:ascii="宋体"/>
              </w:rPr>
            </w:pPr>
          </w:p>
        </w:tc>
        <w:tc>
          <w:tcPr>
            <w:tcW w:w="1522" w:type="pct"/>
            <w:shd w:val="clear" w:color="auto" w:fill="auto"/>
            <w:vAlign w:val="bottom"/>
          </w:tcPr>
          <w:p w14:paraId="39D977CD" w14:textId="77777777" w:rsidR="00996AD7" w:rsidRDefault="00996AD7">
            <w:pPr>
              <w:rPr>
                <w:rFonts w:ascii="宋体"/>
              </w:rPr>
            </w:pPr>
          </w:p>
        </w:tc>
        <w:tc>
          <w:tcPr>
            <w:tcW w:w="5" w:type="pct"/>
            <w:shd w:val="clear" w:color="auto" w:fill="auto"/>
            <w:vAlign w:val="bottom"/>
          </w:tcPr>
          <w:p w14:paraId="39D977CE" w14:textId="77777777" w:rsidR="00996AD7" w:rsidRDefault="00996AD7">
            <w:pPr>
              <w:rPr>
                <w:rFonts w:ascii="宋体"/>
              </w:rPr>
            </w:pPr>
          </w:p>
        </w:tc>
      </w:tr>
      <w:tr w:rsidR="00996AD7" w14:paraId="39D977D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7D0"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A5" wp14:editId="39D9A3A6">
                  <wp:extent cx="304800" cy="304800"/>
                  <wp:effectExtent l="0" t="0" r="0" b="0"/>
                  <wp:docPr id="94" name="图片 5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1"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7D1"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77D2" w14:textId="77777777" w:rsidR="00996AD7" w:rsidRDefault="00D96458">
            <w:pPr>
              <w:textAlignment w:val="center"/>
            </w:pPr>
            <w:r>
              <w:rPr>
                <w:rFonts w:ascii="Arial" w:eastAsia="宋体" w:hAnsi="Arial" w:cs="Arial"/>
                <w:color w:val="262626"/>
                <w:sz w:val="16"/>
                <w:szCs w:val="16"/>
              </w:rPr>
              <w:t>  Consolidated Condensed Statements of Cash Flows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7D3" w14:textId="77777777" w:rsidR="00996AD7" w:rsidRDefault="00D96458">
            <w:pPr>
              <w:jc w:val="right"/>
              <w:textAlignment w:val="center"/>
            </w:pPr>
            <w:r>
              <w:rPr>
                <w:rFonts w:ascii="Arial" w:eastAsia="宋体" w:hAnsi="Arial" w:cs="Arial"/>
                <w:color w:val="262626"/>
                <w:sz w:val="16"/>
                <w:szCs w:val="16"/>
              </w:rPr>
              <w:t>6</w:t>
            </w:r>
          </w:p>
        </w:tc>
      </w:tr>
    </w:tbl>
    <w:p w14:paraId="39D977D5" w14:textId="77777777" w:rsidR="00996AD7" w:rsidRDefault="00D96458">
      <w:r>
        <w:pict w14:anchorId="39D9A3A7">
          <v:rect id="_x0000_i1032" style="width:415.3pt;height:1.5pt" o:hralign="center" o:hrstd="t" o:hr="t" fillcolor="#a0a0a0" stroked="f"/>
        </w:pict>
      </w:r>
    </w:p>
    <w:p w14:paraId="39D977D6" w14:textId="77777777" w:rsidR="00996AD7" w:rsidRDefault="00D96458">
      <w:pPr>
        <w:spacing w:after="180"/>
        <w:jc w:val="right"/>
      </w:pPr>
      <w:hyperlink r:id="rId33" w:anchor="i94e6cc3aa83643b8b968bd5bab038338_7" w:history="1">
        <w:r>
          <w:rPr>
            <w:rStyle w:val="a5"/>
            <w:rFonts w:ascii="Arial" w:eastAsia="宋体" w:hAnsi="Arial" w:cs="Arial"/>
            <w:b/>
            <w:bCs/>
            <w:color w:val="0068B5"/>
            <w:sz w:val="16"/>
            <w:szCs w:val="16"/>
          </w:rPr>
          <w:t>Table of Contents</w:t>
        </w:r>
      </w:hyperlink>
    </w:p>
    <w:p w14:paraId="39D977D7"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96AD7" w14:paraId="39D977DE" w14:textId="77777777">
        <w:tc>
          <w:tcPr>
            <w:tcW w:w="50" w:type="pct"/>
            <w:shd w:val="clear" w:color="auto" w:fill="auto"/>
            <w:vAlign w:val="bottom"/>
          </w:tcPr>
          <w:p w14:paraId="39D977D8" w14:textId="77777777" w:rsidR="00996AD7" w:rsidRDefault="00996AD7">
            <w:pPr>
              <w:rPr>
                <w:rFonts w:ascii="宋体"/>
              </w:rPr>
            </w:pPr>
          </w:p>
        </w:tc>
        <w:tc>
          <w:tcPr>
            <w:tcW w:w="4870" w:type="pct"/>
            <w:shd w:val="clear" w:color="auto" w:fill="auto"/>
            <w:vAlign w:val="bottom"/>
          </w:tcPr>
          <w:p w14:paraId="39D977D9" w14:textId="77777777" w:rsidR="00996AD7" w:rsidRDefault="00996AD7">
            <w:pPr>
              <w:rPr>
                <w:rFonts w:ascii="宋体"/>
              </w:rPr>
            </w:pPr>
          </w:p>
        </w:tc>
        <w:tc>
          <w:tcPr>
            <w:tcW w:w="5" w:type="pct"/>
            <w:shd w:val="clear" w:color="auto" w:fill="auto"/>
            <w:vAlign w:val="bottom"/>
          </w:tcPr>
          <w:p w14:paraId="39D977DA" w14:textId="77777777" w:rsidR="00996AD7" w:rsidRDefault="00996AD7">
            <w:pPr>
              <w:rPr>
                <w:rFonts w:ascii="宋体"/>
              </w:rPr>
            </w:pPr>
          </w:p>
        </w:tc>
        <w:tc>
          <w:tcPr>
            <w:tcW w:w="5" w:type="pct"/>
            <w:shd w:val="clear" w:color="auto" w:fill="auto"/>
            <w:vAlign w:val="bottom"/>
          </w:tcPr>
          <w:p w14:paraId="39D977DB" w14:textId="77777777" w:rsidR="00996AD7" w:rsidRDefault="00996AD7">
            <w:pPr>
              <w:rPr>
                <w:rFonts w:ascii="宋体"/>
              </w:rPr>
            </w:pPr>
          </w:p>
        </w:tc>
        <w:tc>
          <w:tcPr>
            <w:tcW w:w="64" w:type="pct"/>
            <w:shd w:val="clear" w:color="auto" w:fill="auto"/>
            <w:vAlign w:val="bottom"/>
          </w:tcPr>
          <w:p w14:paraId="39D977DC" w14:textId="77777777" w:rsidR="00996AD7" w:rsidRDefault="00996AD7">
            <w:pPr>
              <w:rPr>
                <w:rFonts w:ascii="宋体"/>
              </w:rPr>
            </w:pPr>
          </w:p>
        </w:tc>
        <w:tc>
          <w:tcPr>
            <w:tcW w:w="5" w:type="pct"/>
            <w:shd w:val="clear" w:color="auto" w:fill="auto"/>
            <w:vAlign w:val="bottom"/>
          </w:tcPr>
          <w:p w14:paraId="39D977DD" w14:textId="77777777" w:rsidR="00996AD7" w:rsidRDefault="00996AD7">
            <w:pPr>
              <w:rPr>
                <w:rFonts w:ascii="宋体"/>
              </w:rPr>
            </w:pPr>
          </w:p>
        </w:tc>
      </w:tr>
      <w:tr w:rsidR="00996AD7" w14:paraId="39D977E1" w14:textId="77777777">
        <w:tc>
          <w:tcPr>
            <w:tcW w:w="0" w:type="auto"/>
            <w:gridSpan w:val="3"/>
            <w:shd w:val="clear" w:color="auto" w:fill="004A86"/>
            <w:tcMar>
              <w:top w:w="40" w:type="dxa"/>
              <w:left w:w="20" w:type="dxa"/>
              <w:bottom w:w="40" w:type="dxa"/>
              <w:right w:w="20" w:type="dxa"/>
            </w:tcMar>
            <w:vAlign w:val="center"/>
          </w:tcPr>
          <w:p w14:paraId="39D977DF" w14:textId="77777777" w:rsidR="00996AD7" w:rsidRDefault="00D96458">
            <w:pPr>
              <w:textAlignment w:val="center"/>
            </w:pPr>
            <w:r>
              <w:rPr>
                <w:rFonts w:ascii="Arial" w:eastAsia="宋体" w:hAnsi="Arial" w:cs="Arial"/>
                <w:color w:val="FFFFFF"/>
                <w:sz w:val="36"/>
                <w:szCs w:val="36"/>
              </w:rPr>
              <w:t>Consolidated Condensed Statements of Stockholders' Equity</w:t>
            </w:r>
          </w:p>
        </w:tc>
        <w:tc>
          <w:tcPr>
            <w:tcW w:w="0" w:type="auto"/>
            <w:gridSpan w:val="3"/>
            <w:shd w:val="clear" w:color="auto" w:fill="auto"/>
            <w:tcMar>
              <w:top w:w="0" w:type="dxa"/>
              <w:left w:w="20" w:type="dxa"/>
              <w:bottom w:w="0" w:type="dxa"/>
              <w:right w:w="20" w:type="dxa"/>
            </w:tcMar>
            <w:vAlign w:val="bottom"/>
          </w:tcPr>
          <w:p w14:paraId="39D977E0" w14:textId="77777777" w:rsidR="00996AD7" w:rsidRDefault="00996AD7">
            <w:pPr>
              <w:rPr>
                <w:rFonts w:ascii="宋体"/>
              </w:rPr>
            </w:pPr>
          </w:p>
        </w:tc>
      </w:tr>
      <w:tr w:rsidR="00996AD7" w14:paraId="39D977E4" w14:textId="77777777">
        <w:trPr>
          <w:trHeight w:val="160"/>
        </w:trPr>
        <w:tc>
          <w:tcPr>
            <w:tcW w:w="0" w:type="auto"/>
            <w:gridSpan w:val="3"/>
            <w:shd w:val="clear" w:color="auto" w:fill="auto"/>
            <w:tcMar>
              <w:top w:w="0" w:type="dxa"/>
              <w:left w:w="20" w:type="dxa"/>
              <w:bottom w:w="0" w:type="dxa"/>
              <w:right w:w="20" w:type="dxa"/>
            </w:tcMar>
            <w:vAlign w:val="bottom"/>
          </w:tcPr>
          <w:p w14:paraId="39D977E2" w14:textId="77777777" w:rsidR="00996AD7" w:rsidRDefault="00996AD7">
            <w:pPr>
              <w:rPr>
                <w:rFonts w:ascii="宋体"/>
              </w:rPr>
            </w:pPr>
          </w:p>
        </w:tc>
        <w:tc>
          <w:tcPr>
            <w:tcW w:w="0" w:type="auto"/>
            <w:gridSpan w:val="3"/>
            <w:shd w:val="clear" w:color="auto" w:fill="00A3F6"/>
            <w:tcMar>
              <w:top w:w="0" w:type="dxa"/>
              <w:left w:w="20" w:type="dxa"/>
              <w:bottom w:w="0" w:type="dxa"/>
              <w:right w:w="20" w:type="dxa"/>
            </w:tcMar>
            <w:vAlign w:val="bottom"/>
          </w:tcPr>
          <w:p w14:paraId="39D977E3" w14:textId="77777777" w:rsidR="00996AD7" w:rsidRDefault="00996AD7">
            <w:pPr>
              <w:rPr>
                <w:rFonts w:ascii="宋体"/>
              </w:rPr>
            </w:pPr>
          </w:p>
        </w:tc>
      </w:tr>
    </w:tbl>
    <w:p w14:paraId="39D977E5" w14:textId="77777777" w:rsidR="00996AD7" w:rsidRDefault="00996AD7">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38"/>
        <w:gridCol w:w="3037"/>
        <w:gridCol w:w="37"/>
        <w:gridCol w:w="36"/>
        <w:gridCol w:w="36"/>
        <w:gridCol w:w="36"/>
        <w:gridCol w:w="59"/>
        <w:gridCol w:w="613"/>
        <w:gridCol w:w="36"/>
        <w:gridCol w:w="36"/>
        <w:gridCol w:w="36"/>
        <w:gridCol w:w="36"/>
        <w:gridCol w:w="121"/>
        <w:gridCol w:w="658"/>
        <w:gridCol w:w="36"/>
        <w:gridCol w:w="36"/>
        <w:gridCol w:w="36"/>
        <w:gridCol w:w="36"/>
        <w:gridCol w:w="122"/>
        <w:gridCol w:w="1279"/>
        <w:gridCol w:w="36"/>
        <w:gridCol w:w="36"/>
        <w:gridCol w:w="36"/>
        <w:gridCol w:w="36"/>
        <w:gridCol w:w="122"/>
        <w:gridCol w:w="785"/>
        <w:gridCol w:w="36"/>
        <w:gridCol w:w="36"/>
        <w:gridCol w:w="36"/>
        <w:gridCol w:w="36"/>
        <w:gridCol w:w="121"/>
        <w:gridCol w:w="601"/>
        <w:gridCol w:w="36"/>
      </w:tblGrid>
      <w:tr w:rsidR="00996AD7" w14:paraId="39D97807" w14:textId="77777777">
        <w:tc>
          <w:tcPr>
            <w:tcW w:w="50" w:type="pct"/>
            <w:shd w:val="clear" w:color="auto" w:fill="auto"/>
            <w:vAlign w:val="bottom"/>
          </w:tcPr>
          <w:p w14:paraId="39D977E6" w14:textId="77777777" w:rsidR="00996AD7" w:rsidRDefault="00996AD7">
            <w:pPr>
              <w:rPr>
                <w:rFonts w:ascii="宋体"/>
              </w:rPr>
            </w:pPr>
          </w:p>
        </w:tc>
        <w:tc>
          <w:tcPr>
            <w:tcW w:w="1897" w:type="pct"/>
            <w:shd w:val="clear" w:color="auto" w:fill="auto"/>
            <w:vAlign w:val="bottom"/>
          </w:tcPr>
          <w:p w14:paraId="39D977E7" w14:textId="77777777" w:rsidR="00996AD7" w:rsidRDefault="00996AD7">
            <w:pPr>
              <w:rPr>
                <w:rFonts w:ascii="宋体"/>
              </w:rPr>
            </w:pPr>
          </w:p>
        </w:tc>
        <w:tc>
          <w:tcPr>
            <w:tcW w:w="5" w:type="pct"/>
            <w:shd w:val="clear" w:color="auto" w:fill="auto"/>
            <w:vAlign w:val="bottom"/>
          </w:tcPr>
          <w:p w14:paraId="39D977E8" w14:textId="77777777" w:rsidR="00996AD7" w:rsidRDefault="00996AD7">
            <w:pPr>
              <w:rPr>
                <w:rFonts w:ascii="宋体"/>
              </w:rPr>
            </w:pPr>
          </w:p>
        </w:tc>
        <w:tc>
          <w:tcPr>
            <w:tcW w:w="5" w:type="pct"/>
            <w:shd w:val="clear" w:color="auto" w:fill="auto"/>
            <w:vAlign w:val="bottom"/>
          </w:tcPr>
          <w:p w14:paraId="39D977E9" w14:textId="77777777" w:rsidR="00996AD7" w:rsidRDefault="00996AD7">
            <w:pPr>
              <w:rPr>
                <w:rFonts w:ascii="宋体"/>
              </w:rPr>
            </w:pPr>
          </w:p>
        </w:tc>
        <w:tc>
          <w:tcPr>
            <w:tcW w:w="24" w:type="pct"/>
            <w:shd w:val="clear" w:color="auto" w:fill="auto"/>
            <w:vAlign w:val="bottom"/>
          </w:tcPr>
          <w:p w14:paraId="39D977EA" w14:textId="77777777" w:rsidR="00996AD7" w:rsidRDefault="00996AD7">
            <w:pPr>
              <w:rPr>
                <w:rFonts w:ascii="宋体"/>
              </w:rPr>
            </w:pPr>
          </w:p>
        </w:tc>
        <w:tc>
          <w:tcPr>
            <w:tcW w:w="5" w:type="pct"/>
            <w:shd w:val="clear" w:color="auto" w:fill="auto"/>
            <w:vAlign w:val="bottom"/>
          </w:tcPr>
          <w:p w14:paraId="39D977EB" w14:textId="77777777" w:rsidR="00996AD7" w:rsidRDefault="00996AD7">
            <w:pPr>
              <w:rPr>
                <w:rFonts w:ascii="宋体"/>
              </w:rPr>
            </w:pPr>
          </w:p>
        </w:tc>
        <w:tc>
          <w:tcPr>
            <w:tcW w:w="50" w:type="pct"/>
            <w:shd w:val="clear" w:color="auto" w:fill="auto"/>
            <w:vAlign w:val="bottom"/>
          </w:tcPr>
          <w:p w14:paraId="39D977EC" w14:textId="77777777" w:rsidR="00996AD7" w:rsidRDefault="00996AD7">
            <w:pPr>
              <w:rPr>
                <w:rFonts w:ascii="宋体"/>
              </w:rPr>
            </w:pPr>
          </w:p>
        </w:tc>
        <w:tc>
          <w:tcPr>
            <w:tcW w:w="492" w:type="pct"/>
            <w:shd w:val="clear" w:color="auto" w:fill="auto"/>
            <w:vAlign w:val="bottom"/>
          </w:tcPr>
          <w:p w14:paraId="39D977ED" w14:textId="77777777" w:rsidR="00996AD7" w:rsidRDefault="00996AD7">
            <w:pPr>
              <w:rPr>
                <w:rFonts w:ascii="宋体"/>
              </w:rPr>
            </w:pPr>
          </w:p>
        </w:tc>
        <w:tc>
          <w:tcPr>
            <w:tcW w:w="5" w:type="pct"/>
            <w:shd w:val="clear" w:color="auto" w:fill="auto"/>
            <w:vAlign w:val="bottom"/>
          </w:tcPr>
          <w:p w14:paraId="39D977EE" w14:textId="77777777" w:rsidR="00996AD7" w:rsidRDefault="00996AD7">
            <w:pPr>
              <w:rPr>
                <w:rFonts w:ascii="宋体"/>
              </w:rPr>
            </w:pPr>
          </w:p>
        </w:tc>
        <w:tc>
          <w:tcPr>
            <w:tcW w:w="5" w:type="pct"/>
            <w:shd w:val="clear" w:color="auto" w:fill="auto"/>
            <w:vAlign w:val="bottom"/>
          </w:tcPr>
          <w:p w14:paraId="39D977EF" w14:textId="77777777" w:rsidR="00996AD7" w:rsidRDefault="00996AD7">
            <w:pPr>
              <w:rPr>
                <w:rFonts w:ascii="宋体"/>
              </w:rPr>
            </w:pPr>
          </w:p>
        </w:tc>
        <w:tc>
          <w:tcPr>
            <w:tcW w:w="24" w:type="pct"/>
            <w:shd w:val="clear" w:color="auto" w:fill="auto"/>
            <w:vAlign w:val="bottom"/>
          </w:tcPr>
          <w:p w14:paraId="39D977F0" w14:textId="77777777" w:rsidR="00996AD7" w:rsidRDefault="00996AD7">
            <w:pPr>
              <w:rPr>
                <w:rFonts w:ascii="宋体"/>
              </w:rPr>
            </w:pPr>
          </w:p>
        </w:tc>
        <w:tc>
          <w:tcPr>
            <w:tcW w:w="5" w:type="pct"/>
            <w:shd w:val="clear" w:color="auto" w:fill="auto"/>
            <w:vAlign w:val="bottom"/>
          </w:tcPr>
          <w:p w14:paraId="39D977F1" w14:textId="77777777" w:rsidR="00996AD7" w:rsidRDefault="00996AD7">
            <w:pPr>
              <w:rPr>
                <w:rFonts w:ascii="宋体"/>
              </w:rPr>
            </w:pPr>
          </w:p>
        </w:tc>
        <w:tc>
          <w:tcPr>
            <w:tcW w:w="50" w:type="pct"/>
            <w:shd w:val="clear" w:color="auto" w:fill="auto"/>
            <w:vAlign w:val="bottom"/>
          </w:tcPr>
          <w:p w14:paraId="39D977F2" w14:textId="77777777" w:rsidR="00996AD7" w:rsidRDefault="00996AD7">
            <w:pPr>
              <w:rPr>
                <w:rFonts w:ascii="宋体"/>
              </w:rPr>
            </w:pPr>
          </w:p>
        </w:tc>
        <w:tc>
          <w:tcPr>
            <w:tcW w:w="492" w:type="pct"/>
            <w:shd w:val="clear" w:color="auto" w:fill="auto"/>
            <w:vAlign w:val="bottom"/>
          </w:tcPr>
          <w:p w14:paraId="39D977F3" w14:textId="77777777" w:rsidR="00996AD7" w:rsidRDefault="00996AD7">
            <w:pPr>
              <w:rPr>
                <w:rFonts w:ascii="宋体"/>
              </w:rPr>
            </w:pPr>
          </w:p>
        </w:tc>
        <w:tc>
          <w:tcPr>
            <w:tcW w:w="5" w:type="pct"/>
            <w:shd w:val="clear" w:color="auto" w:fill="auto"/>
            <w:vAlign w:val="bottom"/>
          </w:tcPr>
          <w:p w14:paraId="39D977F4" w14:textId="77777777" w:rsidR="00996AD7" w:rsidRDefault="00996AD7">
            <w:pPr>
              <w:rPr>
                <w:rFonts w:ascii="宋体"/>
              </w:rPr>
            </w:pPr>
          </w:p>
        </w:tc>
        <w:tc>
          <w:tcPr>
            <w:tcW w:w="5" w:type="pct"/>
            <w:shd w:val="clear" w:color="auto" w:fill="auto"/>
            <w:vAlign w:val="bottom"/>
          </w:tcPr>
          <w:p w14:paraId="39D977F5" w14:textId="77777777" w:rsidR="00996AD7" w:rsidRDefault="00996AD7">
            <w:pPr>
              <w:rPr>
                <w:rFonts w:ascii="宋体"/>
              </w:rPr>
            </w:pPr>
          </w:p>
        </w:tc>
        <w:tc>
          <w:tcPr>
            <w:tcW w:w="24" w:type="pct"/>
            <w:shd w:val="clear" w:color="auto" w:fill="auto"/>
            <w:vAlign w:val="bottom"/>
          </w:tcPr>
          <w:p w14:paraId="39D977F6" w14:textId="77777777" w:rsidR="00996AD7" w:rsidRDefault="00996AD7">
            <w:pPr>
              <w:rPr>
                <w:rFonts w:ascii="宋体"/>
              </w:rPr>
            </w:pPr>
          </w:p>
        </w:tc>
        <w:tc>
          <w:tcPr>
            <w:tcW w:w="5" w:type="pct"/>
            <w:shd w:val="clear" w:color="auto" w:fill="auto"/>
            <w:vAlign w:val="bottom"/>
          </w:tcPr>
          <w:p w14:paraId="39D977F7" w14:textId="77777777" w:rsidR="00996AD7" w:rsidRDefault="00996AD7">
            <w:pPr>
              <w:rPr>
                <w:rFonts w:ascii="宋体"/>
              </w:rPr>
            </w:pPr>
          </w:p>
        </w:tc>
        <w:tc>
          <w:tcPr>
            <w:tcW w:w="50" w:type="pct"/>
            <w:shd w:val="clear" w:color="auto" w:fill="auto"/>
            <w:vAlign w:val="bottom"/>
          </w:tcPr>
          <w:p w14:paraId="39D977F8" w14:textId="77777777" w:rsidR="00996AD7" w:rsidRDefault="00996AD7">
            <w:pPr>
              <w:rPr>
                <w:rFonts w:ascii="宋体"/>
              </w:rPr>
            </w:pPr>
          </w:p>
        </w:tc>
        <w:tc>
          <w:tcPr>
            <w:tcW w:w="629" w:type="pct"/>
            <w:shd w:val="clear" w:color="auto" w:fill="auto"/>
            <w:vAlign w:val="bottom"/>
          </w:tcPr>
          <w:p w14:paraId="39D977F9" w14:textId="77777777" w:rsidR="00996AD7" w:rsidRDefault="00996AD7">
            <w:pPr>
              <w:rPr>
                <w:rFonts w:ascii="宋体"/>
              </w:rPr>
            </w:pPr>
          </w:p>
        </w:tc>
        <w:tc>
          <w:tcPr>
            <w:tcW w:w="5" w:type="pct"/>
            <w:shd w:val="clear" w:color="auto" w:fill="auto"/>
            <w:vAlign w:val="bottom"/>
          </w:tcPr>
          <w:p w14:paraId="39D977FA" w14:textId="77777777" w:rsidR="00996AD7" w:rsidRDefault="00996AD7">
            <w:pPr>
              <w:rPr>
                <w:rFonts w:ascii="宋体"/>
              </w:rPr>
            </w:pPr>
          </w:p>
        </w:tc>
        <w:tc>
          <w:tcPr>
            <w:tcW w:w="5" w:type="pct"/>
            <w:shd w:val="clear" w:color="auto" w:fill="auto"/>
            <w:vAlign w:val="bottom"/>
          </w:tcPr>
          <w:p w14:paraId="39D977FB" w14:textId="77777777" w:rsidR="00996AD7" w:rsidRDefault="00996AD7">
            <w:pPr>
              <w:rPr>
                <w:rFonts w:ascii="宋体"/>
              </w:rPr>
            </w:pPr>
          </w:p>
        </w:tc>
        <w:tc>
          <w:tcPr>
            <w:tcW w:w="24" w:type="pct"/>
            <w:shd w:val="clear" w:color="auto" w:fill="auto"/>
            <w:vAlign w:val="bottom"/>
          </w:tcPr>
          <w:p w14:paraId="39D977FC" w14:textId="77777777" w:rsidR="00996AD7" w:rsidRDefault="00996AD7">
            <w:pPr>
              <w:rPr>
                <w:rFonts w:ascii="宋体"/>
              </w:rPr>
            </w:pPr>
          </w:p>
        </w:tc>
        <w:tc>
          <w:tcPr>
            <w:tcW w:w="5" w:type="pct"/>
            <w:shd w:val="clear" w:color="auto" w:fill="auto"/>
            <w:vAlign w:val="bottom"/>
          </w:tcPr>
          <w:p w14:paraId="39D977FD" w14:textId="77777777" w:rsidR="00996AD7" w:rsidRDefault="00996AD7">
            <w:pPr>
              <w:rPr>
                <w:rFonts w:ascii="宋体"/>
              </w:rPr>
            </w:pPr>
          </w:p>
        </w:tc>
        <w:tc>
          <w:tcPr>
            <w:tcW w:w="50" w:type="pct"/>
            <w:shd w:val="clear" w:color="auto" w:fill="auto"/>
            <w:vAlign w:val="bottom"/>
          </w:tcPr>
          <w:p w14:paraId="39D977FE" w14:textId="77777777" w:rsidR="00996AD7" w:rsidRDefault="00996AD7">
            <w:pPr>
              <w:rPr>
                <w:rFonts w:ascii="宋体"/>
              </w:rPr>
            </w:pPr>
          </w:p>
        </w:tc>
        <w:tc>
          <w:tcPr>
            <w:tcW w:w="492" w:type="pct"/>
            <w:shd w:val="clear" w:color="auto" w:fill="auto"/>
            <w:vAlign w:val="bottom"/>
          </w:tcPr>
          <w:p w14:paraId="39D977FF" w14:textId="77777777" w:rsidR="00996AD7" w:rsidRDefault="00996AD7">
            <w:pPr>
              <w:rPr>
                <w:rFonts w:ascii="宋体"/>
              </w:rPr>
            </w:pPr>
          </w:p>
        </w:tc>
        <w:tc>
          <w:tcPr>
            <w:tcW w:w="5" w:type="pct"/>
            <w:shd w:val="clear" w:color="auto" w:fill="auto"/>
            <w:vAlign w:val="bottom"/>
          </w:tcPr>
          <w:p w14:paraId="39D97800" w14:textId="77777777" w:rsidR="00996AD7" w:rsidRDefault="00996AD7">
            <w:pPr>
              <w:rPr>
                <w:rFonts w:ascii="宋体"/>
              </w:rPr>
            </w:pPr>
          </w:p>
        </w:tc>
        <w:tc>
          <w:tcPr>
            <w:tcW w:w="5" w:type="pct"/>
            <w:shd w:val="clear" w:color="auto" w:fill="auto"/>
            <w:vAlign w:val="bottom"/>
          </w:tcPr>
          <w:p w14:paraId="39D97801" w14:textId="77777777" w:rsidR="00996AD7" w:rsidRDefault="00996AD7">
            <w:pPr>
              <w:rPr>
                <w:rFonts w:ascii="宋体"/>
              </w:rPr>
            </w:pPr>
          </w:p>
        </w:tc>
        <w:tc>
          <w:tcPr>
            <w:tcW w:w="24" w:type="pct"/>
            <w:shd w:val="clear" w:color="auto" w:fill="auto"/>
            <w:vAlign w:val="bottom"/>
          </w:tcPr>
          <w:p w14:paraId="39D97802" w14:textId="77777777" w:rsidR="00996AD7" w:rsidRDefault="00996AD7">
            <w:pPr>
              <w:rPr>
                <w:rFonts w:ascii="宋体"/>
              </w:rPr>
            </w:pPr>
          </w:p>
        </w:tc>
        <w:tc>
          <w:tcPr>
            <w:tcW w:w="5" w:type="pct"/>
            <w:shd w:val="clear" w:color="auto" w:fill="auto"/>
            <w:vAlign w:val="bottom"/>
          </w:tcPr>
          <w:p w14:paraId="39D97803" w14:textId="77777777" w:rsidR="00996AD7" w:rsidRDefault="00996AD7">
            <w:pPr>
              <w:rPr>
                <w:rFonts w:ascii="宋体"/>
              </w:rPr>
            </w:pPr>
          </w:p>
        </w:tc>
        <w:tc>
          <w:tcPr>
            <w:tcW w:w="50" w:type="pct"/>
            <w:shd w:val="clear" w:color="auto" w:fill="auto"/>
            <w:vAlign w:val="bottom"/>
          </w:tcPr>
          <w:p w14:paraId="39D97804" w14:textId="77777777" w:rsidR="00996AD7" w:rsidRDefault="00996AD7">
            <w:pPr>
              <w:rPr>
                <w:rFonts w:ascii="宋体"/>
              </w:rPr>
            </w:pPr>
          </w:p>
        </w:tc>
        <w:tc>
          <w:tcPr>
            <w:tcW w:w="493" w:type="pct"/>
            <w:shd w:val="clear" w:color="auto" w:fill="auto"/>
            <w:vAlign w:val="bottom"/>
          </w:tcPr>
          <w:p w14:paraId="39D97805" w14:textId="77777777" w:rsidR="00996AD7" w:rsidRDefault="00996AD7">
            <w:pPr>
              <w:rPr>
                <w:rFonts w:ascii="宋体"/>
              </w:rPr>
            </w:pPr>
          </w:p>
        </w:tc>
        <w:tc>
          <w:tcPr>
            <w:tcW w:w="5" w:type="pct"/>
            <w:shd w:val="clear" w:color="auto" w:fill="auto"/>
            <w:vAlign w:val="bottom"/>
          </w:tcPr>
          <w:p w14:paraId="39D97806" w14:textId="77777777" w:rsidR="00996AD7" w:rsidRDefault="00996AD7">
            <w:pPr>
              <w:rPr>
                <w:rFonts w:ascii="宋体"/>
              </w:rPr>
            </w:pPr>
          </w:p>
        </w:tc>
      </w:tr>
      <w:tr w:rsidR="00996AD7" w14:paraId="39D97811" w14:textId="77777777">
        <w:trPr>
          <w:trHeight w:val="420"/>
        </w:trPr>
        <w:tc>
          <w:tcPr>
            <w:tcW w:w="0" w:type="auto"/>
            <w:gridSpan w:val="3"/>
            <w:shd w:val="clear" w:color="auto" w:fill="auto"/>
            <w:tcMar>
              <w:top w:w="0" w:type="dxa"/>
              <w:left w:w="20" w:type="dxa"/>
              <w:bottom w:w="0" w:type="dxa"/>
              <w:right w:w="20" w:type="dxa"/>
            </w:tcMar>
            <w:vAlign w:val="bottom"/>
          </w:tcPr>
          <w:p w14:paraId="39D9780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809"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780A" w14:textId="77777777" w:rsidR="00996AD7" w:rsidRDefault="00D96458">
            <w:pPr>
              <w:jc w:val="center"/>
              <w:textAlignment w:val="bottom"/>
            </w:pPr>
            <w:r>
              <w:rPr>
                <w:rFonts w:ascii="Arial" w:eastAsia="宋体" w:hAnsi="Arial" w:cs="Arial"/>
                <w:b/>
                <w:bCs/>
                <w:color w:val="262626"/>
                <w:sz w:val="18"/>
                <w:szCs w:val="18"/>
              </w:rPr>
              <w:t>Common Stock and Capital in Excess of Par Value</w:t>
            </w:r>
          </w:p>
        </w:tc>
        <w:tc>
          <w:tcPr>
            <w:tcW w:w="0" w:type="auto"/>
            <w:gridSpan w:val="3"/>
            <w:shd w:val="clear" w:color="auto" w:fill="auto"/>
            <w:tcMar>
              <w:top w:w="0" w:type="dxa"/>
              <w:left w:w="20" w:type="dxa"/>
              <w:bottom w:w="0" w:type="dxa"/>
              <w:right w:w="20" w:type="dxa"/>
            </w:tcMar>
            <w:vAlign w:val="bottom"/>
          </w:tcPr>
          <w:p w14:paraId="39D9780B" w14:textId="77777777" w:rsidR="00996AD7" w:rsidRDefault="00996AD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D9780C" w14:textId="77777777" w:rsidR="00996AD7" w:rsidRDefault="00D96458">
            <w:pPr>
              <w:jc w:val="center"/>
              <w:textAlignment w:val="bottom"/>
            </w:pPr>
            <w:r>
              <w:rPr>
                <w:rFonts w:ascii="Arial" w:eastAsia="宋体" w:hAnsi="Arial" w:cs="Arial"/>
                <w:b/>
                <w:bCs/>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vAlign w:val="bottom"/>
          </w:tcPr>
          <w:p w14:paraId="39D9780D" w14:textId="77777777" w:rsidR="00996AD7" w:rsidRDefault="00996AD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D9780E" w14:textId="77777777" w:rsidR="00996AD7" w:rsidRDefault="00D96458">
            <w:pPr>
              <w:jc w:val="center"/>
              <w:textAlignment w:val="bottom"/>
            </w:pPr>
            <w:r>
              <w:rPr>
                <w:rFonts w:ascii="Arial" w:eastAsia="宋体" w:hAnsi="Arial" w:cs="Arial"/>
                <w:b/>
                <w:bCs/>
                <w:color w:val="262626"/>
                <w:sz w:val="18"/>
                <w:szCs w:val="18"/>
              </w:rPr>
              <w:t>Retained Earnings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39D9780F" w14:textId="77777777" w:rsidR="00996AD7" w:rsidRDefault="00996AD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D97810" w14:textId="77777777" w:rsidR="00996AD7" w:rsidRDefault="00D96458">
            <w:pPr>
              <w:jc w:val="center"/>
              <w:textAlignment w:val="bottom"/>
            </w:pPr>
            <w:r>
              <w:rPr>
                <w:rFonts w:ascii="Arial" w:eastAsia="宋体" w:hAnsi="Arial" w:cs="Arial"/>
                <w:b/>
                <w:bCs/>
                <w:color w:val="262626"/>
                <w:sz w:val="18"/>
                <w:szCs w:val="18"/>
              </w:rPr>
              <w:t>Total</w:t>
            </w:r>
          </w:p>
        </w:tc>
      </w:tr>
      <w:tr w:rsidR="00996AD7" w14:paraId="39D9781D" w14:textId="77777777">
        <w:trPr>
          <w:trHeight w:val="400"/>
        </w:trPr>
        <w:tc>
          <w:tcPr>
            <w:tcW w:w="0" w:type="auto"/>
            <w:gridSpan w:val="3"/>
            <w:shd w:val="clear" w:color="auto" w:fill="auto"/>
            <w:tcMar>
              <w:top w:w="40" w:type="dxa"/>
              <w:left w:w="20" w:type="dxa"/>
              <w:bottom w:w="40" w:type="dxa"/>
              <w:right w:w="20" w:type="dxa"/>
            </w:tcMar>
            <w:vAlign w:val="bottom"/>
          </w:tcPr>
          <w:p w14:paraId="39D97812" w14:textId="77777777" w:rsidR="00996AD7" w:rsidRDefault="00D96458">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 Except Per Share Amounts; Unaudited)</w:t>
            </w:r>
          </w:p>
        </w:tc>
        <w:tc>
          <w:tcPr>
            <w:tcW w:w="0" w:type="auto"/>
            <w:gridSpan w:val="3"/>
            <w:shd w:val="clear" w:color="auto" w:fill="auto"/>
            <w:tcMar>
              <w:top w:w="0" w:type="dxa"/>
              <w:left w:w="20" w:type="dxa"/>
              <w:bottom w:w="0" w:type="dxa"/>
              <w:right w:w="20" w:type="dxa"/>
            </w:tcMar>
            <w:vAlign w:val="bottom"/>
          </w:tcPr>
          <w:p w14:paraId="39D97813"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814" w14:textId="77777777" w:rsidR="00996AD7" w:rsidRDefault="00D96458">
            <w:pPr>
              <w:jc w:val="center"/>
              <w:textAlignment w:val="bottom"/>
            </w:pPr>
            <w:r>
              <w:rPr>
                <w:rFonts w:ascii="Arial" w:eastAsia="宋体" w:hAnsi="Arial" w:cs="Arial"/>
                <w:b/>
                <w:bCs/>
                <w:color w:val="262626"/>
                <w:sz w:val="18"/>
                <w:szCs w:val="18"/>
              </w:rPr>
              <w:t>Shares</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815"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816" w14:textId="77777777" w:rsidR="00996AD7" w:rsidRDefault="00D96458">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vAlign w:val="bottom"/>
          </w:tcPr>
          <w:p w14:paraId="39D97817" w14:textId="77777777" w:rsidR="00996AD7" w:rsidRDefault="00996AD7">
            <w:pPr>
              <w:rPr>
                <w:rFonts w:ascii="宋体"/>
              </w:rPr>
            </w:pPr>
          </w:p>
        </w:tc>
        <w:tc>
          <w:tcPr>
            <w:tcW w:w="0" w:type="auto"/>
            <w:gridSpan w:val="3"/>
            <w:vMerge/>
            <w:shd w:val="clear" w:color="auto" w:fill="auto"/>
            <w:tcMar>
              <w:top w:w="40" w:type="dxa"/>
              <w:left w:w="20" w:type="dxa"/>
              <w:bottom w:w="40" w:type="dxa"/>
              <w:right w:w="20" w:type="dxa"/>
            </w:tcMar>
            <w:vAlign w:val="bottom"/>
          </w:tcPr>
          <w:p w14:paraId="39D97818" w14:textId="77777777" w:rsidR="00996AD7" w:rsidRDefault="00996AD7">
            <w:pPr>
              <w:jc w:val="center"/>
              <w:rPr>
                <w:rFonts w:ascii="宋体"/>
              </w:rPr>
            </w:pPr>
          </w:p>
        </w:tc>
        <w:tc>
          <w:tcPr>
            <w:tcW w:w="0" w:type="auto"/>
            <w:gridSpan w:val="3"/>
            <w:shd w:val="clear" w:color="auto" w:fill="auto"/>
            <w:tcMar>
              <w:top w:w="0" w:type="dxa"/>
              <w:left w:w="20" w:type="dxa"/>
              <w:bottom w:w="0" w:type="dxa"/>
              <w:right w:w="20" w:type="dxa"/>
            </w:tcMar>
            <w:vAlign w:val="bottom"/>
          </w:tcPr>
          <w:p w14:paraId="39D97819" w14:textId="77777777" w:rsidR="00996AD7" w:rsidRDefault="00996AD7">
            <w:pPr>
              <w:rPr>
                <w:rFonts w:ascii="宋体"/>
              </w:rPr>
            </w:pPr>
          </w:p>
        </w:tc>
        <w:tc>
          <w:tcPr>
            <w:tcW w:w="0" w:type="auto"/>
            <w:gridSpan w:val="3"/>
            <w:vMerge/>
            <w:shd w:val="clear" w:color="auto" w:fill="auto"/>
            <w:tcMar>
              <w:top w:w="40" w:type="dxa"/>
              <w:left w:w="20" w:type="dxa"/>
              <w:bottom w:w="40" w:type="dxa"/>
              <w:right w:w="20" w:type="dxa"/>
            </w:tcMar>
            <w:vAlign w:val="bottom"/>
          </w:tcPr>
          <w:p w14:paraId="39D9781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81B" w14:textId="77777777" w:rsidR="00996AD7" w:rsidRDefault="00996AD7">
            <w:pPr>
              <w:rPr>
                <w:rFonts w:ascii="宋体"/>
              </w:rPr>
            </w:pPr>
          </w:p>
        </w:tc>
        <w:tc>
          <w:tcPr>
            <w:tcW w:w="0" w:type="auto"/>
            <w:gridSpan w:val="3"/>
            <w:vMerge/>
            <w:shd w:val="clear" w:color="auto" w:fill="auto"/>
            <w:tcMar>
              <w:top w:w="40" w:type="dxa"/>
              <w:left w:w="20" w:type="dxa"/>
              <w:bottom w:w="40" w:type="dxa"/>
              <w:right w:w="20" w:type="dxa"/>
            </w:tcMar>
            <w:vAlign w:val="bottom"/>
          </w:tcPr>
          <w:p w14:paraId="39D9781C" w14:textId="77777777" w:rsidR="00996AD7" w:rsidRDefault="00996AD7">
            <w:pPr>
              <w:jc w:val="center"/>
              <w:rPr>
                <w:rFonts w:ascii="宋体"/>
              </w:rPr>
            </w:pPr>
          </w:p>
        </w:tc>
      </w:tr>
      <w:tr w:rsidR="00996AD7" w14:paraId="39D97829"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781E" w14:textId="77777777" w:rsidR="00996AD7" w:rsidRDefault="00D96458">
            <w:pPr>
              <w:textAlignment w:val="bottom"/>
            </w:pPr>
            <w:r>
              <w:rPr>
                <w:rFonts w:ascii="Arial" w:eastAsia="宋体" w:hAnsi="Arial" w:cs="Arial"/>
                <w:b/>
                <w:bCs/>
                <w:color w:val="262626"/>
                <w:sz w:val="18"/>
                <w:szCs w:val="18"/>
              </w:rPr>
              <w:t>Three Months Ended</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1F"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0"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1"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2"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3"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4"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5"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6"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7"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8" w14:textId="77777777" w:rsidR="00996AD7" w:rsidRDefault="00996AD7">
            <w:pPr>
              <w:rPr>
                <w:rFonts w:ascii="宋体"/>
              </w:rPr>
            </w:pPr>
          </w:p>
        </w:tc>
      </w:tr>
      <w:tr w:rsidR="00996AD7" w14:paraId="39D97835"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A"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B"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C"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D"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E"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2F"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30"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31"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32"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33"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834" w14:textId="77777777" w:rsidR="00996AD7" w:rsidRDefault="00996AD7">
            <w:pPr>
              <w:rPr>
                <w:rFonts w:ascii="宋体"/>
              </w:rPr>
            </w:pPr>
          </w:p>
        </w:tc>
      </w:tr>
      <w:tr w:rsidR="00996AD7" w14:paraId="39D9784A" w14:textId="77777777">
        <w:tc>
          <w:tcPr>
            <w:tcW w:w="0" w:type="auto"/>
            <w:gridSpan w:val="3"/>
            <w:shd w:val="clear" w:color="auto" w:fill="auto"/>
            <w:tcMar>
              <w:top w:w="40" w:type="dxa"/>
              <w:left w:w="20" w:type="dxa"/>
              <w:bottom w:w="40" w:type="dxa"/>
              <w:right w:w="20" w:type="dxa"/>
            </w:tcMar>
            <w:vAlign w:val="bottom"/>
          </w:tcPr>
          <w:p w14:paraId="39D97836" w14:textId="77777777" w:rsidR="00996AD7" w:rsidRDefault="00D96458">
            <w:pPr>
              <w:textAlignment w:val="bottom"/>
            </w:pPr>
            <w:r>
              <w:rPr>
                <w:rFonts w:ascii="Arial" w:eastAsia="宋体" w:hAnsi="Arial" w:cs="Arial"/>
                <w:b/>
                <w:bCs/>
                <w:color w:val="262626"/>
                <w:sz w:val="18"/>
                <w:szCs w:val="18"/>
              </w:rPr>
              <w:t>Balance as of June 26, 2021</w:t>
            </w:r>
          </w:p>
        </w:tc>
        <w:tc>
          <w:tcPr>
            <w:tcW w:w="0" w:type="auto"/>
            <w:gridSpan w:val="3"/>
            <w:shd w:val="clear" w:color="auto" w:fill="auto"/>
            <w:tcMar>
              <w:top w:w="0" w:type="dxa"/>
              <w:left w:w="20" w:type="dxa"/>
              <w:bottom w:w="0" w:type="dxa"/>
              <w:right w:w="20" w:type="dxa"/>
            </w:tcMar>
            <w:vAlign w:val="bottom"/>
          </w:tcPr>
          <w:p w14:paraId="39D9783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38" w14:textId="77777777" w:rsidR="00996AD7" w:rsidRDefault="00D96458">
            <w:pPr>
              <w:jc w:val="right"/>
              <w:textAlignment w:val="bottom"/>
            </w:pPr>
            <w:r>
              <w:rPr>
                <w:rFonts w:ascii="Arial" w:eastAsia="宋体" w:hAnsi="Arial" w:cs="Arial"/>
                <w:b/>
                <w:bCs/>
                <w:color w:val="262626"/>
                <w:sz w:val="18"/>
                <w:szCs w:val="18"/>
              </w:rPr>
              <w:t>4,057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83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3A"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83B"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83C" w14:textId="77777777" w:rsidR="00996AD7" w:rsidRDefault="00D96458">
            <w:pPr>
              <w:jc w:val="right"/>
              <w:textAlignment w:val="bottom"/>
            </w:pPr>
            <w:r>
              <w:rPr>
                <w:rFonts w:ascii="Arial" w:eastAsia="宋体" w:hAnsi="Arial" w:cs="Arial"/>
                <w:b/>
                <w:bCs/>
                <w:color w:val="262626"/>
                <w:sz w:val="18"/>
                <w:szCs w:val="18"/>
              </w:rPr>
              <w:t>26,655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83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3E"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83F"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840" w14:textId="77777777" w:rsidR="00996AD7" w:rsidRDefault="00D96458">
            <w:pPr>
              <w:jc w:val="right"/>
              <w:textAlignment w:val="bottom"/>
            </w:pPr>
            <w:r>
              <w:rPr>
                <w:rFonts w:ascii="Arial" w:eastAsia="宋体" w:hAnsi="Arial" w:cs="Arial"/>
                <w:b/>
                <w:bCs/>
                <w:color w:val="262626"/>
                <w:sz w:val="18"/>
                <w:szCs w:val="18"/>
              </w:rPr>
              <w:t>(1,095)</w:t>
            </w:r>
          </w:p>
        </w:tc>
        <w:tc>
          <w:tcPr>
            <w:tcW w:w="0" w:type="auto"/>
            <w:shd w:val="clear" w:color="auto" w:fill="auto"/>
            <w:tcMar>
              <w:top w:w="40" w:type="dxa"/>
              <w:left w:w="0" w:type="dxa"/>
              <w:bottom w:w="40" w:type="dxa"/>
              <w:right w:w="20" w:type="dxa"/>
            </w:tcMar>
            <w:vAlign w:val="bottom"/>
          </w:tcPr>
          <w:p w14:paraId="39D9784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42"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843"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844" w14:textId="77777777" w:rsidR="00996AD7" w:rsidRDefault="00D96458">
            <w:pPr>
              <w:jc w:val="right"/>
              <w:textAlignment w:val="bottom"/>
            </w:pPr>
            <w:r>
              <w:rPr>
                <w:rFonts w:ascii="Arial" w:eastAsia="宋体" w:hAnsi="Arial" w:cs="Arial"/>
                <w:b/>
                <w:bCs/>
                <w:color w:val="262626"/>
                <w:sz w:val="18"/>
                <w:szCs w:val="18"/>
              </w:rPr>
              <w:t>59,647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84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46"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847"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848" w14:textId="77777777" w:rsidR="00996AD7" w:rsidRDefault="00D96458">
            <w:pPr>
              <w:jc w:val="right"/>
              <w:textAlignment w:val="bottom"/>
            </w:pPr>
            <w:r>
              <w:rPr>
                <w:rFonts w:ascii="Arial" w:eastAsia="宋体" w:hAnsi="Arial" w:cs="Arial"/>
                <w:b/>
                <w:bCs/>
                <w:color w:val="262626"/>
                <w:sz w:val="18"/>
                <w:szCs w:val="18"/>
              </w:rPr>
              <w:t>85,207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849" w14:textId="77777777" w:rsidR="00996AD7" w:rsidRDefault="00996AD7">
            <w:pPr>
              <w:jc w:val="right"/>
              <w:rPr>
                <w:rFonts w:ascii="宋体"/>
              </w:rPr>
            </w:pPr>
          </w:p>
        </w:tc>
      </w:tr>
      <w:tr w:rsidR="00996AD7" w14:paraId="39D9785B" w14:textId="77777777">
        <w:tc>
          <w:tcPr>
            <w:tcW w:w="0" w:type="auto"/>
            <w:gridSpan w:val="3"/>
            <w:shd w:val="clear" w:color="auto" w:fill="auto"/>
            <w:tcMar>
              <w:top w:w="40" w:type="dxa"/>
              <w:left w:w="20" w:type="dxa"/>
              <w:bottom w:w="40" w:type="dxa"/>
              <w:right w:w="20" w:type="dxa"/>
            </w:tcMar>
            <w:vAlign w:val="bottom"/>
          </w:tcPr>
          <w:p w14:paraId="39D9784B" w14:textId="77777777" w:rsidR="00996AD7" w:rsidRDefault="00D96458">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39D9784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4D"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4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4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50"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5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5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53"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5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5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56" w14:textId="77777777" w:rsidR="00996AD7" w:rsidRDefault="00D96458">
            <w:pPr>
              <w:jc w:val="right"/>
              <w:textAlignment w:val="bottom"/>
            </w:pPr>
            <w:r>
              <w:rPr>
                <w:rFonts w:ascii="Arial" w:eastAsia="宋体" w:hAnsi="Arial" w:cs="Arial"/>
                <w:color w:val="0068B5"/>
                <w:sz w:val="18"/>
                <w:szCs w:val="18"/>
              </w:rPr>
              <w:t>6,823 </w:t>
            </w:r>
          </w:p>
        </w:tc>
        <w:tc>
          <w:tcPr>
            <w:tcW w:w="0" w:type="auto"/>
            <w:shd w:val="clear" w:color="auto" w:fill="auto"/>
            <w:tcMar>
              <w:top w:w="40" w:type="dxa"/>
              <w:left w:w="0" w:type="dxa"/>
              <w:bottom w:w="40" w:type="dxa"/>
              <w:right w:w="20" w:type="dxa"/>
            </w:tcMar>
            <w:vAlign w:val="bottom"/>
          </w:tcPr>
          <w:p w14:paraId="39D9785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5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59" w14:textId="77777777" w:rsidR="00996AD7" w:rsidRDefault="00D96458">
            <w:pPr>
              <w:jc w:val="right"/>
              <w:textAlignment w:val="bottom"/>
            </w:pPr>
            <w:r>
              <w:rPr>
                <w:rFonts w:ascii="Arial" w:eastAsia="宋体" w:hAnsi="Arial" w:cs="Arial"/>
                <w:color w:val="0068B5"/>
                <w:sz w:val="18"/>
                <w:szCs w:val="18"/>
              </w:rPr>
              <w:t>6,823 </w:t>
            </w:r>
          </w:p>
        </w:tc>
        <w:tc>
          <w:tcPr>
            <w:tcW w:w="0" w:type="auto"/>
            <w:shd w:val="clear" w:color="auto" w:fill="auto"/>
            <w:tcMar>
              <w:top w:w="40" w:type="dxa"/>
              <w:left w:w="0" w:type="dxa"/>
              <w:bottom w:w="40" w:type="dxa"/>
              <w:right w:w="20" w:type="dxa"/>
            </w:tcMar>
            <w:vAlign w:val="bottom"/>
          </w:tcPr>
          <w:p w14:paraId="39D9785A" w14:textId="77777777" w:rsidR="00996AD7" w:rsidRDefault="00996AD7">
            <w:pPr>
              <w:jc w:val="right"/>
              <w:rPr>
                <w:rFonts w:ascii="宋体"/>
              </w:rPr>
            </w:pPr>
          </w:p>
        </w:tc>
      </w:tr>
      <w:tr w:rsidR="00996AD7" w14:paraId="39D9786C" w14:textId="77777777">
        <w:tc>
          <w:tcPr>
            <w:tcW w:w="0" w:type="auto"/>
            <w:gridSpan w:val="3"/>
            <w:shd w:val="clear" w:color="auto" w:fill="auto"/>
            <w:tcMar>
              <w:top w:w="40" w:type="dxa"/>
              <w:left w:w="20" w:type="dxa"/>
              <w:bottom w:w="40" w:type="dxa"/>
              <w:right w:w="20" w:type="dxa"/>
            </w:tcMar>
            <w:vAlign w:val="bottom"/>
          </w:tcPr>
          <w:p w14:paraId="39D9785C" w14:textId="77777777" w:rsidR="00996AD7" w:rsidRDefault="00D9645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39D9785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5E"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5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6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61"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6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6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64" w14:textId="77777777" w:rsidR="00996AD7" w:rsidRDefault="00D96458">
            <w:pPr>
              <w:jc w:val="right"/>
              <w:textAlignment w:val="bottom"/>
            </w:pPr>
            <w:r>
              <w:rPr>
                <w:rFonts w:ascii="Arial" w:eastAsia="宋体" w:hAnsi="Arial" w:cs="Arial"/>
                <w:color w:val="0068B5"/>
                <w:sz w:val="18"/>
                <w:szCs w:val="18"/>
              </w:rPr>
              <w:t>(52)</w:t>
            </w:r>
          </w:p>
        </w:tc>
        <w:tc>
          <w:tcPr>
            <w:tcW w:w="0" w:type="auto"/>
            <w:shd w:val="clear" w:color="auto" w:fill="auto"/>
            <w:tcMar>
              <w:top w:w="40" w:type="dxa"/>
              <w:left w:w="0" w:type="dxa"/>
              <w:bottom w:w="40" w:type="dxa"/>
              <w:right w:w="20" w:type="dxa"/>
            </w:tcMar>
            <w:vAlign w:val="bottom"/>
          </w:tcPr>
          <w:p w14:paraId="39D9786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6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67"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6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6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6A" w14:textId="77777777" w:rsidR="00996AD7" w:rsidRDefault="00D96458">
            <w:pPr>
              <w:jc w:val="right"/>
              <w:textAlignment w:val="bottom"/>
            </w:pPr>
            <w:r>
              <w:rPr>
                <w:rFonts w:ascii="Arial" w:eastAsia="宋体" w:hAnsi="Arial" w:cs="Arial"/>
                <w:color w:val="0068B5"/>
                <w:sz w:val="18"/>
                <w:szCs w:val="18"/>
              </w:rPr>
              <w:t>(52)</w:t>
            </w:r>
          </w:p>
        </w:tc>
        <w:tc>
          <w:tcPr>
            <w:tcW w:w="0" w:type="auto"/>
            <w:shd w:val="clear" w:color="auto" w:fill="auto"/>
            <w:tcMar>
              <w:top w:w="40" w:type="dxa"/>
              <w:left w:w="0" w:type="dxa"/>
              <w:bottom w:w="40" w:type="dxa"/>
              <w:right w:w="20" w:type="dxa"/>
            </w:tcMar>
            <w:vAlign w:val="bottom"/>
          </w:tcPr>
          <w:p w14:paraId="39D9786B" w14:textId="77777777" w:rsidR="00996AD7" w:rsidRDefault="00996AD7">
            <w:pPr>
              <w:jc w:val="right"/>
              <w:rPr>
                <w:rFonts w:ascii="宋体"/>
              </w:rPr>
            </w:pPr>
          </w:p>
        </w:tc>
      </w:tr>
      <w:tr w:rsidR="00996AD7" w14:paraId="39D9787D" w14:textId="77777777">
        <w:tc>
          <w:tcPr>
            <w:tcW w:w="0" w:type="auto"/>
            <w:gridSpan w:val="3"/>
            <w:shd w:val="clear" w:color="auto" w:fill="auto"/>
            <w:tcMar>
              <w:top w:w="40" w:type="dxa"/>
              <w:left w:w="20" w:type="dxa"/>
              <w:bottom w:w="40" w:type="dxa"/>
              <w:right w:w="20" w:type="dxa"/>
            </w:tcMar>
            <w:vAlign w:val="bottom"/>
          </w:tcPr>
          <w:p w14:paraId="39D9786D" w14:textId="77777777" w:rsidR="00996AD7" w:rsidRDefault="00D9645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39D9786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6F" w14:textId="77777777" w:rsidR="00996AD7" w:rsidRDefault="00D96458">
            <w:pPr>
              <w:jc w:val="right"/>
              <w:textAlignment w:val="bottom"/>
            </w:pPr>
            <w:r>
              <w:rPr>
                <w:rFonts w:ascii="Arial" w:eastAsia="宋体" w:hAnsi="Arial" w:cs="Arial"/>
                <w:color w:val="0068B5"/>
                <w:sz w:val="18"/>
                <w:szCs w:val="18"/>
              </w:rPr>
              <w:t>11 </w:t>
            </w:r>
          </w:p>
        </w:tc>
        <w:tc>
          <w:tcPr>
            <w:tcW w:w="0" w:type="auto"/>
            <w:shd w:val="clear" w:color="auto" w:fill="auto"/>
            <w:tcMar>
              <w:top w:w="40" w:type="dxa"/>
              <w:left w:w="0" w:type="dxa"/>
              <w:bottom w:w="40" w:type="dxa"/>
              <w:right w:w="20" w:type="dxa"/>
            </w:tcMar>
            <w:vAlign w:val="bottom"/>
          </w:tcPr>
          <w:p w14:paraId="39D9787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7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72" w14:textId="77777777" w:rsidR="00996AD7" w:rsidRDefault="00D96458">
            <w:pPr>
              <w:jc w:val="right"/>
              <w:textAlignment w:val="bottom"/>
            </w:pPr>
            <w:r>
              <w:rPr>
                <w:rFonts w:ascii="Arial" w:eastAsia="宋体" w:hAnsi="Arial" w:cs="Arial"/>
                <w:color w:val="0068B5"/>
                <w:sz w:val="18"/>
                <w:szCs w:val="18"/>
              </w:rPr>
              <w:t>427 </w:t>
            </w:r>
          </w:p>
        </w:tc>
        <w:tc>
          <w:tcPr>
            <w:tcW w:w="0" w:type="auto"/>
            <w:shd w:val="clear" w:color="auto" w:fill="auto"/>
            <w:tcMar>
              <w:top w:w="40" w:type="dxa"/>
              <w:left w:w="0" w:type="dxa"/>
              <w:bottom w:w="40" w:type="dxa"/>
              <w:right w:w="20" w:type="dxa"/>
            </w:tcMar>
            <w:vAlign w:val="bottom"/>
          </w:tcPr>
          <w:p w14:paraId="39D9787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7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75"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7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7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78"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7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7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7B" w14:textId="77777777" w:rsidR="00996AD7" w:rsidRDefault="00D96458">
            <w:pPr>
              <w:jc w:val="right"/>
              <w:textAlignment w:val="bottom"/>
            </w:pPr>
            <w:r>
              <w:rPr>
                <w:rFonts w:ascii="Arial" w:eastAsia="宋体" w:hAnsi="Arial" w:cs="Arial"/>
                <w:color w:val="0068B5"/>
                <w:sz w:val="18"/>
                <w:szCs w:val="18"/>
              </w:rPr>
              <w:t>427 </w:t>
            </w:r>
          </w:p>
        </w:tc>
        <w:tc>
          <w:tcPr>
            <w:tcW w:w="0" w:type="auto"/>
            <w:shd w:val="clear" w:color="auto" w:fill="auto"/>
            <w:tcMar>
              <w:top w:w="40" w:type="dxa"/>
              <w:left w:w="0" w:type="dxa"/>
              <w:bottom w:w="40" w:type="dxa"/>
              <w:right w:w="20" w:type="dxa"/>
            </w:tcMar>
            <w:vAlign w:val="bottom"/>
          </w:tcPr>
          <w:p w14:paraId="39D9787C" w14:textId="77777777" w:rsidR="00996AD7" w:rsidRDefault="00996AD7">
            <w:pPr>
              <w:jc w:val="right"/>
              <w:rPr>
                <w:rFonts w:ascii="宋体"/>
              </w:rPr>
            </w:pPr>
          </w:p>
        </w:tc>
      </w:tr>
      <w:tr w:rsidR="00996AD7" w14:paraId="39D9788E" w14:textId="77777777">
        <w:tc>
          <w:tcPr>
            <w:tcW w:w="0" w:type="auto"/>
            <w:gridSpan w:val="3"/>
            <w:shd w:val="clear" w:color="auto" w:fill="auto"/>
            <w:tcMar>
              <w:top w:w="40" w:type="dxa"/>
              <w:left w:w="20" w:type="dxa"/>
              <w:bottom w:w="40" w:type="dxa"/>
              <w:right w:w="20" w:type="dxa"/>
            </w:tcMar>
            <w:vAlign w:val="bottom"/>
          </w:tcPr>
          <w:p w14:paraId="39D9787E" w14:textId="77777777" w:rsidR="00996AD7" w:rsidRDefault="00D9645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39D9787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80"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8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8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83" w14:textId="77777777" w:rsidR="00996AD7" w:rsidRDefault="00D96458">
            <w:pPr>
              <w:jc w:val="right"/>
              <w:textAlignment w:val="bottom"/>
            </w:pPr>
            <w:r>
              <w:rPr>
                <w:rFonts w:ascii="Arial" w:eastAsia="宋体" w:hAnsi="Arial" w:cs="Arial"/>
                <w:color w:val="0068B5"/>
                <w:sz w:val="18"/>
                <w:szCs w:val="18"/>
              </w:rPr>
              <w:t>543 </w:t>
            </w:r>
          </w:p>
        </w:tc>
        <w:tc>
          <w:tcPr>
            <w:tcW w:w="0" w:type="auto"/>
            <w:shd w:val="clear" w:color="auto" w:fill="auto"/>
            <w:tcMar>
              <w:top w:w="40" w:type="dxa"/>
              <w:left w:w="0" w:type="dxa"/>
              <w:bottom w:w="40" w:type="dxa"/>
              <w:right w:w="20" w:type="dxa"/>
            </w:tcMar>
            <w:vAlign w:val="bottom"/>
          </w:tcPr>
          <w:p w14:paraId="39D9788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8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86"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8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8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89"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8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8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8C" w14:textId="77777777" w:rsidR="00996AD7" w:rsidRDefault="00D96458">
            <w:pPr>
              <w:jc w:val="right"/>
              <w:textAlignment w:val="bottom"/>
            </w:pPr>
            <w:r>
              <w:rPr>
                <w:rFonts w:ascii="Arial" w:eastAsia="宋体" w:hAnsi="Arial" w:cs="Arial"/>
                <w:color w:val="0068B5"/>
                <w:sz w:val="18"/>
                <w:szCs w:val="18"/>
              </w:rPr>
              <w:t>543 </w:t>
            </w:r>
          </w:p>
        </w:tc>
        <w:tc>
          <w:tcPr>
            <w:tcW w:w="0" w:type="auto"/>
            <w:shd w:val="clear" w:color="auto" w:fill="auto"/>
            <w:tcMar>
              <w:top w:w="40" w:type="dxa"/>
              <w:left w:w="0" w:type="dxa"/>
              <w:bottom w:w="40" w:type="dxa"/>
              <w:right w:w="20" w:type="dxa"/>
            </w:tcMar>
            <w:vAlign w:val="bottom"/>
          </w:tcPr>
          <w:p w14:paraId="39D9788D" w14:textId="77777777" w:rsidR="00996AD7" w:rsidRDefault="00996AD7">
            <w:pPr>
              <w:jc w:val="right"/>
              <w:rPr>
                <w:rFonts w:ascii="宋体"/>
              </w:rPr>
            </w:pPr>
          </w:p>
        </w:tc>
      </w:tr>
      <w:tr w:rsidR="00996AD7" w14:paraId="39D9789A" w14:textId="77777777">
        <w:trPr>
          <w:hidden/>
        </w:trPr>
        <w:tc>
          <w:tcPr>
            <w:tcW w:w="0" w:type="auto"/>
            <w:gridSpan w:val="3"/>
            <w:shd w:val="clear" w:color="auto" w:fill="auto"/>
            <w:vAlign w:val="bottom"/>
          </w:tcPr>
          <w:p w14:paraId="39D9788F" w14:textId="77777777" w:rsidR="00996AD7" w:rsidRDefault="00996AD7">
            <w:pPr>
              <w:rPr>
                <w:rFonts w:ascii="宋体"/>
                <w:vanish/>
              </w:rPr>
            </w:pPr>
          </w:p>
        </w:tc>
        <w:tc>
          <w:tcPr>
            <w:tcW w:w="0" w:type="auto"/>
            <w:gridSpan w:val="3"/>
            <w:shd w:val="clear" w:color="auto" w:fill="auto"/>
            <w:vAlign w:val="bottom"/>
          </w:tcPr>
          <w:p w14:paraId="39D97890" w14:textId="77777777" w:rsidR="00996AD7" w:rsidRDefault="00996AD7">
            <w:pPr>
              <w:rPr>
                <w:rFonts w:ascii="宋体"/>
                <w:vanish/>
              </w:rPr>
            </w:pPr>
          </w:p>
        </w:tc>
        <w:tc>
          <w:tcPr>
            <w:tcW w:w="0" w:type="auto"/>
            <w:gridSpan w:val="3"/>
            <w:shd w:val="clear" w:color="auto" w:fill="auto"/>
            <w:vAlign w:val="bottom"/>
          </w:tcPr>
          <w:p w14:paraId="39D97891" w14:textId="77777777" w:rsidR="00996AD7" w:rsidRDefault="00996AD7">
            <w:pPr>
              <w:rPr>
                <w:rFonts w:ascii="宋体"/>
                <w:vanish/>
              </w:rPr>
            </w:pPr>
          </w:p>
        </w:tc>
        <w:tc>
          <w:tcPr>
            <w:tcW w:w="0" w:type="auto"/>
            <w:gridSpan w:val="3"/>
            <w:shd w:val="clear" w:color="auto" w:fill="auto"/>
            <w:vAlign w:val="bottom"/>
          </w:tcPr>
          <w:p w14:paraId="39D97892" w14:textId="77777777" w:rsidR="00996AD7" w:rsidRDefault="00996AD7">
            <w:pPr>
              <w:rPr>
                <w:rFonts w:ascii="宋体"/>
                <w:vanish/>
              </w:rPr>
            </w:pPr>
          </w:p>
        </w:tc>
        <w:tc>
          <w:tcPr>
            <w:tcW w:w="0" w:type="auto"/>
            <w:gridSpan w:val="3"/>
            <w:shd w:val="clear" w:color="auto" w:fill="auto"/>
            <w:vAlign w:val="bottom"/>
          </w:tcPr>
          <w:p w14:paraId="39D97893" w14:textId="77777777" w:rsidR="00996AD7" w:rsidRDefault="00996AD7">
            <w:pPr>
              <w:rPr>
                <w:rFonts w:ascii="宋体"/>
                <w:vanish/>
              </w:rPr>
            </w:pPr>
          </w:p>
        </w:tc>
        <w:tc>
          <w:tcPr>
            <w:tcW w:w="0" w:type="auto"/>
            <w:gridSpan w:val="3"/>
            <w:shd w:val="clear" w:color="auto" w:fill="auto"/>
            <w:vAlign w:val="bottom"/>
          </w:tcPr>
          <w:p w14:paraId="39D97894" w14:textId="77777777" w:rsidR="00996AD7" w:rsidRDefault="00996AD7">
            <w:pPr>
              <w:rPr>
                <w:rFonts w:ascii="宋体"/>
                <w:vanish/>
              </w:rPr>
            </w:pPr>
          </w:p>
        </w:tc>
        <w:tc>
          <w:tcPr>
            <w:tcW w:w="0" w:type="auto"/>
            <w:gridSpan w:val="3"/>
            <w:shd w:val="clear" w:color="auto" w:fill="auto"/>
            <w:vAlign w:val="bottom"/>
          </w:tcPr>
          <w:p w14:paraId="39D97895" w14:textId="77777777" w:rsidR="00996AD7" w:rsidRDefault="00996AD7">
            <w:pPr>
              <w:rPr>
                <w:rFonts w:ascii="宋体"/>
                <w:vanish/>
              </w:rPr>
            </w:pPr>
          </w:p>
        </w:tc>
        <w:tc>
          <w:tcPr>
            <w:tcW w:w="0" w:type="auto"/>
            <w:gridSpan w:val="3"/>
            <w:shd w:val="clear" w:color="auto" w:fill="auto"/>
            <w:vAlign w:val="bottom"/>
          </w:tcPr>
          <w:p w14:paraId="39D97896" w14:textId="77777777" w:rsidR="00996AD7" w:rsidRDefault="00996AD7">
            <w:pPr>
              <w:rPr>
                <w:rFonts w:ascii="宋体"/>
                <w:vanish/>
              </w:rPr>
            </w:pPr>
          </w:p>
        </w:tc>
        <w:tc>
          <w:tcPr>
            <w:tcW w:w="0" w:type="auto"/>
            <w:gridSpan w:val="3"/>
            <w:shd w:val="clear" w:color="auto" w:fill="auto"/>
            <w:vAlign w:val="bottom"/>
          </w:tcPr>
          <w:p w14:paraId="39D97897" w14:textId="77777777" w:rsidR="00996AD7" w:rsidRDefault="00996AD7">
            <w:pPr>
              <w:rPr>
                <w:rFonts w:ascii="宋体"/>
                <w:vanish/>
              </w:rPr>
            </w:pPr>
          </w:p>
        </w:tc>
        <w:tc>
          <w:tcPr>
            <w:tcW w:w="0" w:type="auto"/>
            <w:gridSpan w:val="3"/>
            <w:shd w:val="clear" w:color="auto" w:fill="auto"/>
            <w:vAlign w:val="bottom"/>
          </w:tcPr>
          <w:p w14:paraId="39D97898" w14:textId="77777777" w:rsidR="00996AD7" w:rsidRDefault="00996AD7">
            <w:pPr>
              <w:rPr>
                <w:rFonts w:ascii="宋体"/>
                <w:vanish/>
              </w:rPr>
            </w:pPr>
          </w:p>
        </w:tc>
        <w:tc>
          <w:tcPr>
            <w:tcW w:w="0" w:type="auto"/>
            <w:gridSpan w:val="3"/>
            <w:shd w:val="clear" w:color="auto" w:fill="auto"/>
            <w:vAlign w:val="bottom"/>
          </w:tcPr>
          <w:p w14:paraId="39D97899" w14:textId="77777777" w:rsidR="00996AD7" w:rsidRDefault="00996AD7">
            <w:pPr>
              <w:rPr>
                <w:rFonts w:ascii="宋体"/>
                <w:vanish/>
              </w:rPr>
            </w:pPr>
          </w:p>
        </w:tc>
      </w:tr>
      <w:tr w:rsidR="00996AD7" w14:paraId="39D978A6" w14:textId="77777777">
        <w:trPr>
          <w:hidden/>
        </w:trPr>
        <w:tc>
          <w:tcPr>
            <w:tcW w:w="0" w:type="auto"/>
            <w:gridSpan w:val="3"/>
            <w:shd w:val="clear" w:color="auto" w:fill="auto"/>
            <w:vAlign w:val="bottom"/>
          </w:tcPr>
          <w:p w14:paraId="39D9789B" w14:textId="77777777" w:rsidR="00996AD7" w:rsidRDefault="00996AD7">
            <w:pPr>
              <w:rPr>
                <w:rFonts w:ascii="宋体"/>
                <w:vanish/>
              </w:rPr>
            </w:pPr>
          </w:p>
        </w:tc>
        <w:tc>
          <w:tcPr>
            <w:tcW w:w="0" w:type="auto"/>
            <w:gridSpan w:val="3"/>
            <w:shd w:val="clear" w:color="auto" w:fill="auto"/>
            <w:vAlign w:val="bottom"/>
          </w:tcPr>
          <w:p w14:paraId="39D9789C" w14:textId="77777777" w:rsidR="00996AD7" w:rsidRDefault="00996AD7">
            <w:pPr>
              <w:rPr>
                <w:rFonts w:ascii="宋体"/>
                <w:vanish/>
              </w:rPr>
            </w:pPr>
          </w:p>
        </w:tc>
        <w:tc>
          <w:tcPr>
            <w:tcW w:w="0" w:type="auto"/>
            <w:gridSpan w:val="3"/>
            <w:shd w:val="clear" w:color="auto" w:fill="auto"/>
            <w:vAlign w:val="bottom"/>
          </w:tcPr>
          <w:p w14:paraId="39D9789D" w14:textId="77777777" w:rsidR="00996AD7" w:rsidRDefault="00996AD7">
            <w:pPr>
              <w:rPr>
                <w:rFonts w:ascii="宋体"/>
                <w:vanish/>
              </w:rPr>
            </w:pPr>
          </w:p>
        </w:tc>
        <w:tc>
          <w:tcPr>
            <w:tcW w:w="0" w:type="auto"/>
            <w:gridSpan w:val="3"/>
            <w:shd w:val="clear" w:color="auto" w:fill="auto"/>
            <w:vAlign w:val="bottom"/>
          </w:tcPr>
          <w:p w14:paraId="39D9789E" w14:textId="77777777" w:rsidR="00996AD7" w:rsidRDefault="00996AD7">
            <w:pPr>
              <w:rPr>
                <w:rFonts w:ascii="宋体"/>
                <w:vanish/>
              </w:rPr>
            </w:pPr>
          </w:p>
        </w:tc>
        <w:tc>
          <w:tcPr>
            <w:tcW w:w="0" w:type="auto"/>
            <w:gridSpan w:val="3"/>
            <w:shd w:val="clear" w:color="auto" w:fill="auto"/>
            <w:vAlign w:val="bottom"/>
          </w:tcPr>
          <w:p w14:paraId="39D9789F" w14:textId="77777777" w:rsidR="00996AD7" w:rsidRDefault="00996AD7">
            <w:pPr>
              <w:rPr>
                <w:rFonts w:ascii="宋体"/>
                <w:vanish/>
              </w:rPr>
            </w:pPr>
          </w:p>
        </w:tc>
        <w:tc>
          <w:tcPr>
            <w:tcW w:w="0" w:type="auto"/>
            <w:gridSpan w:val="3"/>
            <w:shd w:val="clear" w:color="auto" w:fill="auto"/>
            <w:vAlign w:val="bottom"/>
          </w:tcPr>
          <w:p w14:paraId="39D978A0" w14:textId="77777777" w:rsidR="00996AD7" w:rsidRDefault="00996AD7">
            <w:pPr>
              <w:rPr>
                <w:rFonts w:ascii="宋体"/>
                <w:vanish/>
              </w:rPr>
            </w:pPr>
          </w:p>
        </w:tc>
        <w:tc>
          <w:tcPr>
            <w:tcW w:w="0" w:type="auto"/>
            <w:gridSpan w:val="3"/>
            <w:shd w:val="clear" w:color="auto" w:fill="auto"/>
            <w:vAlign w:val="bottom"/>
          </w:tcPr>
          <w:p w14:paraId="39D978A1" w14:textId="77777777" w:rsidR="00996AD7" w:rsidRDefault="00996AD7">
            <w:pPr>
              <w:rPr>
                <w:rFonts w:ascii="宋体"/>
                <w:vanish/>
              </w:rPr>
            </w:pPr>
          </w:p>
        </w:tc>
        <w:tc>
          <w:tcPr>
            <w:tcW w:w="0" w:type="auto"/>
            <w:gridSpan w:val="3"/>
            <w:shd w:val="clear" w:color="auto" w:fill="auto"/>
            <w:vAlign w:val="bottom"/>
          </w:tcPr>
          <w:p w14:paraId="39D978A2" w14:textId="77777777" w:rsidR="00996AD7" w:rsidRDefault="00996AD7">
            <w:pPr>
              <w:rPr>
                <w:rFonts w:ascii="宋体"/>
                <w:vanish/>
              </w:rPr>
            </w:pPr>
          </w:p>
        </w:tc>
        <w:tc>
          <w:tcPr>
            <w:tcW w:w="0" w:type="auto"/>
            <w:gridSpan w:val="3"/>
            <w:shd w:val="clear" w:color="auto" w:fill="auto"/>
            <w:vAlign w:val="bottom"/>
          </w:tcPr>
          <w:p w14:paraId="39D978A3" w14:textId="77777777" w:rsidR="00996AD7" w:rsidRDefault="00996AD7">
            <w:pPr>
              <w:rPr>
                <w:rFonts w:ascii="宋体"/>
                <w:vanish/>
              </w:rPr>
            </w:pPr>
          </w:p>
        </w:tc>
        <w:tc>
          <w:tcPr>
            <w:tcW w:w="0" w:type="auto"/>
            <w:gridSpan w:val="3"/>
            <w:shd w:val="clear" w:color="auto" w:fill="auto"/>
            <w:vAlign w:val="bottom"/>
          </w:tcPr>
          <w:p w14:paraId="39D978A4" w14:textId="77777777" w:rsidR="00996AD7" w:rsidRDefault="00996AD7">
            <w:pPr>
              <w:rPr>
                <w:rFonts w:ascii="宋体"/>
                <w:vanish/>
              </w:rPr>
            </w:pPr>
          </w:p>
        </w:tc>
        <w:tc>
          <w:tcPr>
            <w:tcW w:w="0" w:type="auto"/>
            <w:gridSpan w:val="3"/>
            <w:shd w:val="clear" w:color="auto" w:fill="auto"/>
            <w:vAlign w:val="bottom"/>
          </w:tcPr>
          <w:p w14:paraId="39D978A5" w14:textId="77777777" w:rsidR="00996AD7" w:rsidRDefault="00996AD7">
            <w:pPr>
              <w:rPr>
                <w:rFonts w:ascii="宋体"/>
                <w:vanish/>
              </w:rPr>
            </w:pPr>
          </w:p>
        </w:tc>
      </w:tr>
      <w:tr w:rsidR="00996AD7" w14:paraId="39D978B2" w14:textId="77777777">
        <w:trPr>
          <w:hidden/>
        </w:trPr>
        <w:tc>
          <w:tcPr>
            <w:tcW w:w="0" w:type="auto"/>
            <w:gridSpan w:val="3"/>
            <w:shd w:val="clear" w:color="auto" w:fill="auto"/>
            <w:vAlign w:val="bottom"/>
          </w:tcPr>
          <w:p w14:paraId="39D978A7" w14:textId="77777777" w:rsidR="00996AD7" w:rsidRDefault="00996AD7">
            <w:pPr>
              <w:rPr>
                <w:rFonts w:ascii="宋体"/>
                <w:vanish/>
              </w:rPr>
            </w:pPr>
          </w:p>
        </w:tc>
        <w:tc>
          <w:tcPr>
            <w:tcW w:w="0" w:type="auto"/>
            <w:gridSpan w:val="3"/>
            <w:shd w:val="clear" w:color="auto" w:fill="auto"/>
            <w:vAlign w:val="bottom"/>
          </w:tcPr>
          <w:p w14:paraId="39D978A8" w14:textId="77777777" w:rsidR="00996AD7" w:rsidRDefault="00996AD7">
            <w:pPr>
              <w:rPr>
                <w:rFonts w:ascii="宋体"/>
                <w:vanish/>
              </w:rPr>
            </w:pPr>
          </w:p>
        </w:tc>
        <w:tc>
          <w:tcPr>
            <w:tcW w:w="0" w:type="auto"/>
            <w:gridSpan w:val="3"/>
            <w:shd w:val="clear" w:color="auto" w:fill="auto"/>
            <w:vAlign w:val="bottom"/>
          </w:tcPr>
          <w:p w14:paraId="39D978A9" w14:textId="77777777" w:rsidR="00996AD7" w:rsidRDefault="00996AD7">
            <w:pPr>
              <w:rPr>
                <w:rFonts w:ascii="宋体"/>
                <w:vanish/>
              </w:rPr>
            </w:pPr>
          </w:p>
        </w:tc>
        <w:tc>
          <w:tcPr>
            <w:tcW w:w="0" w:type="auto"/>
            <w:gridSpan w:val="3"/>
            <w:shd w:val="clear" w:color="auto" w:fill="auto"/>
            <w:vAlign w:val="bottom"/>
          </w:tcPr>
          <w:p w14:paraId="39D978AA" w14:textId="77777777" w:rsidR="00996AD7" w:rsidRDefault="00996AD7">
            <w:pPr>
              <w:rPr>
                <w:rFonts w:ascii="宋体"/>
                <w:vanish/>
              </w:rPr>
            </w:pPr>
          </w:p>
        </w:tc>
        <w:tc>
          <w:tcPr>
            <w:tcW w:w="0" w:type="auto"/>
            <w:gridSpan w:val="3"/>
            <w:shd w:val="clear" w:color="auto" w:fill="auto"/>
            <w:vAlign w:val="bottom"/>
          </w:tcPr>
          <w:p w14:paraId="39D978AB" w14:textId="77777777" w:rsidR="00996AD7" w:rsidRDefault="00996AD7">
            <w:pPr>
              <w:rPr>
                <w:rFonts w:ascii="宋体"/>
                <w:vanish/>
              </w:rPr>
            </w:pPr>
          </w:p>
        </w:tc>
        <w:tc>
          <w:tcPr>
            <w:tcW w:w="0" w:type="auto"/>
            <w:gridSpan w:val="3"/>
            <w:shd w:val="clear" w:color="auto" w:fill="auto"/>
            <w:vAlign w:val="bottom"/>
          </w:tcPr>
          <w:p w14:paraId="39D978AC" w14:textId="77777777" w:rsidR="00996AD7" w:rsidRDefault="00996AD7">
            <w:pPr>
              <w:rPr>
                <w:rFonts w:ascii="宋体"/>
                <w:vanish/>
              </w:rPr>
            </w:pPr>
          </w:p>
        </w:tc>
        <w:tc>
          <w:tcPr>
            <w:tcW w:w="0" w:type="auto"/>
            <w:gridSpan w:val="3"/>
            <w:shd w:val="clear" w:color="auto" w:fill="auto"/>
            <w:vAlign w:val="bottom"/>
          </w:tcPr>
          <w:p w14:paraId="39D978AD" w14:textId="77777777" w:rsidR="00996AD7" w:rsidRDefault="00996AD7">
            <w:pPr>
              <w:rPr>
                <w:rFonts w:ascii="宋体"/>
                <w:vanish/>
              </w:rPr>
            </w:pPr>
          </w:p>
        </w:tc>
        <w:tc>
          <w:tcPr>
            <w:tcW w:w="0" w:type="auto"/>
            <w:gridSpan w:val="3"/>
            <w:shd w:val="clear" w:color="auto" w:fill="auto"/>
            <w:vAlign w:val="bottom"/>
          </w:tcPr>
          <w:p w14:paraId="39D978AE" w14:textId="77777777" w:rsidR="00996AD7" w:rsidRDefault="00996AD7">
            <w:pPr>
              <w:rPr>
                <w:rFonts w:ascii="宋体"/>
                <w:vanish/>
              </w:rPr>
            </w:pPr>
          </w:p>
        </w:tc>
        <w:tc>
          <w:tcPr>
            <w:tcW w:w="0" w:type="auto"/>
            <w:gridSpan w:val="3"/>
            <w:shd w:val="clear" w:color="auto" w:fill="auto"/>
            <w:vAlign w:val="bottom"/>
          </w:tcPr>
          <w:p w14:paraId="39D978AF" w14:textId="77777777" w:rsidR="00996AD7" w:rsidRDefault="00996AD7">
            <w:pPr>
              <w:rPr>
                <w:rFonts w:ascii="宋体"/>
                <w:vanish/>
              </w:rPr>
            </w:pPr>
          </w:p>
        </w:tc>
        <w:tc>
          <w:tcPr>
            <w:tcW w:w="0" w:type="auto"/>
            <w:gridSpan w:val="3"/>
            <w:shd w:val="clear" w:color="auto" w:fill="auto"/>
            <w:vAlign w:val="bottom"/>
          </w:tcPr>
          <w:p w14:paraId="39D978B0" w14:textId="77777777" w:rsidR="00996AD7" w:rsidRDefault="00996AD7">
            <w:pPr>
              <w:rPr>
                <w:rFonts w:ascii="宋体"/>
                <w:vanish/>
              </w:rPr>
            </w:pPr>
          </w:p>
        </w:tc>
        <w:tc>
          <w:tcPr>
            <w:tcW w:w="0" w:type="auto"/>
            <w:gridSpan w:val="3"/>
            <w:shd w:val="clear" w:color="auto" w:fill="auto"/>
            <w:vAlign w:val="bottom"/>
          </w:tcPr>
          <w:p w14:paraId="39D978B1" w14:textId="77777777" w:rsidR="00996AD7" w:rsidRDefault="00996AD7">
            <w:pPr>
              <w:rPr>
                <w:rFonts w:ascii="宋体"/>
                <w:vanish/>
              </w:rPr>
            </w:pPr>
          </w:p>
        </w:tc>
      </w:tr>
      <w:tr w:rsidR="00996AD7" w14:paraId="39D978C3" w14:textId="77777777">
        <w:tc>
          <w:tcPr>
            <w:tcW w:w="0" w:type="auto"/>
            <w:gridSpan w:val="3"/>
            <w:shd w:val="clear" w:color="auto" w:fill="auto"/>
            <w:tcMar>
              <w:top w:w="40" w:type="dxa"/>
              <w:left w:w="20" w:type="dxa"/>
              <w:bottom w:w="40" w:type="dxa"/>
              <w:right w:w="20" w:type="dxa"/>
            </w:tcMar>
            <w:vAlign w:val="bottom"/>
          </w:tcPr>
          <w:p w14:paraId="39D978B3" w14:textId="77777777" w:rsidR="00996AD7" w:rsidRDefault="00D96458">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39D978B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B5"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B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B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B8"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B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B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BB"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B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B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BE"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B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C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C1"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C2" w14:textId="77777777" w:rsidR="00996AD7" w:rsidRDefault="00996AD7">
            <w:pPr>
              <w:jc w:val="right"/>
              <w:rPr>
                <w:rFonts w:ascii="宋体"/>
              </w:rPr>
            </w:pPr>
          </w:p>
        </w:tc>
      </w:tr>
      <w:tr w:rsidR="00996AD7" w14:paraId="39D978D4" w14:textId="77777777">
        <w:tc>
          <w:tcPr>
            <w:tcW w:w="0" w:type="auto"/>
            <w:gridSpan w:val="3"/>
            <w:shd w:val="clear" w:color="auto" w:fill="auto"/>
            <w:tcMar>
              <w:top w:w="40" w:type="dxa"/>
              <w:left w:w="20" w:type="dxa"/>
              <w:bottom w:w="40" w:type="dxa"/>
              <w:right w:w="20" w:type="dxa"/>
            </w:tcMar>
            <w:vAlign w:val="bottom"/>
          </w:tcPr>
          <w:p w14:paraId="39D978C4" w14:textId="77777777" w:rsidR="00996AD7" w:rsidRDefault="00D96458">
            <w:pPr>
              <w:textAlignment w:val="bottom"/>
            </w:pPr>
            <w:r>
              <w:rPr>
                <w:rFonts w:ascii="Arial" w:eastAsia="宋体" w:hAnsi="Arial" w:cs="Arial"/>
                <w:color w:val="262626"/>
                <w:sz w:val="18"/>
                <w:szCs w:val="18"/>
              </w:rPr>
              <w:t>Accelerated share repurchase forward agreements</w:t>
            </w:r>
          </w:p>
        </w:tc>
        <w:tc>
          <w:tcPr>
            <w:tcW w:w="0" w:type="auto"/>
            <w:gridSpan w:val="3"/>
            <w:shd w:val="clear" w:color="auto" w:fill="auto"/>
            <w:tcMar>
              <w:top w:w="0" w:type="dxa"/>
              <w:left w:w="20" w:type="dxa"/>
              <w:bottom w:w="0" w:type="dxa"/>
              <w:right w:w="20" w:type="dxa"/>
            </w:tcMar>
            <w:vAlign w:val="bottom"/>
          </w:tcPr>
          <w:p w14:paraId="39D978C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C6"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C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C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C9"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C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C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CC"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C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C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CF"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D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D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D2"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D3" w14:textId="77777777" w:rsidR="00996AD7" w:rsidRDefault="00996AD7">
            <w:pPr>
              <w:jc w:val="right"/>
              <w:rPr>
                <w:rFonts w:ascii="宋体"/>
              </w:rPr>
            </w:pPr>
          </w:p>
        </w:tc>
      </w:tr>
      <w:tr w:rsidR="00996AD7" w14:paraId="39D978E5" w14:textId="77777777">
        <w:tc>
          <w:tcPr>
            <w:tcW w:w="0" w:type="auto"/>
            <w:gridSpan w:val="3"/>
            <w:shd w:val="clear" w:color="auto" w:fill="auto"/>
            <w:tcMar>
              <w:top w:w="40" w:type="dxa"/>
              <w:left w:w="20" w:type="dxa"/>
              <w:bottom w:w="40" w:type="dxa"/>
              <w:right w:w="20" w:type="dxa"/>
            </w:tcMar>
            <w:vAlign w:val="bottom"/>
          </w:tcPr>
          <w:p w14:paraId="39D978D5" w14:textId="77777777" w:rsidR="00996AD7" w:rsidRDefault="00D9645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39D978D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D7" w14:textId="77777777" w:rsidR="00996AD7" w:rsidRDefault="00D96458">
            <w:pPr>
              <w:jc w:val="right"/>
              <w:textAlignment w:val="bottom"/>
            </w:pPr>
            <w:r>
              <w:rPr>
                <w:rFonts w:ascii="Arial" w:eastAsia="宋体" w:hAnsi="Arial" w:cs="Arial"/>
                <w:color w:val="0068B5"/>
                <w:sz w:val="18"/>
                <w:szCs w:val="18"/>
              </w:rPr>
              <w:t>(1)</w:t>
            </w:r>
          </w:p>
        </w:tc>
        <w:tc>
          <w:tcPr>
            <w:tcW w:w="0" w:type="auto"/>
            <w:shd w:val="clear" w:color="auto" w:fill="auto"/>
            <w:tcMar>
              <w:top w:w="40" w:type="dxa"/>
              <w:left w:w="0" w:type="dxa"/>
              <w:bottom w:w="40" w:type="dxa"/>
              <w:right w:w="20" w:type="dxa"/>
            </w:tcMar>
            <w:vAlign w:val="bottom"/>
          </w:tcPr>
          <w:p w14:paraId="39D978D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D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DA" w14:textId="77777777" w:rsidR="00996AD7" w:rsidRDefault="00D96458">
            <w:pPr>
              <w:jc w:val="right"/>
              <w:textAlignment w:val="bottom"/>
            </w:pPr>
            <w:r>
              <w:rPr>
                <w:rFonts w:ascii="Arial" w:eastAsia="宋体" w:hAnsi="Arial" w:cs="Arial"/>
                <w:color w:val="0068B5"/>
                <w:sz w:val="18"/>
                <w:szCs w:val="18"/>
              </w:rPr>
              <w:t>(33)</w:t>
            </w:r>
          </w:p>
        </w:tc>
        <w:tc>
          <w:tcPr>
            <w:tcW w:w="0" w:type="auto"/>
            <w:shd w:val="clear" w:color="auto" w:fill="auto"/>
            <w:tcMar>
              <w:top w:w="40" w:type="dxa"/>
              <w:left w:w="0" w:type="dxa"/>
              <w:bottom w:w="40" w:type="dxa"/>
              <w:right w:w="20" w:type="dxa"/>
            </w:tcMar>
            <w:vAlign w:val="bottom"/>
          </w:tcPr>
          <w:p w14:paraId="39D978D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D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DD"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D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D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E0" w14:textId="77777777" w:rsidR="00996AD7" w:rsidRDefault="00D96458">
            <w:pPr>
              <w:jc w:val="right"/>
              <w:textAlignment w:val="bottom"/>
            </w:pPr>
            <w:r>
              <w:rPr>
                <w:rFonts w:ascii="Arial" w:eastAsia="宋体" w:hAnsi="Arial" w:cs="Arial"/>
                <w:color w:val="0068B5"/>
                <w:sz w:val="18"/>
                <w:szCs w:val="18"/>
              </w:rPr>
              <w:t>(4)</w:t>
            </w:r>
          </w:p>
        </w:tc>
        <w:tc>
          <w:tcPr>
            <w:tcW w:w="0" w:type="auto"/>
            <w:shd w:val="clear" w:color="auto" w:fill="auto"/>
            <w:tcMar>
              <w:top w:w="40" w:type="dxa"/>
              <w:left w:w="0" w:type="dxa"/>
              <w:bottom w:w="40" w:type="dxa"/>
              <w:right w:w="20" w:type="dxa"/>
            </w:tcMar>
            <w:vAlign w:val="bottom"/>
          </w:tcPr>
          <w:p w14:paraId="39D978E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E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E3" w14:textId="77777777" w:rsidR="00996AD7" w:rsidRDefault="00D96458">
            <w:pPr>
              <w:jc w:val="right"/>
              <w:textAlignment w:val="bottom"/>
            </w:pPr>
            <w:r>
              <w:rPr>
                <w:rFonts w:ascii="Arial" w:eastAsia="宋体" w:hAnsi="Arial" w:cs="Arial"/>
                <w:color w:val="0068B5"/>
                <w:sz w:val="18"/>
                <w:szCs w:val="18"/>
              </w:rPr>
              <w:t>(37)</w:t>
            </w:r>
          </w:p>
        </w:tc>
        <w:tc>
          <w:tcPr>
            <w:tcW w:w="0" w:type="auto"/>
            <w:shd w:val="clear" w:color="auto" w:fill="auto"/>
            <w:tcMar>
              <w:top w:w="40" w:type="dxa"/>
              <w:left w:w="0" w:type="dxa"/>
              <w:bottom w:w="40" w:type="dxa"/>
              <w:right w:w="20" w:type="dxa"/>
            </w:tcMar>
            <w:vAlign w:val="bottom"/>
          </w:tcPr>
          <w:p w14:paraId="39D978E4" w14:textId="77777777" w:rsidR="00996AD7" w:rsidRDefault="00996AD7">
            <w:pPr>
              <w:jc w:val="right"/>
              <w:rPr>
                <w:rFonts w:ascii="宋体"/>
              </w:rPr>
            </w:pPr>
          </w:p>
        </w:tc>
      </w:tr>
      <w:tr w:rsidR="00996AD7" w14:paraId="39D978F6" w14:textId="77777777">
        <w:tc>
          <w:tcPr>
            <w:tcW w:w="0" w:type="auto"/>
            <w:gridSpan w:val="3"/>
            <w:shd w:val="clear" w:color="auto" w:fill="auto"/>
            <w:tcMar>
              <w:top w:w="40" w:type="dxa"/>
              <w:left w:w="20" w:type="dxa"/>
              <w:bottom w:w="40" w:type="dxa"/>
              <w:right w:w="20" w:type="dxa"/>
            </w:tcMar>
            <w:vAlign w:val="bottom"/>
          </w:tcPr>
          <w:p w14:paraId="39D978E6" w14:textId="77777777" w:rsidR="00996AD7" w:rsidRDefault="00D96458">
            <w:pPr>
              <w:textAlignment w:val="bottom"/>
            </w:pPr>
            <w:r>
              <w:rPr>
                <w:rFonts w:ascii="Arial" w:eastAsia="宋体" w:hAnsi="Arial" w:cs="Arial"/>
                <w:color w:val="262626"/>
                <w:sz w:val="18"/>
                <w:szCs w:val="18"/>
              </w:rPr>
              <w:t>Cash dividends declared ($0.70 per share)</w:t>
            </w:r>
          </w:p>
        </w:tc>
        <w:tc>
          <w:tcPr>
            <w:tcW w:w="0" w:type="auto"/>
            <w:gridSpan w:val="3"/>
            <w:shd w:val="clear" w:color="auto" w:fill="auto"/>
            <w:tcMar>
              <w:top w:w="0" w:type="dxa"/>
              <w:left w:w="20" w:type="dxa"/>
              <w:bottom w:w="0" w:type="dxa"/>
              <w:right w:w="20" w:type="dxa"/>
            </w:tcMar>
            <w:vAlign w:val="bottom"/>
          </w:tcPr>
          <w:p w14:paraId="39D978E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E8"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E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E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EB"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E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E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EE"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8E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F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8F1" w14:textId="77777777" w:rsidR="00996AD7" w:rsidRDefault="00D96458">
            <w:pPr>
              <w:jc w:val="right"/>
              <w:textAlignment w:val="bottom"/>
            </w:pPr>
            <w:r>
              <w:rPr>
                <w:rFonts w:ascii="Arial" w:eastAsia="宋体" w:hAnsi="Arial" w:cs="Arial"/>
                <w:color w:val="0068B5"/>
                <w:sz w:val="18"/>
                <w:szCs w:val="18"/>
              </w:rPr>
              <w:t>(2,824)</w:t>
            </w:r>
          </w:p>
        </w:tc>
        <w:tc>
          <w:tcPr>
            <w:tcW w:w="0" w:type="auto"/>
            <w:shd w:val="clear" w:color="auto" w:fill="auto"/>
            <w:tcMar>
              <w:top w:w="40" w:type="dxa"/>
              <w:left w:w="0" w:type="dxa"/>
              <w:bottom w:w="40" w:type="dxa"/>
              <w:right w:w="20" w:type="dxa"/>
            </w:tcMar>
            <w:vAlign w:val="bottom"/>
          </w:tcPr>
          <w:p w14:paraId="39D978F2" w14:textId="77777777" w:rsidR="00996AD7" w:rsidRDefault="00996AD7">
            <w:pPr>
              <w:jc w:val="right"/>
              <w:rPr>
                <w:rFonts w:ascii="宋体"/>
              </w:rPr>
            </w:pPr>
          </w:p>
        </w:tc>
        <w:tc>
          <w:tcPr>
            <w:tcW w:w="0" w:type="auto"/>
            <w:gridSpan w:val="3"/>
            <w:shd w:val="clear" w:color="auto" w:fill="auto"/>
            <w:tcMar>
              <w:top w:w="40" w:type="dxa"/>
              <w:left w:w="20" w:type="dxa"/>
              <w:bottom w:w="40" w:type="dxa"/>
              <w:right w:w="20" w:type="dxa"/>
            </w:tcMar>
            <w:vAlign w:val="bottom"/>
          </w:tcPr>
          <w:p w14:paraId="39D978F3" w14:textId="77777777" w:rsidR="00996AD7" w:rsidRDefault="00D96458">
            <w:pPr>
              <w:textAlignment w:val="bottom"/>
            </w:pPr>
            <w:r>
              <w:rPr>
                <w:rFonts w:ascii="Arial" w:eastAsia="宋体" w:hAnsi="Arial" w:cs="Arial"/>
                <w:color w:val="0068B5"/>
                <w:sz w:val="18"/>
                <w:szCs w:val="18"/>
              </w:rPr>
              <w:t> </w:t>
            </w:r>
          </w:p>
        </w:tc>
        <w:tc>
          <w:tcPr>
            <w:tcW w:w="0" w:type="auto"/>
            <w:gridSpan w:val="2"/>
            <w:shd w:val="clear" w:color="auto" w:fill="auto"/>
            <w:tcMar>
              <w:top w:w="40" w:type="dxa"/>
              <w:left w:w="20" w:type="dxa"/>
              <w:bottom w:w="40" w:type="dxa"/>
              <w:right w:w="0" w:type="dxa"/>
            </w:tcMar>
            <w:vAlign w:val="bottom"/>
          </w:tcPr>
          <w:p w14:paraId="39D978F4" w14:textId="77777777" w:rsidR="00996AD7" w:rsidRDefault="00D96458">
            <w:pPr>
              <w:jc w:val="right"/>
              <w:textAlignment w:val="bottom"/>
            </w:pPr>
            <w:r>
              <w:rPr>
                <w:rFonts w:ascii="Arial" w:eastAsia="宋体" w:hAnsi="Arial" w:cs="Arial"/>
                <w:color w:val="0068B5"/>
                <w:sz w:val="18"/>
                <w:szCs w:val="18"/>
              </w:rPr>
              <w:t>(2,824)</w:t>
            </w:r>
          </w:p>
        </w:tc>
        <w:tc>
          <w:tcPr>
            <w:tcW w:w="0" w:type="auto"/>
            <w:shd w:val="clear" w:color="auto" w:fill="auto"/>
            <w:tcMar>
              <w:top w:w="40" w:type="dxa"/>
              <w:left w:w="0" w:type="dxa"/>
              <w:bottom w:w="40" w:type="dxa"/>
              <w:right w:w="20" w:type="dxa"/>
            </w:tcMar>
            <w:vAlign w:val="bottom"/>
          </w:tcPr>
          <w:p w14:paraId="39D978F5" w14:textId="77777777" w:rsidR="00996AD7" w:rsidRDefault="00996AD7">
            <w:pPr>
              <w:jc w:val="right"/>
              <w:rPr>
                <w:rFonts w:ascii="宋体"/>
              </w:rPr>
            </w:pPr>
          </w:p>
        </w:tc>
      </w:tr>
      <w:tr w:rsidR="00996AD7" w14:paraId="39D9790B" w14:textId="77777777">
        <w:tc>
          <w:tcPr>
            <w:tcW w:w="0" w:type="auto"/>
            <w:gridSpan w:val="3"/>
            <w:shd w:val="clear" w:color="auto" w:fill="auto"/>
            <w:tcMar>
              <w:top w:w="40" w:type="dxa"/>
              <w:left w:w="20" w:type="dxa"/>
              <w:bottom w:w="40" w:type="dxa"/>
              <w:right w:w="20" w:type="dxa"/>
            </w:tcMar>
            <w:vAlign w:val="bottom"/>
          </w:tcPr>
          <w:p w14:paraId="39D978F7" w14:textId="77777777" w:rsidR="00996AD7" w:rsidRDefault="00D96458">
            <w:pPr>
              <w:textAlignment w:val="bottom"/>
            </w:pPr>
            <w:r>
              <w:rPr>
                <w:rFonts w:ascii="Arial" w:eastAsia="宋体" w:hAnsi="Arial" w:cs="Arial"/>
                <w:b/>
                <w:bCs/>
                <w:color w:val="262626"/>
                <w:sz w:val="18"/>
                <w:szCs w:val="18"/>
              </w:rPr>
              <w:t>Balance as of September 25, 2021</w:t>
            </w:r>
          </w:p>
        </w:tc>
        <w:tc>
          <w:tcPr>
            <w:tcW w:w="0" w:type="auto"/>
            <w:gridSpan w:val="3"/>
            <w:shd w:val="clear" w:color="auto" w:fill="auto"/>
            <w:tcMar>
              <w:top w:w="0" w:type="dxa"/>
              <w:left w:w="20" w:type="dxa"/>
              <w:bottom w:w="0" w:type="dxa"/>
              <w:right w:w="20" w:type="dxa"/>
            </w:tcMar>
            <w:vAlign w:val="bottom"/>
          </w:tcPr>
          <w:p w14:paraId="39D978F8" w14:textId="77777777" w:rsidR="00996AD7" w:rsidRDefault="00996AD7">
            <w:pPr>
              <w:rPr>
                <w:rFonts w:ascii="宋体"/>
              </w:rPr>
            </w:pPr>
          </w:p>
        </w:tc>
        <w:tc>
          <w:tcPr>
            <w:tcW w:w="0" w:type="auto"/>
            <w:gridSpan w:val="2"/>
            <w:tcBorders>
              <w:top w:val="single" w:sz="4" w:space="0" w:color="494949"/>
            </w:tcBorders>
            <w:shd w:val="clear" w:color="auto" w:fill="auto"/>
            <w:tcMar>
              <w:top w:w="40" w:type="dxa"/>
              <w:left w:w="20" w:type="dxa"/>
              <w:bottom w:w="40" w:type="dxa"/>
              <w:right w:w="0" w:type="dxa"/>
            </w:tcMar>
            <w:vAlign w:val="bottom"/>
          </w:tcPr>
          <w:p w14:paraId="39D978F9" w14:textId="77777777" w:rsidR="00996AD7" w:rsidRDefault="00D96458">
            <w:pPr>
              <w:jc w:val="right"/>
              <w:textAlignment w:val="bottom"/>
            </w:pPr>
            <w:r>
              <w:rPr>
                <w:rFonts w:ascii="Arial" w:eastAsia="宋体" w:hAnsi="Arial" w:cs="Arial"/>
                <w:b/>
                <w:bCs/>
                <w:color w:val="0068B5"/>
                <w:sz w:val="18"/>
                <w:szCs w:val="18"/>
              </w:rPr>
              <w:t>4,067</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39D978F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FB" w14:textId="77777777" w:rsidR="00996AD7" w:rsidRDefault="00996AD7">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39D978FC"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39D978FD" w14:textId="77777777" w:rsidR="00996AD7" w:rsidRDefault="00D96458">
            <w:pPr>
              <w:jc w:val="right"/>
              <w:textAlignment w:val="bottom"/>
            </w:pPr>
            <w:r>
              <w:rPr>
                <w:rFonts w:ascii="Arial" w:eastAsia="宋体" w:hAnsi="Arial" w:cs="Arial"/>
                <w:b/>
                <w:bCs/>
                <w:color w:val="0068B5"/>
                <w:sz w:val="18"/>
                <w:szCs w:val="18"/>
              </w:rPr>
              <w:t>27,592</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39D978F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8FF" w14:textId="77777777" w:rsidR="00996AD7" w:rsidRDefault="00996AD7">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39D97900"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39D97901" w14:textId="77777777" w:rsidR="00996AD7" w:rsidRDefault="00D96458">
            <w:pPr>
              <w:jc w:val="right"/>
              <w:textAlignment w:val="bottom"/>
            </w:pPr>
            <w:r>
              <w:rPr>
                <w:rFonts w:ascii="Arial" w:eastAsia="宋体" w:hAnsi="Arial" w:cs="Arial"/>
                <w:b/>
                <w:bCs/>
                <w:color w:val="0068B5"/>
                <w:sz w:val="18"/>
                <w:szCs w:val="18"/>
              </w:rPr>
              <w:t>(1,147)</w:t>
            </w:r>
          </w:p>
        </w:tc>
        <w:tc>
          <w:tcPr>
            <w:tcW w:w="0" w:type="auto"/>
            <w:tcBorders>
              <w:top w:val="single" w:sz="4" w:space="0" w:color="494949"/>
            </w:tcBorders>
            <w:shd w:val="clear" w:color="auto" w:fill="auto"/>
            <w:tcMar>
              <w:top w:w="40" w:type="dxa"/>
              <w:left w:w="0" w:type="dxa"/>
              <w:bottom w:w="40" w:type="dxa"/>
              <w:right w:w="20" w:type="dxa"/>
            </w:tcMar>
            <w:vAlign w:val="bottom"/>
          </w:tcPr>
          <w:p w14:paraId="39D9790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03" w14:textId="77777777" w:rsidR="00996AD7" w:rsidRDefault="00996AD7">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39D97904"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39D97905" w14:textId="77777777" w:rsidR="00996AD7" w:rsidRDefault="00D96458">
            <w:pPr>
              <w:jc w:val="right"/>
              <w:textAlignment w:val="bottom"/>
            </w:pPr>
            <w:r>
              <w:rPr>
                <w:rFonts w:ascii="Arial" w:eastAsia="宋体" w:hAnsi="Arial" w:cs="Arial"/>
                <w:b/>
                <w:bCs/>
                <w:color w:val="0068B5"/>
                <w:sz w:val="18"/>
                <w:szCs w:val="18"/>
              </w:rPr>
              <w:t>63,642</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39D9790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07" w14:textId="77777777" w:rsidR="00996AD7" w:rsidRDefault="00996AD7">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39D97908"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39D97909" w14:textId="77777777" w:rsidR="00996AD7" w:rsidRDefault="00D96458">
            <w:pPr>
              <w:jc w:val="right"/>
              <w:textAlignment w:val="bottom"/>
            </w:pPr>
            <w:r>
              <w:rPr>
                <w:rFonts w:ascii="Arial" w:eastAsia="宋体" w:hAnsi="Arial" w:cs="Arial"/>
                <w:b/>
                <w:bCs/>
                <w:color w:val="0068B5"/>
                <w:sz w:val="18"/>
                <w:szCs w:val="18"/>
              </w:rPr>
              <w:t>90,087</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39D9790A" w14:textId="77777777" w:rsidR="00996AD7" w:rsidRDefault="00996AD7">
            <w:pPr>
              <w:jc w:val="right"/>
              <w:rPr>
                <w:rFonts w:ascii="宋体"/>
              </w:rPr>
            </w:pPr>
          </w:p>
        </w:tc>
      </w:tr>
      <w:tr w:rsidR="00996AD7" w14:paraId="39D97917" w14:textId="77777777">
        <w:trPr>
          <w:trHeight w:val="60"/>
        </w:trPr>
        <w:tc>
          <w:tcPr>
            <w:tcW w:w="0" w:type="auto"/>
            <w:gridSpan w:val="3"/>
            <w:shd w:val="clear" w:color="auto" w:fill="auto"/>
            <w:tcMar>
              <w:top w:w="0" w:type="dxa"/>
              <w:left w:w="20" w:type="dxa"/>
              <w:bottom w:w="0" w:type="dxa"/>
              <w:right w:w="20" w:type="dxa"/>
            </w:tcMar>
            <w:vAlign w:val="bottom"/>
          </w:tcPr>
          <w:p w14:paraId="39D9790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90D"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90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90F"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91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911"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91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913"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91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915"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916" w14:textId="77777777" w:rsidR="00996AD7" w:rsidRDefault="00996AD7">
            <w:pPr>
              <w:rPr>
                <w:rFonts w:ascii="宋体"/>
              </w:rPr>
            </w:pPr>
          </w:p>
        </w:tc>
      </w:tr>
      <w:tr w:rsidR="00996AD7" w14:paraId="39D9792C" w14:textId="77777777">
        <w:tc>
          <w:tcPr>
            <w:tcW w:w="0" w:type="auto"/>
            <w:gridSpan w:val="3"/>
            <w:shd w:val="clear" w:color="auto" w:fill="auto"/>
            <w:tcMar>
              <w:top w:w="40" w:type="dxa"/>
              <w:left w:w="20" w:type="dxa"/>
              <w:bottom w:w="40" w:type="dxa"/>
              <w:right w:w="20" w:type="dxa"/>
            </w:tcMar>
            <w:vAlign w:val="bottom"/>
          </w:tcPr>
          <w:p w14:paraId="39D97918" w14:textId="77777777" w:rsidR="00996AD7" w:rsidRDefault="00D96458">
            <w:pPr>
              <w:textAlignment w:val="bottom"/>
            </w:pPr>
            <w:r>
              <w:rPr>
                <w:rFonts w:ascii="Arial" w:eastAsia="宋体" w:hAnsi="Arial" w:cs="Arial"/>
                <w:b/>
                <w:bCs/>
                <w:color w:val="262626"/>
                <w:sz w:val="18"/>
                <w:szCs w:val="18"/>
              </w:rPr>
              <w:t>Balance as of June 27, 2020</w:t>
            </w:r>
          </w:p>
        </w:tc>
        <w:tc>
          <w:tcPr>
            <w:tcW w:w="0" w:type="auto"/>
            <w:gridSpan w:val="3"/>
            <w:shd w:val="clear" w:color="auto" w:fill="auto"/>
            <w:tcMar>
              <w:top w:w="0" w:type="dxa"/>
              <w:left w:w="20" w:type="dxa"/>
              <w:bottom w:w="0" w:type="dxa"/>
              <w:right w:w="20" w:type="dxa"/>
            </w:tcMar>
            <w:vAlign w:val="bottom"/>
          </w:tcPr>
          <w:p w14:paraId="39D9791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1A" w14:textId="77777777" w:rsidR="00996AD7" w:rsidRDefault="00D96458">
            <w:pPr>
              <w:jc w:val="right"/>
              <w:textAlignment w:val="bottom"/>
            </w:pPr>
            <w:r>
              <w:rPr>
                <w:rFonts w:ascii="Arial" w:eastAsia="宋体" w:hAnsi="Arial" w:cs="Arial"/>
                <w:b/>
                <w:bCs/>
                <w:color w:val="262626"/>
                <w:sz w:val="18"/>
                <w:szCs w:val="18"/>
              </w:rPr>
              <w:t>4,253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1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1C"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91D"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91E" w14:textId="77777777" w:rsidR="00996AD7" w:rsidRDefault="00D96458">
            <w:pPr>
              <w:jc w:val="right"/>
              <w:textAlignment w:val="bottom"/>
            </w:pPr>
            <w:r>
              <w:rPr>
                <w:rFonts w:ascii="Arial" w:eastAsia="宋体" w:hAnsi="Arial" w:cs="Arial"/>
                <w:b/>
                <w:bCs/>
                <w:color w:val="262626"/>
                <w:sz w:val="18"/>
                <w:szCs w:val="18"/>
              </w:rPr>
              <w:t>25,516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1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20"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921"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922" w14:textId="77777777" w:rsidR="00996AD7" w:rsidRDefault="00D96458">
            <w:pPr>
              <w:jc w:val="right"/>
              <w:textAlignment w:val="bottom"/>
            </w:pPr>
            <w:r>
              <w:rPr>
                <w:rFonts w:ascii="Arial" w:eastAsia="宋体" w:hAnsi="Arial" w:cs="Arial"/>
                <w:b/>
                <w:bCs/>
                <w:color w:val="262626"/>
                <w:sz w:val="18"/>
                <w:szCs w:val="18"/>
              </w:rPr>
              <w:t>(1,152)</w:t>
            </w:r>
          </w:p>
        </w:tc>
        <w:tc>
          <w:tcPr>
            <w:tcW w:w="0" w:type="auto"/>
            <w:shd w:val="clear" w:color="auto" w:fill="auto"/>
            <w:tcMar>
              <w:top w:w="40" w:type="dxa"/>
              <w:left w:w="0" w:type="dxa"/>
              <w:bottom w:w="40" w:type="dxa"/>
              <w:right w:w="20" w:type="dxa"/>
            </w:tcMar>
            <w:vAlign w:val="bottom"/>
          </w:tcPr>
          <w:p w14:paraId="39D9792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24"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925"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926" w14:textId="77777777" w:rsidR="00996AD7" w:rsidRDefault="00D96458">
            <w:pPr>
              <w:jc w:val="right"/>
              <w:textAlignment w:val="bottom"/>
            </w:pPr>
            <w:r>
              <w:rPr>
                <w:rFonts w:ascii="Arial" w:eastAsia="宋体" w:hAnsi="Arial" w:cs="Arial"/>
                <w:b/>
                <w:bCs/>
                <w:color w:val="262626"/>
                <w:sz w:val="18"/>
                <w:szCs w:val="18"/>
              </w:rPr>
              <w:t>57,646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2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28"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929"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92A" w14:textId="77777777" w:rsidR="00996AD7" w:rsidRDefault="00D96458">
            <w:pPr>
              <w:jc w:val="right"/>
              <w:textAlignment w:val="bottom"/>
            </w:pPr>
            <w:r>
              <w:rPr>
                <w:rFonts w:ascii="Arial" w:eastAsia="宋体" w:hAnsi="Arial" w:cs="Arial"/>
                <w:b/>
                <w:bCs/>
                <w:color w:val="262626"/>
                <w:sz w:val="18"/>
                <w:szCs w:val="18"/>
              </w:rPr>
              <w:t>82,010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2B" w14:textId="77777777" w:rsidR="00996AD7" w:rsidRDefault="00996AD7">
            <w:pPr>
              <w:jc w:val="right"/>
              <w:rPr>
                <w:rFonts w:ascii="宋体"/>
              </w:rPr>
            </w:pPr>
          </w:p>
        </w:tc>
      </w:tr>
      <w:tr w:rsidR="00996AD7" w14:paraId="39D97938" w14:textId="77777777">
        <w:trPr>
          <w:hidden/>
        </w:trPr>
        <w:tc>
          <w:tcPr>
            <w:tcW w:w="0" w:type="auto"/>
            <w:gridSpan w:val="3"/>
            <w:shd w:val="clear" w:color="auto" w:fill="auto"/>
            <w:vAlign w:val="bottom"/>
          </w:tcPr>
          <w:p w14:paraId="39D9792D" w14:textId="77777777" w:rsidR="00996AD7" w:rsidRDefault="00996AD7">
            <w:pPr>
              <w:rPr>
                <w:rFonts w:ascii="宋体"/>
                <w:vanish/>
              </w:rPr>
            </w:pPr>
          </w:p>
        </w:tc>
        <w:tc>
          <w:tcPr>
            <w:tcW w:w="0" w:type="auto"/>
            <w:gridSpan w:val="3"/>
            <w:shd w:val="clear" w:color="auto" w:fill="auto"/>
            <w:vAlign w:val="bottom"/>
          </w:tcPr>
          <w:p w14:paraId="39D9792E" w14:textId="77777777" w:rsidR="00996AD7" w:rsidRDefault="00996AD7">
            <w:pPr>
              <w:rPr>
                <w:rFonts w:ascii="宋体"/>
                <w:vanish/>
              </w:rPr>
            </w:pPr>
          </w:p>
        </w:tc>
        <w:tc>
          <w:tcPr>
            <w:tcW w:w="0" w:type="auto"/>
            <w:gridSpan w:val="3"/>
            <w:shd w:val="clear" w:color="auto" w:fill="auto"/>
            <w:vAlign w:val="bottom"/>
          </w:tcPr>
          <w:p w14:paraId="39D9792F" w14:textId="77777777" w:rsidR="00996AD7" w:rsidRDefault="00996AD7">
            <w:pPr>
              <w:rPr>
                <w:rFonts w:ascii="宋体"/>
                <w:vanish/>
              </w:rPr>
            </w:pPr>
          </w:p>
        </w:tc>
        <w:tc>
          <w:tcPr>
            <w:tcW w:w="0" w:type="auto"/>
            <w:gridSpan w:val="3"/>
            <w:shd w:val="clear" w:color="auto" w:fill="auto"/>
            <w:vAlign w:val="bottom"/>
          </w:tcPr>
          <w:p w14:paraId="39D97930" w14:textId="77777777" w:rsidR="00996AD7" w:rsidRDefault="00996AD7">
            <w:pPr>
              <w:rPr>
                <w:rFonts w:ascii="宋体"/>
                <w:vanish/>
              </w:rPr>
            </w:pPr>
          </w:p>
        </w:tc>
        <w:tc>
          <w:tcPr>
            <w:tcW w:w="0" w:type="auto"/>
            <w:gridSpan w:val="3"/>
            <w:shd w:val="clear" w:color="auto" w:fill="auto"/>
            <w:vAlign w:val="bottom"/>
          </w:tcPr>
          <w:p w14:paraId="39D97931" w14:textId="77777777" w:rsidR="00996AD7" w:rsidRDefault="00996AD7">
            <w:pPr>
              <w:rPr>
                <w:rFonts w:ascii="宋体"/>
                <w:vanish/>
              </w:rPr>
            </w:pPr>
          </w:p>
        </w:tc>
        <w:tc>
          <w:tcPr>
            <w:tcW w:w="0" w:type="auto"/>
            <w:gridSpan w:val="3"/>
            <w:shd w:val="clear" w:color="auto" w:fill="auto"/>
            <w:vAlign w:val="bottom"/>
          </w:tcPr>
          <w:p w14:paraId="39D97932" w14:textId="77777777" w:rsidR="00996AD7" w:rsidRDefault="00996AD7">
            <w:pPr>
              <w:rPr>
                <w:rFonts w:ascii="宋体"/>
                <w:vanish/>
              </w:rPr>
            </w:pPr>
          </w:p>
        </w:tc>
        <w:tc>
          <w:tcPr>
            <w:tcW w:w="0" w:type="auto"/>
            <w:gridSpan w:val="3"/>
            <w:shd w:val="clear" w:color="auto" w:fill="auto"/>
            <w:vAlign w:val="bottom"/>
          </w:tcPr>
          <w:p w14:paraId="39D97933" w14:textId="77777777" w:rsidR="00996AD7" w:rsidRDefault="00996AD7">
            <w:pPr>
              <w:rPr>
                <w:rFonts w:ascii="宋体"/>
                <w:vanish/>
              </w:rPr>
            </w:pPr>
          </w:p>
        </w:tc>
        <w:tc>
          <w:tcPr>
            <w:tcW w:w="0" w:type="auto"/>
            <w:gridSpan w:val="3"/>
            <w:shd w:val="clear" w:color="auto" w:fill="auto"/>
            <w:vAlign w:val="bottom"/>
          </w:tcPr>
          <w:p w14:paraId="39D97934" w14:textId="77777777" w:rsidR="00996AD7" w:rsidRDefault="00996AD7">
            <w:pPr>
              <w:rPr>
                <w:rFonts w:ascii="宋体"/>
                <w:vanish/>
              </w:rPr>
            </w:pPr>
          </w:p>
        </w:tc>
        <w:tc>
          <w:tcPr>
            <w:tcW w:w="0" w:type="auto"/>
            <w:gridSpan w:val="3"/>
            <w:shd w:val="clear" w:color="auto" w:fill="auto"/>
            <w:vAlign w:val="bottom"/>
          </w:tcPr>
          <w:p w14:paraId="39D97935" w14:textId="77777777" w:rsidR="00996AD7" w:rsidRDefault="00996AD7">
            <w:pPr>
              <w:rPr>
                <w:rFonts w:ascii="宋体"/>
                <w:vanish/>
              </w:rPr>
            </w:pPr>
          </w:p>
        </w:tc>
        <w:tc>
          <w:tcPr>
            <w:tcW w:w="0" w:type="auto"/>
            <w:gridSpan w:val="3"/>
            <w:shd w:val="clear" w:color="auto" w:fill="auto"/>
            <w:vAlign w:val="bottom"/>
          </w:tcPr>
          <w:p w14:paraId="39D97936" w14:textId="77777777" w:rsidR="00996AD7" w:rsidRDefault="00996AD7">
            <w:pPr>
              <w:rPr>
                <w:rFonts w:ascii="宋体"/>
                <w:vanish/>
              </w:rPr>
            </w:pPr>
          </w:p>
        </w:tc>
        <w:tc>
          <w:tcPr>
            <w:tcW w:w="0" w:type="auto"/>
            <w:gridSpan w:val="3"/>
            <w:shd w:val="clear" w:color="auto" w:fill="auto"/>
            <w:vAlign w:val="bottom"/>
          </w:tcPr>
          <w:p w14:paraId="39D97937" w14:textId="77777777" w:rsidR="00996AD7" w:rsidRDefault="00996AD7">
            <w:pPr>
              <w:rPr>
                <w:rFonts w:ascii="宋体"/>
                <w:vanish/>
              </w:rPr>
            </w:pPr>
          </w:p>
        </w:tc>
      </w:tr>
      <w:tr w:rsidR="00996AD7" w14:paraId="39D97944" w14:textId="77777777">
        <w:trPr>
          <w:hidden/>
        </w:trPr>
        <w:tc>
          <w:tcPr>
            <w:tcW w:w="0" w:type="auto"/>
            <w:gridSpan w:val="3"/>
            <w:shd w:val="clear" w:color="auto" w:fill="auto"/>
            <w:vAlign w:val="bottom"/>
          </w:tcPr>
          <w:p w14:paraId="39D97939" w14:textId="77777777" w:rsidR="00996AD7" w:rsidRDefault="00996AD7">
            <w:pPr>
              <w:rPr>
                <w:rFonts w:ascii="宋体"/>
                <w:vanish/>
              </w:rPr>
            </w:pPr>
          </w:p>
        </w:tc>
        <w:tc>
          <w:tcPr>
            <w:tcW w:w="0" w:type="auto"/>
            <w:gridSpan w:val="3"/>
            <w:shd w:val="clear" w:color="auto" w:fill="auto"/>
            <w:vAlign w:val="bottom"/>
          </w:tcPr>
          <w:p w14:paraId="39D9793A" w14:textId="77777777" w:rsidR="00996AD7" w:rsidRDefault="00996AD7">
            <w:pPr>
              <w:rPr>
                <w:rFonts w:ascii="宋体"/>
                <w:vanish/>
              </w:rPr>
            </w:pPr>
          </w:p>
        </w:tc>
        <w:tc>
          <w:tcPr>
            <w:tcW w:w="0" w:type="auto"/>
            <w:gridSpan w:val="3"/>
            <w:shd w:val="clear" w:color="auto" w:fill="auto"/>
            <w:vAlign w:val="bottom"/>
          </w:tcPr>
          <w:p w14:paraId="39D9793B" w14:textId="77777777" w:rsidR="00996AD7" w:rsidRDefault="00996AD7">
            <w:pPr>
              <w:rPr>
                <w:rFonts w:ascii="宋体"/>
                <w:vanish/>
              </w:rPr>
            </w:pPr>
          </w:p>
        </w:tc>
        <w:tc>
          <w:tcPr>
            <w:tcW w:w="0" w:type="auto"/>
            <w:gridSpan w:val="3"/>
            <w:shd w:val="clear" w:color="auto" w:fill="auto"/>
            <w:vAlign w:val="bottom"/>
          </w:tcPr>
          <w:p w14:paraId="39D9793C" w14:textId="77777777" w:rsidR="00996AD7" w:rsidRDefault="00996AD7">
            <w:pPr>
              <w:rPr>
                <w:rFonts w:ascii="宋体"/>
                <w:vanish/>
              </w:rPr>
            </w:pPr>
          </w:p>
        </w:tc>
        <w:tc>
          <w:tcPr>
            <w:tcW w:w="0" w:type="auto"/>
            <w:gridSpan w:val="3"/>
            <w:shd w:val="clear" w:color="auto" w:fill="auto"/>
            <w:vAlign w:val="bottom"/>
          </w:tcPr>
          <w:p w14:paraId="39D9793D" w14:textId="77777777" w:rsidR="00996AD7" w:rsidRDefault="00996AD7">
            <w:pPr>
              <w:rPr>
                <w:rFonts w:ascii="宋体"/>
                <w:vanish/>
              </w:rPr>
            </w:pPr>
          </w:p>
        </w:tc>
        <w:tc>
          <w:tcPr>
            <w:tcW w:w="0" w:type="auto"/>
            <w:gridSpan w:val="3"/>
            <w:shd w:val="clear" w:color="auto" w:fill="auto"/>
            <w:vAlign w:val="bottom"/>
          </w:tcPr>
          <w:p w14:paraId="39D9793E" w14:textId="77777777" w:rsidR="00996AD7" w:rsidRDefault="00996AD7">
            <w:pPr>
              <w:rPr>
                <w:rFonts w:ascii="宋体"/>
                <w:vanish/>
              </w:rPr>
            </w:pPr>
          </w:p>
        </w:tc>
        <w:tc>
          <w:tcPr>
            <w:tcW w:w="0" w:type="auto"/>
            <w:gridSpan w:val="3"/>
            <w:shd w:val="clear" w:color="auto" w:fill="auto"/>
            <w:vAlign w:val="bottom"/>
          </w:tcPr>
          <w:p w14:paraId="39D9793F" w14:textId="77777777" w:rsidR="00996AD7" w:rsidRDefault="00996AD7">
            <w:pPr>
              <w:rPr>
                <w:rFonts w:ascii="宋体"/>
                <w:vanish/>
              </w:rPr>
            </w:pPr>
          </w:p>
        </w:tc>
        <w:tc>
          <w:tcPr>
            <w:tcW w:w="0" w:type="auto"/>
            <w:gridSpan w:val="3"/>
            <w:shd w:val="clear" w:color="auto" w:fill="auto"/>
            <w:vAlign w:val="bottom"/>
          </w:tcPr>
          <w:p w14:paraId="39D97940" w14:textId="77777777" w:rsidR="00996AD7" w:rsidRDefault="00996AD7">
            <w:pPr>
              <w:rPr>
                <w:rFonts w:ascii="宋体"/>
                <w:vanish/>
              </w:rPr>
            </w:pPr>
          </w:p>
        </w:tc>
        <w:tc>
          <w:tcPr>
            <w:tcW w:w="0" w:type="auto"/>
            <w:gridSpan w:val="3"/>
            <w:shd w:val="clear" w:color="auto" w:fill="auto"/>
            <w:vAlign w:val="bottom"/>
          </w:tcPr>
          <w:p w14:paraId="39D97941" w14:textId="77777777" w:rsidR="00996AD7" w:rsidRDefault="00996AD7">
            <w:pPr>
              <w:rPr>
                <w:rFonts w:ascii="宋体"/>
                <w:vanish/>
              </w:rPr>
            </w:pPr>
          </w:p>
        </w:tc>
        <w:tc>
          <w:tcPr>
            <w:tcW w:w="0" w:type="auto"/>
            <w:gridSpan w:val="3"/>
            <w:shd w:val="clear" w:color="auto" w:fill="auto"/>
            <w:vAlign w:val="bottom"/>
          </w:tcPr>
          <w:p w14:paraId="39D97942" w14:textId="77777777" w:rsidR="00996AD7" w:rsidRDefault="00996AD7">
            <w:pPr>
              <w:rPr>
                <w:rFonts w:ascii="宋体"/>
                <w:vanish/>
              </w:rPr>
            </w:pPr>
          </w:p>
        </w:tc>
        <w:tc>
          <w:tcPr>
            <w:tcW w:w="0" w:type="auto"/>
            <w:gridSpan w:val="3"/>
            <w:shd w:val="clear" w:color="auto" w:fill="auto"/>
            <w:vAlign w:val="bottom"/>
          </w:tcPr>
          <w:p w14:paraId="39D97943" w14:textId="77777777" w:rsidR="00996AD7" w:rsidRDefault="00996AD7">
            <w:pPr>
              <w:rPr>
                <w:rFonts w:ascii="宋体"/>
                <w:vanish/>
              </w:rPr>
            </w:pPr>
          </w:p>
        </w:tc>
      </w:tr>
      <w:tr w:rsidR="00996AD7" w14:paraId="39D97955" w14:textId="77777777">
        <w:tc>
          <w:tcPr>
            <w:tcW w:w="0" w:type="auto"/>
            <w:gridSpan w:val="3"/>
            <w:shd w:val="clear" w:color="auto" w:fill="auto"/>
            <w:tcMar>
              <w:top w:w="40" w:type="dxa"/>
              <w:left w:w="20" w:type="dxa"/>
              <w:bottom w:w="40" w:type="dxa"/>
              <w:right w:w="20" w:type="dxa"/>
            </w:tcMar>
            <w:vAlign w:val="bottom"/>
          </w:tcPr>
          <w:p w14:paraId="39D97945" w14:textId="77777777" w:rsidR="00996AD7" w:rsidRDefault="00D96458">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39D9794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47"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4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4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4A"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4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4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4D"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4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4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50" w14:textId="77777777" w:rsidR="00996AD7" w:rsidRDefault="00D96458">
            <w:pPr>
              <w:jc w:val="right"/>
              <w:textAlignment w:val="bottom"/>
            </w:pPr>
            <w:r>
              <w:rPr>
                <w:rFonts w:ascii="Arial" w:eastAsia="宋体" w:hAnsi="Arial" w:cs="Arial"/>
                <w:color w:val="262626"/>
                <w:sz w:val="18"/>
                <w:szCs w:val="18"/>
              </w:rPr>
              <w:t>4,276 </w:t>
            </w:r>
          </w:p>
        </w:tc>
        <w:tc>
          <w:tcPr>
            <w:tcW w:w="0" w:type="auto"/>
            <w:shd w:val="clear" w:color="auto" w:fill="auto"/>
            <w:tcMar>
              <w:top w:w="40" w:type="dxa"/>
              <w:left w:w="0" w:type="dxa"/>
              <w:bottom w:w="40" w:type="dxa"/>
              <w:right w:w="20" w:type="dxa"/>
            </w:tcMar>
            <w:vAlign w:val="bottom"/>
          </w:tcPr>
          <w:p w14:paraId="39D9795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5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53" w14:textId="77777777" w:rsidR="00996AD7" w:rsidRDefault="00D96458">
            <w:pPr>
              <w:jc w:val="right"/>
              <w:textAlignment w:val="bottom"/>
            </w:pPr>
            <w:r>
              <w:rPr>
                <w:rFonts w:ascii="Arial" w:eastAsia="宋体" w:hAnsi="Arial" w:cs="Arial"/>
                <w:color w:val="262626"/>
                <w:sz w:val="18"/>
                <w:szCs w:val="18"/>
              </w:rPr>
              <w:t>4,276 </w:t>
            </w:r>
          </w:p>
        </w:tc>
        <w:tc>
          <w:tcPr>
            <w:tcW w:w="0" w:type="auto"/>
            <w:shd w:val="clear" w:color="auto" w:fill="auto"/>
            <w:tcMar>
              <w:top w:w="40" w:type="dxa"/>
              <w:left w:w="0" w:type="dxa"/>
              <w:bottom w:w="40" w:type="dxa"/>
              <w:right w:w="20" w:type="dxa"/>
            </w:tcMar>
            <w:vAlign w:val="bottom"/>
          </w:tcPr>
          <w:p w14:paraId="39D97954" w14:textId="77777777" w:rsidR="00996AD7" w:rsidRDefault="00996AD7">
            <w:pPr>
              <w:jc w:val="right"/>
              <w:rPr>
                <w:rFonts w:ascii="宋体"/>
              </w:rPr>
            </w:pPr>
          </w:p>
        </w:tc>
      </w:tr>
      <w:tr w:rsidR="00996AD7" w14:paraId="39D97966" w14:textId="77777777">
        <w:tc>
          <w:tcPr>
            <w:tcW w:w="0" w:type="auto"/>
            <w:gridSpan w:val="3"/>
            <w:shd w:val="clear" w:color="auto" w:fill="auto"/>
            <w:tcMar>
              <w:top w:w="40" w:type="dxa"/>
              <w:left w:w="20" w:type="dxa"/>
              <w:bottom w:w="40" w:type="dxa"/>
              <w:right w:w="20" w:type="dxa"/>
            </w:tcMar>
            <w:vAlign w:val="bottom"/>
          </w:tcPr>
          <w:p w14:paraId="39D97956" w14:textId="77777777" w:rsidR="00996AD7" w:rsidRDefault="00D9645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39D9795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58"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5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5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5B"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5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5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5E" w14:textId="77777777" w:rsidR="00996AD7" w:rsidRDefault="00D96458">
            <w:pPr>
              <w:jc w:val="right"/>
              <w:textAlignment w:val="bottom"/>
            </w:pPr>
            <w:r>
              <w:rPr>
                <w:rFonts w:ascii="Arial" w:eastAsia="宋体" w:hAnsi="Arial" w:cs="Arial"/>
                <w:color w:val="262626"/>
                <w:sz w:val="18"/>
                <w:szCs w:val="18"/>
              </w:rPr>
              <w:t>212 </w:t>
            </w:r>
          </w:p>
        </w:tc>
        <w:tc>
          <w:tcPr>
            <w:tcW w:w="0" w:type="auto"/>
            <w:shd w:val="clear" w:color="auto" w:fill="auto"/>
            <w:tcMar>
              <w:top w:w="40" w:type="dxa"/>
              <w:left w:w="0" w:type="dxa"/>
              <w:bottom w:w="40" w:type="dxa"/>
              <w:right w:w="20" w:type="dxa"/>
            </w:tcMar>
            <w:vAlign w:val="bottom"/>
          </w:tcPr>
          <w:p w14:paraId="39D9795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6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61"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6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6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64" w14:textId="77777777" w:rsidR="00996AD7" w:rsidRDefault="00D96458">
            <w:pPr>
              <w:jc w:val="right"/>
              <w:textAlignment w:val="bottom"/>
            </w:pPr>
            <w:r>
              <w:rPr>
                <w:rFonts w:ascii="Arial" w:eastAsia="宋体" w:hAnsi="Arial" w:cs="Arial"/>
                <w:color w:val="262626"/>
                <w:sz w:val="18"/>
                <w:szCs w:val="18"/>
              </w:rPr>
              <w:t>212 </w:t>
            </w:r>
          </w:p>
        </w:tc>
        <w:tc>
          <w:tcPr>
            <w:tcW w:w="0" w:type="auto"/>
            <w:shd w:val="clear" w:color="auto" w:fill="auto"/>
            <w:tcMar>
              <w:top w:w="40" w:type="dxa"/>
              <w:left w:w="0" w:type="dxa"/>
              <w:bottom w:w="40" w:type="dxa"/>
              <w:right w:w="20" w:type="dxa"/>
            </w:tcMar>
            <w:vAlign w:val="bottom"/>
          </w:tcPr>
          <w:p w14:paraId="39D97965" w14:textId="77777777" w:rsidR="00996AD7" w:rsidRDefault="00996AD7">
            <w:pPr>
              <w:jc w:val="right"/>
              <w:rPr>
                <w:rFonts w:ascii="宋体"/>
              </w:rPr>
            </w:pPr>
          </w:p>
        </w:tc>
      </w:tr>
      <w:tr w:rsidR="00996AD7" w14:paraId="39D97977" w14:textId="77777777">
        <w:tc>
          <w:tcPr>
            <w:tcW w:w="0" w:type="auto"/>
            <w:gridSpan w:val="3"/>
            <w:shd w:val="clear" w:color="auto" w:fill="auto"/>
            <w:tcMar>
              <w:top w:w="40" w:type="dxa"/>
              <w:left w:w="20" w:type="dxa"/>
              <w:bottom w:w="40" w:type="dxa"/>
              <w:right w:w="20" w:type="dxa"/>
            </w:tcMar>
            <w:vAlign w:val="bottom"/>
          </w:tcPr>
          <w:p w14:paraId="39D97967" w14:textId="77777777" w:rsidR="00996AD7" w:rsidRDefault="00D9645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39D9796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69" w14:textId="77777777" w:rsidR="00996AD7" w:rsidRDefault="00D96458">
            <w:pPr>
              <w:jc w:val="right"/>
              <w:textAlignment w:val="bottom"/>
            </w:pPr>
            <w:r>
              <w:rPr>
                <w:rFonts w:ascii="Arial" w:eastAsia="宋体" w:hAnsi="Arial" w:cs="Arial"/>
                <w:color w:val="262626"/>
                <w:sz w:val="18"/>
                <w:szCs w:val="18"/>
              </w:rPr>
              <w:t>12 </w:t>
            </w:r>
          </w:p>
        </w:tc>
        <w:tc>
          <w:tcPr>
            <w:tcW w:w="0" w:type="auto"/>
            <w:shd w:val="clear" w:color="auto" w:fill="auto"/>
            <w:tcMar>
              <w:top w:w="40" w:type="dxa"/>
              <w:left w:w="0" w:type="dxa"/>
              <w:bottom w:w="40" w:type="dxa"/>
              <w:right w:w="20" w:type="dxa"/>
            </w:tcMar>
            <w:vAlign w:val="bottom"/>
          </w:tcPr>
          <w:p w14:paraId="39D9796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6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6C" w14:textId="77777777" w:rsidR="00996AD7" w:rsidRDefault="00D96458">
            <w:pPr>
              <w:jc w:val="right"/>
              <w:textAlignment w:val="bottom"/>
            </w:pPr>
            <w:r>
              <w:rPr>
                <w:rFonts w:ascii="Arial" w:eastAsia="宋体" w:hAnsi="Arial" w:cs="Arial"/>
                <w:color w:val="262626"/>
                <w:sz w:val="18"/>
                <w:szCs w:val="18"/>
              </w:rPr>
              <w:t>385 </w:t>
            </w:r>
          </w:p>
        </w:tc>
        <w:tc>
          <w:tcPr>
            <w:tcW w:w="0" w:type="auto"/>
            <w:shd w:val="clear" w:color="auto" w:fill="auto"/>
            <w:tcMar>
              <w:top w:w="40" w:type="dxa"/>
              <w:left w:w="0" w:type="dxa"/>
              <w:bottom w:w="40" w:type="dxa"/>
              <w:right w:w="20" w:type="dxa"/>
            </w:tcMar>
            <w:vAlign w:val="bottom"/>
          </w:tcPr>
          <w:p w14:paraId="39D9796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6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6F"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7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7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72"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7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7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75" w14:textId="77777777" w:rsidR="00996AD7" w:rsidRDefault="00D96458">
            <w:pPr>
              <w:jc w:val="right"/>
              <w:textAlignment w:val="bottom"/>
            </w:pPr>
            <w:r>
              <w:rPr>
                <w:rFonts w:ascii="Arial" w:eastAsia="宋体" w:hAnsi="Arial" w:cs="Arial"/>
                <w:color w:val="262626"/>
                <w:sz w:val="18"/>
                <w:szCs w:val="18"/>
              </w:rPr>
              <w:t>385 </w:t>
            </w:r>
          </w:p>
        </w:tc>
        <w:tc>
          <w:tcPr>
            <w:tcW w:w="0" w:type="auto"/>
            <w:shd w:val="clear" w:color="auto" w:fill="auto"/>
            <w:tcMar>
              <w:top w:w="40" w:type="dxa"/>
              <w:left w:w="0" w:type="dxa"/>
              <w:bottom w:w="40" w:type="dxa"/>
              <w:right w:w="20" w:type="dxa"/>
            </w:tcMar>
            <w:vAlign w:val="bottom"/>
          </w:tcPr>
          <w:p w14:paraId="39D97976" w14:textId="77777777" w:rsidR="00996AD7" w:rsidRDefault="00996AD7">
            <w:pPr>
              <w:jc w:val="right"/>
              <w:rPr>
                <w:rFonts w:ascii="宋体"/>
              </w:rPr>
            </w:pPr>
          </w:p>
        </w:tc>
      </w:tr>
      <w:tr w:rsidR="00996AD7" w14:paraId="39D97988" w14:textId="77777777">
        <w:tc>
          <w:tcPr>
            <w:tcW w:w="0" w:type="auto"/>
            <w:gridSpan w:val="3"/>
            <w:shd w:val="clear" w:color="auto" w:fill="auto"/>
            <w:tcMar>
              <w:top w:w="40" w:type="dxa"/>
              <w:left w:w="20" w:type="dxa"/>
              <w:bottom w:w="40" w:type="dxa"/>
              <w:right w:w="20" w:type="dxa"/>
            </w:tcMar>
            <w:vAlign w:val="bottom"/>
          </w:tcPr>
          <w:p w14:paraId="39D97978" w14:textId="77777777" w:rsidR="00996AD7" w:rsidRDefault="00D9645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39D9797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7A"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7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7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7D" w14:textId="77777777" w:rsidR="00996AD7" w:rsidRDefault="00D96458">
            <w:pPr>
              <w:jc w:val="right"/>
              <w:textAlignment w:val="bottom"/>
            </w:pPr>
            <w:r>
              <w:rPr>
                <w:rFonts w:ascii="Arial" w:eastAsia="宋体" w:hAnsi="Arial" w:cs="Arial"/>
                <w:color w:val="262626"/>
                <w:sz w:val="18"/>
                <w:szCs w:val="18"/>
              </w:rPr>
              <w:t>452 </w:t>
            </w:r>
          </w:p>
        </w:tc>
        <w:tc>
          <w:tcPr>
            <w:tcW w:w="0" w:type="auto"/>
            <w:shd w:val="clear" w:color="auto" w:fill="auto"/>
            <w:tcMar>
              <w:top w:w="40" w:type="dxa"/>
              <w:left w:w="0" w:type="dxa"/>
              <w:bottom w:w="40" w:type="dxa"/>
              <w:right w:w="20" w:type="dxa"/>
            </w:tcMar>
            <w:vAlign w:val="bottom"/>
          </w:tcPr>
          <w:p w14:paraId="39D9797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7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80"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8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8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83"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8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8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86" w14:textId="77777777" w:rsidR="00996AD7" w:rsidRDefault="00D96458">
            <w:pPr>
              <w:jc w:val="right"/>
              <w:textAlignment w:val="bottom"/>
            </w:pPr>
            <w:r>
              <w:rPr>
                <w:rFonts w:ascii="Arial" w:eastAsia="宋体" w:hAnsi="Arial" w:cs="Arial"/>
                <w:color w:val="262626"/>
                <w:sz w:val="18"/>
                <w:szCs w:val="18"/>
              </w:rPr>
              <w:t>452 </w:t>
            </w:r>
          </w:p>
        </w:tc>
        <w:tc>
          <w:tcPr>
            <w:tcW w:w="0" w:type="auto"/>
            <w:shd w:val="clear" w:color="auto" w:fill="auto"/>
            <w:tcMar>
              <w:top w:w="40" w:type="dxa"/>
              <w:left w:w="0" w:type="dxa"/>
              <w:bottom w:w="40" w:type="dxa"/>
              <w:right w:w="20" w:type="dxa"/>
            </w:tcMar>
            <w:vAlign w:val="bottom"/>
          </w:tcPr>
          <w:p w14:paraId="39D97987" w14:textId="77777777" w:rsidR="00996AD7" w:rsidRDefault="00996AD7">
            <w:pPr>
              <w:jc w:val="right"/>
              <w:rPr>
                <w:rFonts w:ascii="宋体"/>
              </w:rPr>
            </w:pPr>
          </w:p>
        </w:tc>
      </w:tr>
      <w:tr w:rsidR="00996AD7" w14:paraId="39D97994" w14:textId="77777777">
        <w:trPr>
          <w:hidden/>
        </w:trPr>
        <w:tc>
          <w:tcPr>
            <w:tcW w:w="0" w:type="auto"/>
            <w:gridSpan w:val="3"/>
            <w:shd w:val="clear" w:color="auto" w:fill="auto"/>
            <w:vAlign w:val="bottom"/>
          </w:tcPr>
          <w:p w14:paraId="39D97989" w14:textId="77777777" w:rsidR="00996AD7" w:rsidRDefault="00996AD7">
            <w:pPr>
              <w:rPr>
                <w:rFonts w:ascii="宋体"/>
                <w:vanish/>
              </w:rPr>
            </w:pPr>
          </w:p>
        </w:tc>
        <w:tc>
          <w:tcPr>
            <w:tcW w:w="0" w:type="auto"/>
            <w:gridSpan w:val="3"/>
            <w:shd w:val="clear" w:color="auto" w:fill="auto"/>
            <w:vAlign w:val="bottom"/>
          </w:tcPr>
          <w:p w14:paraId="39D9798A" w14:textId="77777777" w:rsidR="00996AD7" w:rsidRDefault="00996AD7">
            <w:pPr>
              <w:rPr>
                <w:rFonts w:ascii="宋体"/>
                <w:vanish/>
              </w:rPr>
            </w:pPr>
          </w:p>
        </w:tc>
        <w:tc>
          <w:tcPr>
            <w:tcW w:w="0" w:type="auto"/>
            <w:gridSpan w:val="3"/>
            <w:shd w:val="clear" w:color="auto" w:fill="auto"/>
            <w:vAlign w:val="bottom"/>
          </w:tcPr>
          <w:p w14:paraId="39D9798B" w14:textId="77777777" w:rsidR="00996AD7" w:rsidRDefault="00996AD7">
            <w:pPr>
              <w:rPr>
                <w:rFonts w:ascii="宋体"/>
                <w:vanish/>
              </w:rPr>
            </w:pPr>
          </w:p>
        </w:tc>
        <w:tc>
          <w:tcPr>
            <w:tcW w:w="0" w:type="auto"/>
            <w:gridSpan w:val="3"/>
            <w:shd w:val="clear" w:color="auto" w:fill="auto"/>
            <w:vAlign w:val="bottom"/>
          </w:tcPr>
          <w:p w14:paraId="39D9798C" w14:textId="77777777" w:rsidR="00996AD7" w:rsidRDefault="00996AD7">
            <w:pPr>
              <w:rPr>
                <w:rFonts w:ascii="宋体"/>
                <w:vanish/>
              </w:rPr>
            </w:pPr>
          </w:p>
        </w:tc>
        <w:tc>
          <w:tcPr>
            <w:tcW w:w="0" w:type="auto"/>
            <w:gridSpan w:val="3"/>
            <w:shd w:val="clear" w:color="auto" w:fill="auto"/>
            <w:vAlign w:val="bottom"/>
          </w:tcPr>
          <w:p w14:paraId="39D9798D" w14:textId="77777777" w:rsidR="00996AD7" w:rsidRDefault="00996AD7">
            <w:pPr>
              <w:rPr>
                <w:rFonts w:ascii="宋体"/>
                <w:vanish/>
              </w:rPr>
            </w:pPr>
          </w:p>
        </w:tc>
        <w:tc>
          <w:tcPr>
            <w:tcW w:w="0" w:type="auto"/>
            <w:gridSpan w:val="3"/>
            <w:shd w:val="clear" w:color="auto" w:fill="auto"/>
            <w:vAlign w:val="bottom"/>
          </w:tcPr>
          <w:p w14:paraId="39D9798E" w14:textId="77777777" w:rsidR="00996AD7" w:rsidRDefault="00996AD7">
            <w:pPr>
              <w:rPr>
                <w:rFonts w:ascii="宋体"/>
                <w:vanish/>
              </w:rPr>
            </w:pPr>
          </w:p>
        </w:tc>
        <w:tc>
          <w:tcPr>
            <w:tcW w:w="0" w:type="auto"/>
            <w:gridSpan w:val="3"/>
            <w:shd w:val="clear" w:color="auto" w:fill="auto"/>
            <w:vAlign w:val="bottom"/>
          </w:tcPr>
          <w:p w14:paraId="39D9798F" w14:textId="77777777" w:rsidR="00996AD7" w:rsidRDefault="00996AD7">
            <w:pPr>
              <w:rPr>
                <w:rFonts w:ascii="宋体"/>
                <w:vanish/>
              </w:rPr>
            </w:pPr>
          </w:p>
        </w:tc>
        <w:tc>
          <w:tcPr>
            <w:tcW w:w="0" w:type="auto"/>
            <w:gridSpan w:val="3"/>
            <w:shd w:val="clear" w:color="auto" w:fill="auto"/>
            <w:vAlign w:val="bottom"/>
          </w:tcPr>
          <w:p w14:paraId="39D97990" w14:textId="77777777" w:rsidR="00996AD7" w:rsidRDefault="00996AD7">
            <w:pPr>
              <w:rPr>
                <w:rFonts w:ascii="宋体"/>
                <w:vanish/>
              </w:rPr>
            </w:pPr>
          </w:p>
        </w:tc>
        <w:tc>
          <w:tcPr>
            <w:tcW w:w="0" w:type="auto"/>
            <w:gridSpan w:val="3"/>
            <w:shd w:val="clear" w:color="auto" w:fill="auto"/>
            <w:vAlign w:val="bottom"/>
          </w:tcPr>
          <w:p w14:paraId="39D97991" w14:textId="77777777" w:rsidR="00996AD7" w:rsidRDefault="00996AD7">
            <w:pPr>
              <w:rPr>
                <w:rFonts w:ascii="宋体"/>
                <w:vanish/>
              </w:rPr>
            </w:pPr>
          </w:p>
        </w:tc>
        <w:tc>
          <w:tcPr>
            <w:tcW w:w="0" w:type="auto"/>
            <w:gridSpan w:val="3"/>
            <w:shd w:val="clear" w:color="auto" w:fill="auto"/>
            <w:vAlign w:val="bottom"/>
          </w:tcPr>
          <w:p w14:paraId="39D97992" w14:textId="77777777" w:rsidR="00996AD7" w:rsidRDefault="00996AD7">
            <w:pPr>
              <w:rPr>
                <w:rFonts w:ascii="宋体"/>
                <w:vanish/>
              </w:rPr>
            </w:pPr>
          </w:p>
        </w:tc>
        <w:tc>
          <w:tcPr>
            <w:tcW w:w="0" w:type="auto"/>
            <w:gridSpan w:val="3"/>
            <w:shd w:val="clear" w:color="auto" w:fill="auto"/>
            <w:vAlign w:val="bottom"/>
          </w:tcPr>
          <w:p w14:paraId="39D97993" w14:textId="77777777" w:rsidR="00996AD7" w:rsidRDefault="00996AD7">
            <w:pPr>
              <w:rPr>
                <w:rFonts w:ascii="宋体"/>
                <w:vanish/>
              </w:rPr>
            </w:pPr>
          </w:p>
        </w:tc>
      </w:tr>
      <w:tr w:rsidR="00996AD7" w14:paraId="39D979A0" w14:textId="77777777">
        <w:trPr>
          <w:hidden/>
        </w:trPr>
        <w:tc>
          <w:tcPr>
            <w:tcW w:w="0" w:type="auto"/>
            <w:gridSpan w:val="3"/>
            <w:shd w:val="clear" w:color="auto" w:fill="auto"/>
            <w:vAlign w:val="bottom"/>
          </w:tcPr>
          <w:p w14:paraId="39D97995" w14:textId="77777777" w:rsidR="00996AD7" w:rsidRDefault="00996AD7">
            <w:pPr>
              <w:rPr>
                <w:rFonts w:ascii="宋体"/>
                <w:vanish/>
              </w:rPr>
            </w:pPr>
          </w:p>
        </w:tc>
        <w:tc>
          <w:tcPr>
            <w:tcW w:w="0" w:type="auto"/>
            <w:gridSpan w:val="3"/>
            <w:shd w:val="clear" w:color="auto" w:fill="auto"/>
            <w:vAlign w:val="bottom"/>
          </w:tcPr>
          <w:p w14:paraId="39D97996" w14:textId="77777777" w:rsidR="00996AD7" w:rsidRDefault="00996AD7">
            <w:pPr>
              <w:rPr>
                <w:rFonts w:ascii="宋体"/>
                <w:vanish/>
              </w:rPr>
            </w:pPr>
          </w:p>
        </w:tc>
        <w:tc>
          <w:tcPr>
            <w:tcW w:w="0" w:type="auto"/>
            <w:gridSpan w:val="3"/>
            <w:shd w:val="clear" w:color="auto" w:fill="auto"/>
            <w:vAlign w:val="bottom"/>
          </w:tcPr>
          <w:p w14:paraId="39D97997" w14:textId="77777777" w:rsidR="00996AD7" w:rsidRDefault="00996AD7">
            <w:pPr>
              <w:rPr>
                <w:rFonts w:ascii="宋体"/>
                <w:vanish/>
              </w:rPr>
            </w:pPr>
          </w:p>
        </w:tc>
        <w:tc>
          <w:tcPr>
            <w:tcW w:w="0" w:type="auto"/>
            <w:gridSpan w:val="3"/>
            <w:shd w:val="clear" w:color="auto" w:fill="auto"/>
            <w:vAlign w:val="bottom"/>
          </w:tcPr>
          <w:p w14:paraId="39D97998" w14:textId="77777777" w:rsidR="00996AD7" w:rsidRDefault="00996AD7">
            <w:pPr>
              <w:rPr>
                <w:rFonts w:ascii="宋体"/>
                <w:vanish/>
              </w:rPr>
            </w:pPr>
          </w:p>
        </w:tc>
        <w:tc>
          <w:tcPr>
            <w:tcW w:w="0" w:type="auto"/>
            <w:gridSpan w:val="3"/>
            <w:shd w:val="clear" w:color="auto" w:fill="auto"/>
            <w:vAlign w:val="bottom"/>
          </w:tcPr>
          <w:p w14:paraId="39D97999" w14:textId="77777777" w:rsidR="00996AD7" w:rsidRDefault="00996AD7">
            <w:pPr>
              <w:rPr>
                <w:rFonts w:ascii="宋体"/>
                <w:vanish/>
              </w:rPr>
            </w:pPr>
          </w:p>
        </w:tc>
        <w:tc>
          <w:tcPr>
            <w:tcW w:w="0" w:type="auto"/>
            <w:gridSpan w:val="3"/>
            <w:shd w:val="clear" w:color="auto" w:fill="auto"/>
            <w:vAlign w:val="bottom"/>
          </w:tcPr>
          <w:p w14:paraId="39D9799A" w14:textId="77777777" w:rsidR="00996AD7" w:rsidRDefault="00996AD7">
            <w:pPr>
              <w:rPr>
                <w:rFonts w:ascii="宋体"/>
                <w:vanish/>
              </w:rPr>
            </w:pPr>
          </w:p>
        </w:tc>
        <w:tc>
          <w:tcPr>
            <w:tcW w:w="0" w:type="auto"/>
            <w:gridSpan w:val="3"/>
            <w:shd w:val="clear" w:color="auto" w:fill="auto"/>
            <w:vAlign w:val="bottom"/>
          </w:tcPr>
          <w:p w14:paraId="39D9799B" w14:textId="77777777" w:rsidR="00996AD7" w:rsidRDefault="00996AD7">
            <w:pPr>
              <w:rPr>
                <w:rFonts w:ascii="宋体"/>
                <w:vanish/>
              </w:rPr>
            </w:pPr>
          </w:p>
        </w:tc>
        <w:tc>
          <w:tcPr>
            <w:tcW w:w="0" w:type="auto"/>
            <w:gridSpan w:val="3"/>
            <w:shd w:val="clear" w:color="auto" w:fill="auto"/>
            <w:vAlign w:val="bottom"/>
          </w:tcPr>
          <w:p w14:paraId="39D9799C" w14:textId="77777777" w:rsidR="00996AD7" w:rsidRDefault="00996AD7">
            <w:pPr>
              <w:rPr>
                <w:rFonts w:ascii="宋体"/>
                <w:vanish/>
              </w:rPr>
            </w:pPr>
          </w:p>
        </w:tc>
        <w:tc>
          <w:tcPr>
            <w:tcW w:w="0" w:type="auto"/>
            <w:gridSpan w:val="3"/>
            <w:shd w:val="clear" w:color="auto" w:fill="auto"/>
            <w:vAlign w:val="bottom"/>
          </w:tcPr>
          <w:p w14:paraId="39D9799D" w14:textId="77777777" w:rsidR="00996AD7" w:rsidRDefault="00996AD7">
            <w:pPr>
              <w:rPr>
                <w:rFonts w:ascii="宋体"/>
                <w:vanish/>
              </w:rPr>
            </w:pPr>
          </w:p>
        </w:tc>
        <w:tc>
          <w:tcPr>
            <w:tcW w:w="0" w:type="auto"/>
            <w:gridSpan w:val="3"/>
            <w:shd w:val="clear" w:color="auto" w:fill="auto"/>
            <w:vAlign w:val="bottom"/>
          </w:tcPr>
          <w:p w14:paraId="39D9799E" w14:textId="77777777" w:rsidR="00996AD7" w:rsidRDefault="00996AD7">
            <w:pPr>
              <w:rPr>
                <w:rFonts w:ascii="宋体"/>
                <w:vanish/>
              </w:rPr>
            </w:pPr>
          </w:p>
        </w:tc>
        <w:tc>
          <w:tcPr>
            <w:tcW w:w="0" w:type="auto"/>
            <w:gridSpan w:val="3"/>
            <w:shd w:val="clear" w:color="auto" w:fill="auto"/>
            <w:vAlign w:val="bottom"/>
          </w:tcPr>
          <w:p w14:paraId="39D9799F" w14:textId="77777777" w:rsidR="00996AD7" w:rsidRDefault="00996AD7">
            <w:pPr>
              <w:rPr>
                <w:rFonts w:ascii="宋体"/>
                <w:vanish/>
              </w:rPr>
            </w:pPr>
          </w:p>
        </w:tc>
      </w:tr>
      <w:tr w:rsidR="00996AD7" w14:paraId="39D979AC" w14:textId="77777777">
        <w:trPr>
          <w:hidden/>
        </w:trPr>
        <w:tc>
          <w:tcPr>
            <w:tcW w:w="0" w:type="auto"/>
            <w:gridSpan w:val="3"/>
            <w:shd w:val="clear" w:color="auto" w:fill="auto"/>
            <w:vAlign w:val="bottom"/>
          </w:tcPr>
          <w:p w14:paraId="39D979A1" w14:textId="77777777" w:rsidR="00996AD7" w:rsidRDefault="00996AD7">
            <w:pPr>
              <w:rPr>
                <w:rFonts w:ascii="宋体"/>
                <w:vanish/>
              </w:rPr>
            </w:pPr>
          </w:p>
        </w:tc>
        <w:tc>
          <w:tcPr>
            <w:tcW w:w="0" w:type="auto"/>
            <w:gridSpan w:val="3"/>
            <w:shd w:val="clear" w:color="auto" w:fill="auto"/>
            <w:vAlign w:val="bottom"/>
          </w:tcPr>
          <w:p w14:paraId="39D979A2" w14:textId="77777777" w:rsidR="00996AD7" w:rsidRDefault="00996AD7">
            <w:pPr>
              <w:rPr>
                <w:rFonts w:ascii="宋体"/>
                <w:vanish/>
              </w:rPr>
            </w:pPr>
          </w:p>
        </w:tc>
        <w:tc>
          <w:tcPr>
            <w:tcW w:w="0" w:type="auto"/>
            <w:gridSpan w:val="3"/>
            <w:shd w:val="clear" w:color="auto" w:fill="auto"/>
            <w:vAlign w:val="bottom"/>
          </w:tcPr>
          <w:p w14:paraId="39D979A3" w14:textId="77777777" w:rsidR="00996AD7" w:rsidRDefault="00996AD7">
            <w:pPr>
              <w:rPr>
                <w:rFonts w:ascii="宋体"/>
                <w:vanish/>
              </w:rPr>
            </w:pPr>
          </w:p>
        </w:tc>
        <w:tc>
          <w:tcPr>
            <w:tcW w:w="0" w:type="auto"/>
            <w:gridSpan w:val="3"/>
            <w:shd w:val="clear" w:color="auto" w:fill="auto"/>
            <w:vAlign w:val="bottom"/>
          </w:tcPr>
          <w:p w14:paraId="39D979A4" w14:textId="77777777" w:rsidR="00996AD7" w:rsidRDefault="00996AD7">
            <w:pPr>
              <w:rPr>
                <w:rFonts w:ascii="宋体"/>
                <w:vanish/>
              </w:rPr>
            </w:pPr>
          </w:p>
        </w:tc>
        <w:tc>
          <w:tcPr>
            <w:tcW w:w="0" w:type="auto"/>
            <w:gridSpan w:val="3"/>
            <w:shd w:val="clear" w:color="auto" w:fill="auto"/>
            <w:vAlign w:val="bottom"/>
          </w:tcPr>
          <w:p w14:paraId="39D979A5" w14:textId="77777777" w:rsidR="00996AD7" w:rsidRDefault="00996AD7">
            <w:pPr>
              <w:rPr>
                <w:rFonts w:ascii="宋体"/>
                <w:vanish/>
              </w:rPr>
            </w:pPr>
          </w:p>
        </w:tc>
        <w:tc>
          <w:tcPr>
            <w:tcW w:w="0" w:type="auto"/>
            <w:gridSpan w:val="3"/>
            <w:shd w:val="clear" w:color="auto" w:fill="auto"/>
            <w:vAlign w:val="bottom"/>
          </w:tcPr>
          <w:p w14:paraId="39D979A6" w14:textId="77777777" w:rsidR="00996AD7" w:rsidRDefault="00996AD7">
            <w:pPr>
              <w:rPr>
                <w:rFonts w:ascii="宋体"/>
                <w:vanish/>
              </w:rPr>
            </w:pPr>
          </w:p>
        </w:tc>
        <w:tc>
          <w:tcPr>
            <w:tcW w:w="0" w:type="auto"/>
            <w:gridSpan w:val="3"/>
            <w:shd w:val="clear" w:color="auto" w:fill="auto"/>
            <w:vAlign w:val="bottom"/>
          </w:tcPr>
          <w:p w14:paraId="39D979A7" w14:textId="77777777" w:rsidR="00996AD7" w:rsidRDefault="00996AD7">
            <w:pPr>
              <w:rPr>
                <w:rFonts w:ascii="宋体"/>
                <w:vanish/>
              </w:rPr>
            </w:pPr>
          </w:p>
        </w:tc>
        <w:tc>
          <w:tcPr>
            <w:tcW w:w="0" w:type="auto"/>
            <w:gridSpan w:val="3"/>
            <w:shd w:val="clear" w:color="auto" w:fill="auto"/>
            <w:vAlign w:val="bottom"/>
          </w:tcPr>
          <w:p w14:paraId="39D979A8" w14:textId="77777777" w:rsidR="00996AD7" w:rsidRDefault="00996AD7">
            <w:pPr>
              <w:rPr>
                <w:rFonts w:ascii="宋体"/>
                <w:vanish/>
              </w:rPr>
            </w:pPr>
          </w:p>
        </w:tc>
        <w:tc>
          <w:tcPr>
            <w:tcW w:w="0" w:type="auto"/>
            <w:gridSpan w:val="3"/>
            <w:shd w:val="clear" w:color="auto" w:fill="auto"/>
            <w:vAlign w:val="bottom"/>
          </w:tcPr>
          <w:p w14:paraId="39D979A9" w14:textId="77777777" w:rsidR="00996AD7" w:rsidRDefault="00996AD7">
            <w:pPr>
              <w:rPr>
                <w:rFonts w:ascii="宋体"/>
                <w:vanish/>
              </w:rPr>
            </w:pPr>
          </w:p>
        </w:tc>
        <w:tc>
          <w:tcPr>
            <w:tcW w:w="0" w:type="auto"/>
            <w:gridSpan w:val="3"/>
            <w:shd w:val="clear" w:color="auto" w:fill="auto"/>
            <w:vAlign w:val="bottom"/>
          </w:tcPr>
          <w:p w14:paraId="39D979AA" w14:textId="77777777" w:rsidR="00996AD7" w:rsidRDefault="00996AD7">
            <w:pPr>
              <w:rPr>
                <w:rFonts w:ascii="宋体"/>
                <w:vanish/>
              </w:rPr>
            </w:pPr>
          </w:p>
        </w:tc>
        <w:tc>
          <w:tcPr>
            <w:tcW w:w="0" w:type="auto"/>
            <w:gridSpan w:val="3"/>
            <w:shd w:val="clear" w:color="auto" w:fill="auto"/>
            <w:vAlign w:val="bottom"/>
          </w:tcPr>
          <w:p w14:paraId="39D979AB" w14:textId="77777777" w:rsidR="00996AD7" w:rsidRDefault="00996AD7">
            <w:pPr>
              <w:rPr>
                <w:rFonts w:ascii="宋体"/>
                <w:vanish/>
              </w:rPr>
            </w:pPr>
          </w:p>
        </w:tc>
      </w:tr>
      <w:tr w:rsidR="00996AD7" w14:paraId="39D979BD" w14:textId="77777777">
        <w:tc>
          <w:tcPr>
            <w:tcW w:w="0" w:type="auto"/>
            <w:gridSpan w:val="3"/>
            <w:shd w:val="clear" w:color="auto" w:fill="auto"/>
            <w:tcMar>
              <w:top w:w="40" w:type="dxa"/>
              <w:left w:w="20" w:type="dxa"/>
              <w:bottom w:w="40" w:type="dxa"/>
              <w:right w:w="20" w:type="dxa"/>
            </w:tcMar>
            <w:vAlign w:val="bottom"/>
          </w:tcPr>
          <w:p w14:paraId="39D979AD" w14:textId="77777777" w:rsidR="00996AD7" w:rsidRDefault="00D96458">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39D979A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AF" w14:textId="77777777" w:rsidR="00996AD7" w:rsidRDefault="00D96458">
            <w:pPr>
              <w:jc w:val="right"/>
              <w:textAlignment w:val="bottom"/>
            </w:pPr>
            <w:r>
              <w:rPr>
                <w:rFonts w:ascii="Arial" w:eastAsia="宋体" w:hAnsi="Arial" w:cs="Arial"/>
                <w:color w:val="262626"/>
                <w:sz w:val="18"/>
                <w:szCs w:val="18"/>
              </w:rPr>
              <w:t>(166)</w:t>
            </w:r>
          </w:p>
        </w:tc>
        <w:tc>
          <w:tcPr>
            <w:tcW w:w="0" w:type="auto"/>
            <w:shd w:val="clear" w:color="auto" w:fill="auto"/>
            <w:tcMar>
              <w:top w:w="40" w:type="dxa"/>
              <w:left w:w="0" w:type="dxa"/>
              <w:bottom w:w="40" w:type="dxa"/>
              <w:right w:w="20" w:type="dxa"/>
            </w:tcMar>
            <w:vAlign w:val="bottom"/>
          </w:tcPr>
          <w:p w14:paraId="39D979B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B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B2" w14:textId="77777777" w:rsidR="00996AD7" w:rsidRDefault="00D96458">
            <w:pPr>
              <w:jc w:val="right"/>
              <w:textAlignment w:val="bottom"/>
            </w:pPr>
            <w:r>
              <w:rPr>
                <w:rFonts w:ascii="Arial" w:eastAsia="宋体" w:hAnsi="Arial" w:cs="Arial"/>
                <w:color w:val="262626"/>
                <w:sz w:val="18"/>
                <w:szCs w:val="18"/>
              </w:rPr>
              <w:t>(993)</w:t>
            </w:r>
          </w:p>
        </w:tc>
        <w:tc>
          <w:tcPr>
            <w:tcW w:w="0" w:type="auto"/>
            <w:shd w:val="clear" w:color="auto" w:fill="auto"/>
            <w:tcMar>
              <w:top w:w="40" w:type="dxa"/>
              <w:left w:w="0" w:type="dxa"/>
              <w:bottom w:w="40" w:type="dxa"/>
              <w:right w:w="20" w:type="dxa"/>
            </w:tcMar>
            <w:vAlign w:val="bottom"/>
          </w:tcPr>
          <w:p w14:paraId="39D979B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B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B5"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B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B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B8" w14:textId="77777777" w:rsidR="00996AD7" w:rsidRDefault="00D96458">
            <w:pPr>
              <w:jc w:val="right"/>
              <w:textAlignment w:val="bottom"/>
            </w:pPr>
            <w:r>
              <w:rPr>
                <w:rFonts w:ascii="Arial" w:eastAsia="宋体" w:hAnsi="Arial" w:cs="Arial"/>
                <w:color w:val="262626"/>
                <w:sz w:val="18"/>
                <w:szCs w:val="18"/>
              </w:rPr>
              <w:t>(7,007)</w:t>
            </w:r>
          </w:p>
        </w:tc>
        <w:tc>
          <w:tcPr>
            <w:tcW w:w="0" w:type="auto"/>
            <w:shd w:val="clear" w:color="auto" w:fill="auto"/>
            <w:tcMar>
              <w:top w:w="40" w:type="dxa"/>
              <w:left w:w="0" w:type="dxa"/>
              <w:bottom w:w="40" w:type="dxa"/>
              <w:right w:w="20" w:type="dxa"/>
            </w:tcMar>
            <w:vAlign w:val="bottom"/>
          </w:tcPr>
          <w:p w14:paraId="39D979B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B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BB" w14:textId="77777777" w:rsidR="00996AD7" w:rsidRDefault="00D96458">
            <w:pPr>
              <w:jc w:val="right"/>
              <w:textAlignment w:val="bottom"/>
            </w:pPr>
            <w:r>
              <w:rPr>
                <w:rFonts w:ascii="Arial" w:eastAsia="宋体" w:hAnsi="Arial" w:cs="Arial"/>
                <w:color w:val="262626"/>
                <w:sz w:val="18"/>
                <w:szCs w:val="18"/>
              </w:rPr>
              <w:t>(8,000)</w:t>
            </w:r>
          </w:p>
        </w:tc>
        <w:tc>
          <w:tcPr>
            <w:tcW w:w="0" w:type="auto"/>
            <w:shd w:val="clear" w:color="auto" w:fill="auto"/>
            <w:tcMar>
              <w:top w:w="40" w:type="dxa"/>
              <w:left w:w="0" w:type="dxa"/>
              <w:bottom w:w="40" w:type="dxa"/>
              <w:right w:w="20" w:type="dxa"/>
            </w:tcMar>
            <w:vAlign w:val="bottom"/>
          </w:tcPr>
          <w:p w14:paraId="39D979BC" w14:textId="77777777" w:rsidR="00996AD7" w:rsidRDefault="00996AD7">
            <w:pPr>
              <w:jc w:val="right"/>
              <w:rPr>
                <w:rFonts w:ascii="宋体"/>
              </w:rPr>
            </w:pPr>
          </w:p>
        </w:tc>
      </w:tr>
      <w:tr w:rsidR="00996AD7" w14:paraId="39D979CE" w14:textId="77777777">
        <w:tc>
          <w:tcPr>
            <w:tcW w:w="0" w:type="auto"/>
            <w:gridSpan w:val="3"/>
            <w:shd w:val="clear" w:color="auto" w:fill="auto"/>
            <w:tcMar>
              <w:top w:w="40" w:type="dxa"/>
              <w:left w:w="20" w:type="dxa"/>
              <w:bottom w:w="40" w:type="dxa"/>
              <w:right w:w="20" w:type="dxa"/>
            </w:tcMar>
            <w:vAlign w:val="bottom"/>
          </w:tcPr>
          <w:p w14:paraId="39D979BE" w14:textId="77777777" w:rsidR="00996AD7" w:rsidRDefault="00D96458">
            <w:pPr>
              <w:textAlignment w:val="bottom"/>
            </w:pPr>
            <w:r>
              <w:rPr>
                <w:rFonts w:ascii="Arial" w:eastAsia="宋体" w:hAnsi="Arial" w:cs="Arial"/>
                <w:color w:val="262626"/>
                <w:sz w:val="18"/>
                <w:szCs w:val="18"/>
              </w:rPr>
              <w:t>Accelerated share repurchase forward agreements</w:t>
            </w:r>
          </w:p>
        </w:tc>
        <w:tc>
          <w:tcPr>
            <w:tcW w:w="0" w:type="auto"/>
            <w:gridSpan w:val="3"/>
            <w:shd w:val="clear" w:color="auto" w:fill="auto"/>
            <w:tcMar>
              <w:top w:w="0" w:type="dxa"/>
              <w:left w:w="20" w:type="dxa"/>
              <w:bottom w:w="0" w:type="dxa"/>
              <w:right w:w="20" w:type="dxa"/>
            </w:tcMar>
            <w:vAlign w:val="bottom"/>
          </w:tcPr>
          <w:p w14:paraId="39D979B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C0"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C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C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C3" w14:textId="77777777" w:rsidR="00996AD7" w:rsidRDefault="00D96458">
            <w:pPr>
              <w:jc w:val="right"/>
              <w:textAlignment w:val="bottom"/>
            </w:pPr>
            <w:r>
              <w:rPr>
                <w:rFonts w:ascii="Arial" w:eastAsia="宋体" w:hAnsi="Arial" w:cs="Arial"/>
                <w:color w:val="262626"/>
                <w:sz w:val="18"/>
                <w:szCs w:val="18"/>
              </w:rPr>
              <w:t>(2,000)</w:t>
            </w:r>
          </w:p>
        </w:tc>
        <w:tc>
          <w:tcPr>
            <w:tcW w:w="0" w:type="auto"/>
            <w:shd w:val="clear" w:color="auto" w:fill="auto"/>
            <w:tcMar>
              <w:top w:w="40" w:type="dxa"/>
              <w:left w:w="0" w:type="dxa"/>
              <w:bottom w:w="40" w:type="dxa"/>
              <w:right w:w="20" w:type="dxa"/>
            </w:tcMar>
            <w:vAlign w:val="bottom"/>
          </w:tcPr>
          <w:p w14:paraId="39D979C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C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C6"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C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C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C9"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C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C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CC" w14:textId="77777777" w:rsidR="00996AD7" w:rsidRDefault="00D96458">
            <w:pPr>
              <w:jc w:val="right"/>
              <w:textAlignment w:val="bottom"/>
            </w:pPr>
            <w:r>
              <w:rPr>
                <w:rFonts w:ascii="Arial" w:eastAsia="宋体" w:hAnsi="Arial" w:cs="Arial"/>
                <w:color w:val="262626"/>
                <w:sz w:val="18"/>
                <w:szCs w:val="18"/>
              </w:rPr>
              <w:t>(2,000)</w:t>
            </w:r>
          </w:p>
        </w:tc>
        <w:tc>
          <w:tcPr>
            <w:tcW w:w="0" w:type="auto"/>
            <w:shd w:val="clear" w:color="auto" w:fill="auto"/>
            <w:tcMar>
              <w:top w:w="40" w:type="dxa"/>
              <w:left w:w="0" w:type="dxa"/>
              <w:bottom w:w="40" w:type="dxa"/>
              <w:right w:w="20" w:type="dxa"/>
            </w:tcMar>
            <w:vAlign w:val="bottom"/>
          </w:tcPr>
          <w:p w14:paraId="39D979CD" w14:textId="77777777" w:rsidR="00996AD7" w:rsidRDefault="00996AD7">
            <w:pPr>
              <w:jc w:val="right"/>
              <w:rPr>
                <w:rFonts w:ascii="宋体"/>
              </w:rPr>
            </w:pPr>
          </w:p>
        </w:tc>
      </w:tr>
      <w:tr w:rsidR="00996AD7" w14:paraId="39D979DF" w14:textId="77777777">
        <w:tc>
          <w:tcPr>
            <w:tcW w:w="0" w:type="auto"/>
            <w:gridSpan w:val="3"/>
            <w:shd w:val="clear" w:color="auto" w:fill="auto"/>
            <w:tcMar>
              <w:top w:w="40" w:type="dxa"/>
              <w:left w:w="20" w:type="dxa"/>
              <w:bottom w:w="40" w:type="dxa"/>
              <w:right w:w="20" w:type="dxa"/>
            </w:tcMar>
            <w:vAlign w:val="bottom"/>
          </w:tcPr>
          <w:p w14:paraId="39D979CF" w14:textId="77777777" w:rsidR="00996AD7" w:rsidRDefault="00D9645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39D979D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D1" w14:textId="77777777" w:rsidR="00996AD7" w:rsidRDefault="00D96458">
            <w:pPr>
              <w:jc w:val="right"/>
              <w:textAlignment w:val="bottom"/>
            </w:pPr>
            <w:r>
              <w:rPr>
                <w:rFonts w:ascii="Arial" w:eastAsia="宋体" w:hAnsi="Arial" w:cs="Arial"/>
                <w:color w:val="262626"/>
                <w:sz w:val="18"/>
                <w:szCs w:val="18"/>
              </w:rPr>
              <w:t>(1)</w:t>
            </w:r>
          </w:p>
        </w:tc>
        <w:tc>
          <w:tcPr>
            <w:tcW w:w="0" w:type="auto"/>
            <w:shd w:val="clear" w:color="auto" w:fill="auto"/>
            <w:tcMar>
              <w:top w:w="40" w:type="dxa"/>
              <w:left w:w="0" w:type="dxa"/>
              <w:bottom w:w="40" w:type="dxa"/>
              <w:right w:w="20" w:type="dxa"/>
            </w:tcMar>
            <w:vAlign w:val="bottom"/>
          </w:tcPr>
          <w:p w14:paraId="39D979D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D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D4" w14:textId="77777777" w:rsidR="00996AD7" w:rsidRDefault="00D96458">
            <w:pPr>
              <w:jc w:val="right"/>
              <w:textAlignment w:val="bottom"/>
            </w:pPr>
            <w:r>
              <w:rPr>
                <w:rFonts w:ascii="Arial" w:eastAsia="宋体" w:hAnsi="Arial" w:cs="Arial"/>
                <w:color w:val="262626"/>
                <w:sz w:val="18"/>
                <w:szCs w:val="18"/>
              </w:rPr>
              <w:t>(25)</w:t>
            </w:r>
          </w:p>
        </w:tc>
        <w:tc>
          <w:tcPr>
            <w:tcW w:w="0" w:type="auto"/>
            <w:shd w:val="clear" w:color="auto" w:fill="auto"/>
            <w:tcMar>
              <w:top w:w="40" w:type="dxa"/>
              <w:left w:w="0" w:type="dxa"/>
              <w:bottom w:w="40" w:type="dxa"/>
              <w:right w:w="20" w:type="dxa"/>
            </w:tcMar>
            <w:vAlign w:val="bottom"/>
          </w:tcPr>
          <w:p w14:paraId="39D979D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D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D7"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D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D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DA"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D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D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DD" w14:textId="77777777" w:rsidR="00996AD7" w:rsidRDefault="00D96458">
            <w:pPr>
              <w:jc w:val="right"/>
              <w:textAlignment w:val="bottom"/>
            </w:pPr>
            <w:r>
              <w:rPr>
                <w:rFonts w:ascii="Arial" w:eastAsia="宋体" w:hAnsi="Arial" w:cs="Arial"/>
                <w:color w:val="262626"/>
                <w:sz w:val="18"/>
                <w:szCs w:val="18"/>
              </w:rPr>
              <w:t>(25)</w:t>
            </w:r>
          </w:p>
        </w:tc>
        <w:tc>
          <w:tcPr>
            <w:tcW w:w="0" w:type="auto"/>
            <w:shd w:val="clear" w:color="auto" w:fill="auto"/>
            <w:tcMar>
              <w:top w:w="40" w:type="dxa"/>
              <w:left w:w="0" w:type="dxa"/>
              <w:bottom w:w="40" w:type="dxa"/>
              <w:right w:w="20" w:type="dxa"/>
            </w:tcMar>
            <w:vAlign w:val="bottom"/>
          </w:tcPr>
          <w:p w14:paraId="39D979DE" w14:textId="77777777" w:rsidR="00996AD7" w:rsidRDefault="00996AD7">
            <w:pPr>
              <w:jc w:val="right"/>
              <w:rPr>
                <w:rFonts w:ascii="宋体"/>
              </w:rPr>
            </w:pPr>
          </w:p>
        </w:tc>
      </w:tr>
      <w:tr w:rsidR="00996AD7" w14:paraId="39D979F0" w14:textId="77777777">
        <w:tc>
          <w:tcPr>
            <w:tcW w:w="0" w:type="auto"/>
            <w:gridSpan w:val="3"/>
            <w:shd w:val="clear" w:color="auto" w:fill="auto"/>
            <w:tcMar>
              <w:top w:w="40" w:type="dxa"/>
              <w:left w:w="20" w:type="dxa"/>
              <w:bottom w:w="40" w:type="dxa"/>
              <w:right w:w="20" w:type="dxa"/>
            </w:tcMar>
            <w:vAlign w:val="bottom"/>
          </w:tcPr>
          <w:p w14:paraId="39D979E0" w14:textId="77777777" w:rsidR="00996AD7" w:rsidRDefault="00D96458">
            <w:pPr>
              <w:textAlignment w:val="bottom"/>
            </w:pPr>
            <w:r>
              <w:rPr>
                <w:rFonts w:ascii="Arial" w:eastAsia="宋体" w:hAnsi="Arial" w:cs="Arial"/>
                <w:color w:val="262626"/>
                <w:sz w:val="18"/>
                <w:szCs w:val="18"/>
              </w:rPr>
              <w:t>Cash dividends declared ($0.66 per share)</w:t>
            </w:r>
          </w:p>
        </w:tc>
        <w:tc>
          <w:tcPr>
            <w:tcW w:w="0" w:type="auto"/>
            <w:gridSpan w:val="3"/>
            <w:shd w:val="clear" w:color="auto" w:fill="auto"/>
            <w:tcMar>
              <w:top w:w="0" w:type="dxa"/>
              <w:left w:w="20" w:type="dxa"/>
              <w:bottom w:w="0" w:type="dxa"/>
              <w:right w:w="20" w:type="dxa"/>
            </w:tcMar>
            <w:vAlign w:val="bottom"/>
          </w:tcPr>
          <w:p w14:paraId="39D979E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E2"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E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E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E5"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E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E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E8"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9E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E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EB" w14:textId="77777777" w:rsidR="00996AD7" w:rsidRDefault="00D96458">
            <w:pPr>
              <w:jc w:val="right"/>
              <w:textAlignment w:val="bottom"/>
            </w:pPr>
            <w:r>
              <w:rPr>
                <w:rFonts w:ascii="Arial" w:eastAsia="宋体" w:hAnsi="Arial" w:cs="Arial"/>
                <w:color w:val="262626"/>
                <w:sz w:val="18"/>
                <w:szCs w:val="18"/>
              </w:rPr>
              <w:t>(2,756)</w:t>
            </w:r>
          </w:p>
        </w:tc>
        <w:tc>
          <w:tcPr>
            <w:tcW w:w="0" w:type="auto"/>
            <w:shd w:val="clear" w:color="auto" w:fill="auto"/>
            <w:tcMar>
              <w:top w:w="40" w:type="dxa"/>
              <w:left w:w="0" w:type="dxa"/>
              <w:bottom w:w="40" w:type="dxa"/>
              <w:right w:w="20" w:type="dxa"/>
            </w:tcMar>
            <w:vAlign w:val="bottom"/>
          </w:tcPr>
          <w:p w14:paraId="39D979E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9E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9EE" w14:textId="77777777" w:rsidR="00996AD7" w:rsidRDefault="00D96458">
            <w:pPr>
              <w:jc w:val="right"/>
              <w:textAlignment w:val="bottom"/>
            </w:pPr>
            <w:r>
              <w:rPr>
                <w:rFonts w:ascii="Arial" w:eastAsia="宋体" w:hAnsi="Arial" w:cs="Arial"/>
                <w:color w:val="262626"/>
                <w:sz w:val="18"/>
                <w:szCs w:val="18"/>
              </w:rPr>
              <w:t>(2,756)</w:t>
            </w:r>
          </w:p>
        </w:tc>
        <w:tc>
          <w:tcPr>
            <w:tcW w:w="0" w:type="auto"/>
            <w:shd w:val="clear" w:color="auto" w:fill="auto"/>
            <w:tcMar>
              <w:top w:w="40" w:type="dxa"/>
              <w:left w:w="0" w:type="dxa"/>
              <w:bottom w:w="40" w:type="dxa"/>
              <w:right w:w="20" w:type="dxa"/>
            </w:tcMar>
            <w:vAlign w:val="bottom"/>
          </w:tcPr>
          <w:p w14:paraId="39D979EF" w14:textId="77777777" w:rsidR="00996AD7" w:rsidRDefault="00996AD7">
            <w:pPr>
              <w:jc w:val="right"/>
              <w:rPr>
                <w:rFonts w:ascii="宋体"/>
              </w:rPr>
            </w:pPr>
          </w:p>
        </w:tc>
      </w:tr>
      <w:tr w:rsidR="00996AD7" w14:paraId="39D979FC" w14:textId="77777777">
        <w:trPr>
          <w:hidden/>
        </w:trPr>
        <w:tc>
          <w:tcPr>
            <w:tcW w:w="0" w:type="auto"/>
            <w:gridSpan w:val="3"/>
            <w:shd w:val="clear" w:color="auto" w:fill="auto"/>
            <w:vAlign w:val="bottom"/>
          </w:tcPr>
          <w:p w14:paraId="39D979F1" w14:textId="77777777" w:rsidR="00996AD7" w:rsidRDefault="00996AD7">
            <w:pPr>
              <w:rPr>
                <w:rFonts w:ascii="宋体"/>
                <w:vanish/>
              </w:rPr>
            </w:pPr>
          </w:p>
        </w:tc>
        <w:tc>
          <w:tcPr>
            <w:tcW w:w="0" w:type="auto"/>
            <w:gridSpan w:val="3"/>
            <w:shd w:val="clear" w:color="auto" w:fill="auto"/>
            <w:vAlign w:val="bottom"/>
          </w:tcPr>
          <w:p w14:paraId="39D979F2" w14:textId="77777777" w:rsidR="00996AD7" w:rsidRDefault="00996AD7">
            <w:pPr>
              <w:rPr>
                <w:rFonts w:ascii="宋体"/>
                <w:vanish/>
              </w:rPr>
            </w:pPr>
          </w:p>
        </w:tc>
        <w:tc>
          <w:tcPr>
            <w:tcW w:w="0" w:type="auto"/>
            <w:gridSpan w:val="3"/>
            <w:shd w:val="clear" w:color="auto" w:fill="auto"/>
            <w:vAlign w:val="bottom"/>
          </w:tcPr>
          <w:p w14:paraId="39D979F3" w14:textId="77777777" w:rsidR="00996AD7" w:rsidRDefault="00996AD7">
            <w:pPr>
              <w:rPr>
                <w:rFonts w:ascii="宋体"/>
                <w:vanish/>
              </w:rPr>
            </w:pPr>
          </w:p>
        </w:tc>
        <w:tc>
          <w:tcPr>
            <w:tcW w:w="0" w:type="auto"/>
            <w:gridSpan w:val="3"/>
            <w:shd w:val="clear" w:color="auto" w:fill="auto"/>
            <w:vAlign w:val="bottom"/>
          </w:tcPr>
          <w:p w14:paraId="39D979F4" w14:textId="77777777" w:rsidR="00996AD7" w:rsidRDefault="00996AD7">
            <w:pPr>
              <w:rPr>
                <w:rFonts w:ascii="宋体"/>
                <w:vanish/>
              </w:rPr>
            </w:pPr>
          </w:p>
        </w:tc>
        <w:tc>
          <w:tcPr>
            <w:tcW w:w="0" w:type="auto"/>
            <w:gridSpan w:val="3"/>
            <w:shd w:val="clear" w:color="auto" w:fill="auto"/>
            <w:vAlign w:val="bottom"/>
          </w:tcPr>
          <w:p w14:paraId="39D979F5" w14:textId="77777777" w:rsidR="00996AD7" w:rsidRDefault="00996AD7">
            <w:pPr>
              <w:rPr>
                <w:rFonts w:ascii="宋体"/>
                <w:vanish/>
              </w:rPr>
            </w:pPr>
          </w:p>
        </w:tc>
        <w:tc>
          <w:tcPr>
            <w:tcW w:w="0" w:type="auto"/>
            <w:gridSpan w:val="3"/>
            <w:shd w:val="clear" w:color="auto" w:fill="auto"/>
            <w:vAlign w:val="bottom"/>
          </w:tcPr>
          <w:p w14:paraId="39D979F6" w14:textId="77777777" w:rsidR="00996AD7" w:rsidRDefault="00996AD7">
            <w:pPr>
              <w:rPr>
                <w:rFonts w:ascii="宋体"/>
                <w:vanish/>
              </w:rPr>
            </w:pPr>
          </w:p>
        </w:tc>
        <w:tc>
          <w:tcPr>
            <w:tcW w:w="0" w:type="auto"/>
            <w:gridSpan w:val="3"/>
            <w:shd w:val="clear" w:color="auto" w:fill="auto"/>
            <w:vAlign w:val="bottom"/>
          </w:tcPr>
          <w:p w14:paraId="39D979F7" w14:textId="77777777" w:rsidR="00996AD7" w:rsidRDefault="00996AD7">
            <w:pPr>
              <w:rPr>
                <w:rFonts w:ascii="宋体"/>
                <w:vanish/>
              </w:rPr>
            </w:pPr>
          </w:p>
        </w:tc>
        <w:tc>
          <w:tcPr>
            <w:tcW w:w="0" w:type="auto"/>
            <w:gridSpan w:val="3"/>
            <w:shd w:val="clear" w:color="auto" w:fill="auto"/>
            <w:vAlign w:val="bottom"/>
          </w:tcPr>
          <w:p w14:paraId="39D979F8" w14:textId="77777777" w:rsidR="00996AD7" w:rsidRDefault="00996AD7">
            <w:pPr>
              <w:rPr>
                <w:rFonts w:ascii="宋体"/>
                <w:vanish/>
              </w:rPr>
            </w:pPr>
          </w:p>
        </w:tc>
        <w:tc>
          <w:tcPr>
            <w:tcW w:w="0" w:type="auto"/>
            <w:gridSpan w:val="3"/>
            <w:shd w:val="clear" w:color="auto" w:fill="auto"/>
            <w:vAlign w:val="bottom"/>
          </w:tcPr>
          <w:p w14:paraId="39D979F9" w14:textId="77777777" w:rsidR="00996AD7" w:rsidRDefault="00996AD7">
            <w:pPr>
              <w:rPr>
                <w:rFonts w:ascii="宋体"/>
                <w:vanish/>
              </w:rPr>
            </w:pPr>
          </w:p>
        </w:tc>
        <w:tc>
          <w:tcPr>
            <w:tcW w:w="0" w:type="auto"/>
            <w:gridSpan w:val="3"/>
            <w:shd w:val="clear" w:color="auto" w:fill="auto"/>
            <w:vAlign w:val="bottom"/>
          </w:tcPr>
          <w:p w14:paraId="39D979FA" w14:textId="77777777" w:rsidR="00996AD7" w:rsidRDefault="00996AD7">
            <w:pPr>
              <w:rPr>
                <w:rFonts w:ascii="宋体"/>
                <w:vanish/>
              </w:rPr>
            </w:pPr>
          </w:p>
        </w:tc>
        <w:tc>
          <w:tcPr>
            <w:tcW w:w="0" w:type="auto"/>
            <w:gridSpan w:val="3"/>
            <w:shd w:val="clear" w:color="auto" w:fill="auto"/>
            <w:vAlign w:val="bottom"/>
          </w:tcPr>
          <w:p w14:paraId="39D979FB" w14:textId="77777777" w:rsidR="00996AD7" w:rsidRDefault="00996AD7">
            <w:pPr>
              <w:rPr>
                <w:rFonts w:ascii="宋体"/>
                <w:vanish/>
              </w:rPr>
            </w:pPr>
          </w:p>
        </w:tc>
      </w:tr>
      <w:tr w:rsidR="00996AD7" w14:paraId="39D97A11" w14:textId="77777777">
        <w:tc>
          <w:tcPr>
            <w:tcW w:w="0" w:type="auto"/>
            <w:gridSpan w:val="3"/>
            <w:shd w:val="clear" w:color="auto" w:fill="auto"/>
            <w:tcMar>
              <w:top w:w="40" w:type="dxa"/>
              <w:left w:w="20" w:type="dxa"/>
              <w:bottom w:w="40" w:type="dxa"/>
              <w:right w:w="20" w:type="dxa"/>
            </w:tcMar>
            <w:vAlign w:val="bottom"/>
          </w:tcPr>
          <w:p w14:paraId="39D979FD" w14:textId="77777777" w:rsidR="00996AD7" w:rsidRDefault="00D96458">
            <w:pPr>
              <w:textAlignment w:val="bottom"/>
            </w:pPr>
            <w:r>
              <w:rPr>
                <w:rFonts w:ascii="Arial" w:eastAsia="宋体" w:hAnsi="Arial" w:cs="Arial"/>
                <w:b/>
                <w:bCs/>
                <w:color w:val="262626"/>
                <w:sz w:val="18"/>
                <w:szCs w:val="18"/>
              </w:rPr>
              <w:t>Balance as of September 26, 2020</w:t>
            </w:r>
          </w:p>
        </w:tc>
        <w:tc>
          <w:tcPr>
            <w:tcW w:w="0" w:type="auto"/>
            <w:gridSpan w:val="3"/>
            <w:shd w:val="clear" w:color="auto" w:fill="auto"/>
            <w:tcMar>
              <w:top w:w="0" w:type="dxa"/>
              <w:left w:w="20" w:type="dxa"/>
              <w:bottom w:w="0" w:type="dxa"/>
              <w:right w:w="20" w:type="dxa"/>
            </w:tcMar>
            <w:vAlign w:val="bottom"/>
          </w:tcPr>
          <w:p w14:paraId="39D979FE"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9FF" w14:textId="77777777" w:rsidR="00996AD7" w:rsidRDefault="00D96458">
            <w:pPr>
              <w:jc w:val="right"/>
              <w:textAlignment w:val="bottom"/>
            </w:pPr>
            <w:r>
              <w:rPr>
                <w:rFonts w:ascii="Arial" w:eastAsia="宋体" w:hAnsi="Arial" w:cs="Arial"/>
                <w:b/>
                <w:bCs/>
                <w:color w:val="262626"/>
                <w:sz w:val="18"/>
                <w:szCs w:val="18"/>
              </w:rPr>
              <w:t>4,098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A0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01"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A02"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A03" w14:textId="77777777" w:rsidR="00996AD7" w:rsidRDefault="00D96458">
            <w:pPr>
              <w:jc w:val="right"/>
              <w:textAlignment w:val="bottom"/>
            </w:pPr>
            <w:r>
              <w:rPr>
                <w:rFonts w:ascii="Arial" w:eastAsia="宋体" w:hAnsi="Arial" w:cs="Arial"/>
                <w:b/>
                <w:bCs/>
                <w:color w:val="262626"/>
                <w:sz w:val="18"/>
                <w:szCs w:val="18"/>
              </w:rPr>
              <w:t>23,335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A0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05"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A06"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A07" w14:textId="77777777" w:rsidR="00996AD7" w:rsidRDefault="00D96458">
            <w:pPr>
              <w:jc w:val="right"/>
              <w:textAlignment w:val="bottom"/>
            </w:pPr>
            <w:r>
              <w:rPr>
                <w:rFonts w:ascii="Arial" w:eastAsia="宋体" w:hAnsi="Arial" w:cs="Arial"/>
                <w:b/>
                <w:bCs/>
                <w:color w:val="262626"/>
                <w:sz w:val="18"/>
                <w:szCs w:val="18"/>
              </w:rPr>
              <w:t>(940)</w:t>
            </w:r>
          </w:p>
        </w:tc>
        <w:tc>
          <w:tcPr>
            <w:tcW w:w="0" w:type="auto"/>
            <w:tcBorders>
              <w:top w:val="single" w:sz="4" w:space="0" w:color="262626"/>
            </w:tcBorders>
            <w:shd w:val="clear" w:color="auto" w:fill="auto"/>
            <w:tcMar>
              <w:top w:w="40" w:type="dxa"/>
              <w:left w:w="0" w:type="dxa"/>
              <w:bottom w:w="40" w:type="dxa"/>
              <w:right w:w="20" w:type="dxa"/>
            </w:tcMar>
            <w:vAlign w:val="bottom"/>
          </w:tcPr>
          <w:p w14:paraId="39D97A0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09"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A0A"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A0B" w14:textId="77777777" w:rsidR="00996AD7" w:rsidRDefault="00D96458">
            <w:pPr>
              <w:jc w:val="right"/>
              <w:textAlignment w:val="bottom"/>
            </w:pPr>
            <w:r>
              <w:rPr>
                <w:rFonts w:ascii="Arial" w:eastAsia="宋体" w:hAnsi="Arial" w:cs="Arial"/>
                <w:b/>
                <w:bCs/>
                <w:color w:val="262626"/>
                <w:sz w:val="18"/>
                <w:szCs w:val="18"/>
              </w:rPr>
              <w:t>52,159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A0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0D"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A0E"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A0F" w14:textId="77777777" w:rsidR="00996AD7" w:rsidRDefault="00D96458">
            <w:pPr>
              <w:jc w:val="right"/>
              <w:textAlignment w:val="bottom"/>
            </w:pPr>
            <w:r>
              <w:rPr>
                <w:rFonts w:ascii="Arial" w:eastAsia="宋体" w:hAnsi="Arial" w:cs="Arial"/>
                <w:b/>
                <w:bCs/>
                <w:color w:val="262626"/>
                <w:sz w:val="18"/>
                <w:szCs w:val="18"/>
              </w:rPr>
              <w:t>74,554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A10" w14:textId="77777777" w:rsidR="00996AD7" w:rsidRDefault="00996AD7">
            <w:pPr>
              <w:jc w:val="right"/>
              <w:rPr>
                <w:rFonts w:ascii="宋体"/>
              </w:rPr>
            </w:pPr>
          </w:p>
        </w:tc>
      </w:tr>
      <w:tr w:rsidR="00996AD7" w14:paraId="39D97A1D" w14:textId="77777777">
        <w:trPr>
          <w:trHeight w:val="60"/>
        </w:trPr>
        <w:tc>
          <w:tcPr>
            <w:tcW w:w="0" w:type="auto"/>
            <w:gridSpan w:val="3"/>
            <w:shd w:val="clear" w:color="auto" w:fill="auto"/>
            <w:tcMar>
              <w:top w:w="0" w:type="dxa"/>
              <w:left w:w="20" w:type="dxa"/>
              <w:bottom w:w="0" w:type="dxa"/>
              <w:right w:w="20" w:type="dxa"/>
            </w:tcMar>
            <w:vAlign w:val="bottom"/>
          </w:tcPr>
          <w:p w14:paraId="39D97A1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A13"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A1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A15"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A1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A17"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A1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A19"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A1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A1B"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A1C" w14:textId="77777777" w:rsidR="00996AD7" w:rsidRDefault="00996AD7">
            <w:pPr>
              <w:rPr>
                <w:rFonts w:ascii="宋体"/>
              </w:rPr>
            </w:pPr>
          </w:p>
        </w:tc>
      </w:tr>
      <w:tr w:rsidR="00996AD7" w14:paraId="39D97A29"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7A1E" w14:textId="77777777" w:rsidR="00996AD7" w:rsidRDefault="00D96458">
            <w:pPr>
              <w:textAlignment w:val="bottom"/>
            </w:pPr>
            <w:r>
              <w:rPr>
                <w:rFonts w:ascii="Arial" w:eastAsia="宋体" w:hAnsi="Arial" w:cs="Arial"/>
                <w:b/>
                <w:bCs/>
                <w:color w:val="262626"/>
                <w:sz w:val="18"/>
                <w:szCs w:val="18"/>
              </w:rPr>
              <w:t>Nine Months Ended</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1F"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0"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1"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2"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3"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4"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5"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6"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7"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8" w14:textId="77777777" w:rsidR="00996AD7" w:rsidRDefault="00996AD7">
            <w:pPr>
              <w:rPr>
                <w:rFonts w:ascii="宋体"/>
              </w:rPr>
            </w:pPr>
          </w:p>
        </w:tc>
      </w:tr>
      <w:tr w:rsidR="00996AD7" w14:paraId="39D97A35"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A"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B"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C"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D"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E"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2F"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30"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31"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32"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33"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A34" w14:textId="77777777" w:rsidR="00996AD7" w:rsidRDefault="00996AD7">
            <w:pPr>
              <w:rPr>
                <w:rFonts w:ascii="宋体"/>
              </w:rPr>
            </w:pPr>
          </w:p>
        </w:tc>
      </w:tr>
      <w:tr w:rsidR="00996AD7" w14:paraId="39D97A4A" w14:textId="77777777">
        <w:tc>
          <w:tcPr>
            <w:tcW w:w="0" w:type="auto"/>
            <w:gridSpan w:val="3"/>
            <w:shd w:val="clear" w:color="auto" w:fill="auto"/>
            <w:tcMar>
              <w:top w:w="40" w:type="dxa"/>
              <w:left w:w="20" w:type="dxa"/>
              <w:bottom w:w="40" w:type="dxa"/>
              <w:right w:w="20" w:type="dxa"/>
            </w:tcMar>
            <w:vAlign w:val="bottom"/>
          </w:tcPr>
          <w:p w14:paraId="39D97A36" w14:textId="77777777" w:rsidR="00996AD7" w:rsidRDefault="00D96458">
            <w:pPr>
              <w:textAlignment w:val="bottom"/>
            </w:pPr>
            <w:r>
              <w:rPr>
                <w:rFonts w:ascii="Arial" w:eastAsia="宋体" w:hAnsi="Arial" w:cs="Arial"/>
                <w:b/>
                <w:bCs/>
                <w:color w:val="262626"/>
                <w:sz w:val="18"/>
                <w:szCs w:val="18"/>
              </w:rPr>
              <w:t>Balance as of December 26, 2020</w:t>
            </w:r>
          </w:p>
        </w:tc>
        <w:tc>
          <w:tcPr>
            <w:tcW w:w="0" w:type="auto"/>
            <w:gridSpan w:val="3"/>
            <w:shd w:val="clear" w:color="auto" w:fill="auto"/>
            <w:tcMar>
              <w:top w:w="0" w:type="dxa"/>
              <w:left w:w="20" w:type="dxa"/>
              <w:bottom w:w="0" w:type="dxa"/>
              <w:right w:w="20" w:type="dxa"/>
            </w:tcMar>
            <w:vAlign w:val="bottom"/>
          </w:tcPr>
          <w:p w14:paraId="39D97A3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38" w14:textId="77777777" w:rsidR="00996AD7" w:rsidRDefault="00D96458">
            <w:pPr>
              <w:jc w:val="right"/>
              <w:textAlignment w:val="bottom"/>
            </w:pPr>
            <w:r>
              <w:rPr>
                <w:rFonts w:ascii="Arial" w:eastAsia="宋体" w:hAnsi="Arial" w:cs="Arial"/>
                <w:b/>
                <w:bCs/>
                <w:color w:val="262626"/>
                <w:sz w:val="18"/>
                <w:szCs w:val="18"/>
              </w:rPr>
              <w:t>4,062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A3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3A"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A3B"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A3C" w14:textId="77777777" w:rsidR="00996AD7" w:rsidRDefault="00D96458">
            <w:pPr>
              <w:jc w:val="right"/>
              <w:textAlignment w:val="bottom"/>
            </w:pPr>
            <w:r>
              <w:rPr>
                <w:rFonts w:ascii="Arial" w:eastAsia="宋体" w:hAnsi="Arial" w:cs="Arial"/>
                <w:b/>
                <w:bCs/>
                <w:color w:val="262626"/>
                <w:sz w:val="18"/>
                <w:szCs w:val="18"/>
              </w:rPr>
              <w:t>25,556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A3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3E"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A3F"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A40" w14:textId="77777777" w:rsidR="00996AD7" w:rsidRDefault="00D96458">
            <w:pPr>
              <w:jc w:val="right"/>
              <w:textAlignment w:val="bottom"/>
            </w:pPr>
            <w:r>
              <w:rPr>
                <w:rFonts w:ascii="Arial" w:eastAsia="宋体" w:hAnsi="Arial" w:cs="Arial"/>
                <w:b/>
                <w:bCs/>
                <w:color w:val="262626"/>
                <w:sz w:val="18"/>
                <w:szCs w:val="18"/>
              </w:rPr>
              <w:t>(751)</w:t>
            </w:r>
          </w:p>
        </w:tc>
        <w:tc>
          <w:tcPr>
            <w:tcW w:w="0" w:type="auto"/>
            <w:shd w:val="clear" w:color="auto" w:fill="auto"/>
            <w:tcMar>
              <w:top w:w="40" w:type="dxa"/>
              <w:left w:w="0" w:type="dxa"/>
              <w:bottom w:w="40" w:type="dxa"/>
              <w:right w:w="20" w:type="dxa"/>
            </w:tcMar>
            <w:vAlign w:val="bottom"/>
          </w:tcPr>
          <w:p w14:paraId="39D97A4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42"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A43"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A44" w14:textId="77777777" w:rsidR="00996AD7" w:rsidRDefault="00D96458">
            <w:pPr>
              <w:jc w:val="right"/>
              <w:textAlignment w:val="bottom"/>
            </w:pPr>
            <w:r>
              <w:rPr>
                <w:rFonts w:ascii="Arial" w:eastAsia="宋体" w:hAnsi="Arial" w:cs="Arial"/>
                <w:b/>
                <w:bCs/>
                <w:color w:val="262626"/>
                <w:sz w:val="18"/>
                <w:szCs w:val="18"/>
              </w:rPr>
              <w:t>56,268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A4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46"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A47"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A48" w14:textId="77777777" w:rsidR="00996AD7" w:rsidRDefault="00D96458">
            <w:pPr>
              <w:jc w:val="right"/>
              <w:textAlignment w:val="bottom"/>
            </w:pPr>
            <w:r>
              <w:rPr>
                <w:rFonts w:ascii="Arial" w:eastAsia="宋体" w:hAnsi="Arial" w:cs="Arial"/>
                <w:b/>
                <w:bCs/>
                <w:color w:val="262626"/>
                <w:sz w:val="18"/>
                <w:szCs w:val="18"/>
              </w:rPr>
              <w:t>81,073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A49" w14:textId="77777777" w:rsidR="00996AD7" w:rsidRDefault="00996AD7">
            <w:pPr>
              <w:jc w:val="right"/>
              <w:rPr>
                <w:rFonts w:ascii="宋体"/>
              </w:rPr>
            </w:pPr>
          </w:p>
        </w:tc>
      </w:tr>
      <w:tr w:rsidR="00996AD7" w14:paraId="39D97A5B" w14:textId="77777777">
        <w:tc>
          <w:tcPr>
            <w:tcW w:w="0" w:type="auto"/>
            <w:gridSpan w:val="3"/>
            <w:shd w:val="clear" w:color="auto" w:fill="auto"/>
            <w:tcMar>
              <w:top w:w="40" w:type="dxa"/>
              <w:left w:w="20" w:type="dxa"/>
              <w:bottom w:w="40" w:type="dxa"/>
              <w:right w:w="20" w:type="dxa"/>
            </w:tcMar>
            <w:vAlign w:val="bottom"/>
          </w:tcPr>
          <w:p w14:paraId="39D97A4B" w14:textId="77777777" w:rsidR="00996AD7" w:rsidRDefault="00D96458">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39D97A4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4D"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4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4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50"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5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5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53"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5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5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56" w14:textId="77777777" w:rsidR="00996AD7" w:rsidRDefault="00D96458">
            <w:pPr>
              <w:jc w:val="right"/>
              <w:textAlignment w:val="bottom"/>
            </w:pPr>
            <w:r>
              <w:rPr>
                <w:rFonts w:ascii="Arial" w:eastAsia="宋体" w:hAnsi="Arial" w:cs="Arial"/>
                <w:color w:val="0068B5"/>
                <w:sz w:val="18"/>
                <w:szCs w:val="18"/>
              </w:rPr>
              <w:t>15,245 </w:t>
            </w:r>
          </w:p>
        </w:tc>
        <w:tc>
          <w:tcPr>
            <w:tcW w:w="0" w:type="auto"/>
            <w:shd w:val="clear" w:color="auto" w:fill="auto"/>
            <w:tcMar>
              <w:top w:w="40" w:type="dxa"/>
              <w:left w:w="0" w:type="dxa"/>
              <w:bottom w:w="40" w:type="dxa"/>
              <w:right w:w="20" w:type="dxa"/>
            </w:tcMar>
            <w:vAlign w:val="bottom"/>
          </w:tcPr>
          <w:p w14:paraId="39D97A5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5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59" w14:textId="77777777" w:rsidR="00996AD7" w:rsidRDefault="00D96458">
            <w:pPr>
              <w:jc w:val="right"/>
              <w:textAlignment w:val="bottom"/>
            </w:pPr>
            <w:r>
              <w:rPr>
                <w:rFonts w:ascii="Arial" w:eastAsia="宋体" w:hAnsi="Arial" w:cs="Arial"/>
                <w:color w:val="0068B5"/>
                <w:sz w:val="18"/>
                <w:szCs w:val="18"/>
              </w:rPr>
              <w:t>15,245 </w:t>
            </w:r>
          </w:p>
        </w:tc>
        <w:tc>
          <w:tcPr>
            <w:tcW w:w="0" w:type="auto"/>
            <w:shd w:val="clear" w:color="auto" w:fill="auto"/>
            <w:tcMar>
              <w:top w:w="40" w:type="dxa"/>
              <w:left w:w="0" w:type="dxa"/>
              <w:bottom w:w="40" w:type="dxa"/>
              <w:right w:w="20" w:type="dxa"/>
            </w:tcMar>
            <w:vAlign w:val="bottom"/>
          </w:tcPr>
          <w:p w14:paraId="39D97A5A" w14:textId="77777777" w:rsidR="00996AD7" w:rsidRDefault="00996AD7">
            <w:pPr>
              <w:jc w:val="right"/>
              <w:rPr>
                <w:rFonts w:ascii="宋体"/>
              </w:rPr>
            </w:pPr>
          </w:p>
        </w:tc>
      </w:tr>
      <w:tr w:rsidR="00996AD7" w14:paraId="39D97A6C" w14:textId="77777777">
        <w:tc>
          <w:tcPr>
            <w:tcW w:w="0" w:type="auto"/>
            <w:gridSpan w:val="3"/>
            <w:shd w:val="clear" w:color="auto" w:fill="auto"/>
            <w:tcMar>
              <w:top w:w="40" w:type="dxa"/>
              <w:left w:w="20" w:type="dxa"/>
              <w:bottom w:w="40" w:type="dxa"/>
              <w:right w:w="20" w:type="dxa"/>
            </w:tcMar>
            <w:vAlign w:val="bottom"/>
          </w:tcPr>
          <w:p w14:paraId="39D97A5C" w14:textId="77777777" w:rsidR="00996AD7" w:rsidRDefault="00D9645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39D97A5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5E"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5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6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61"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6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6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64" w14:textId="77777777" w:rsidR="00996AD7" w:rsidRDefault="00D96458">
            <w:pPr>
              <w:jc w:val="right"/>
              <w:textAlignment w:val="bottom"/>
            </w:pPr>
            <w:r>
              <w:rPr>
                <w:rFonts w:ascii="Arial" w:eastAsia="宋体" w:hAnsi="Arial" w:cs="Arial"/>
                <w:color w:val="0068B5"/>
                <w:sz w:val="18"/>
                <w:szCs w:val="18"/>
              </w:rPr>
              <w:t>(396)</w:t>
            </w:r>
          </w:p>
        </w:tc>
        <w:tc>
          <w:tcPr>
            <w:tcW w:w="0" w:type="auto"/>
            <w:shd w:val="clear" w:color="auto" w:fill="auto"/>
            <w:tcMar>
              <w:top w:w="40" w:type="dxa"/>
              <w:left w:w="0" w:type="dxa"/>
              <w:bottom w:w="40" w:type="dxa"/>
              <w:right w:w="20" w:type="dxa"/>
            </w:tcMar>
            <w:vAlign w:val="bottom"/>
          </w:tcPr>
          <w:p w14:paraId="39D97A6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6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67"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6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6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6A" w14:textId="77777777" w:rsidR="00996AD7" w:rsidRDefault="00D96458">
            <w:pPr>
              <w:jc w:val="right"/>
              <w:textAlignment w:val="bottom"/>
            </w:pPr>
            <w:r>
              <w:rPr>
                <w:rFonts w:ascii="Arial" w:eastAsia="宋体" w:hAnsi="Arial" w:cs="Arial"/>
                <w:color w:val="0068B5"/>
                <w:sz w:val="18"/>
                <w:szCs w:val="18"/>
              </w:rPr>
              <w:t>(396)</w:t>
            </w:r>
          </w:p>
        </w:tc>
        <w:tc>
          <w:tcPr>
            <w:tcW w:w="0" w:type="auto"/>
            <w:shd w:val="clear" w:color="auto" w:fill="auto"/>
            <w:tcMar>
              <w:top w:w="40" w:type="dxa"/>
              <w:left w:w="0" w:type="dxa"/>
              <w:bottom w:w="40" w:type="dxa"/>
              <w:right w:w="20" w:type="dxa"/>
            </w:tcMar>
            <w:vAlign w:val="bottom"/>
          </w:tcPr>
          <w:p w14:paraId="39D97A6B" w14:textId="77777777" w:rsidR="00996AD7" w:rsidRDefault="00996AD7">
            <w:pPr>
              <w:jc w:val="right"/>
              <w:rPr>
                <w:rFonts w:ascii="宋体"/>
              </w:rPr>
            </w:pPr>
          </w:p>
        </w:tc>
      </w:tr>
      <w:tr w:rsidR="00996AD7" w14:paraId="39D97A7D" w14:textId="77777777">
        <w:tc>
          <w:tcPr>
            <w:tcW w:w="0" w:type="auto"/>
            <w:gridSpan w:val="3"/>
            <w:shd w:val="clear" w:color="auto" w:fill="auto"/>
            <w:tcMar>
              <w:top w:w="40" w:type="dxa"/>
              <w:left w:w="20" w:type="dxa"/>
              <w:bottom w:w="40" w:type="dxa"/>
              <w:right w:w="20" w:type="dxa"/>
            </w:tcMar>
            <w:vAlign w:val="bottom"/>
          </w:tcPr>
          <w:p w14:paraId="39D97A6D" w14:textId="77777777" w:rsidR="00996AD7" w:rsidRDefault="00D9645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39D97A6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6F" w14:textId="77777777" w:rsidR="00996AD7" w:rsidRDefault="00D96458">
            <w:pPr>
              <w:jc w:val="right"/>
              <w:textAlignment w:val="bottom"/>
            </w:pPr>
            <w:r>
              <w:rPr>
                <w:rFonts w:ascii="Arial" w:eastAsia="宋体" w:hAnsi="Arial" w:cs="Arial"/>
                <w:color w:val="0068B5"/>
                <w:sz w:val="18"/>
                <w:szCs w:val="18"/>
              </w:rPr>
              <w:t>52 </w:t>
            </w:r>
          </w:p>
        </w:tc>
        <w:tc>
          <w:tcPr>
            <w:tcW w:w="0" w:type="auto"/>
            <w:shd w:val="clear" w:color="auto" w:fill="auto"/>
            <w:tcMar>
              <w:top w:w="40" w:type="dxa"/>
              <w:left w:w="0" w:type="dxa"/>
              <w:bottom w:w="40" w:type="dxa"/>
              <w:right w:w="20" w:type="dxa"/>
            </w:tcMar>
            <w:vAlign w:val="bottom"/>
          </w:tcPr>
          <w:p w14:paraId="39D97A7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7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72" w14:textId="77777777" w:rsidR="00996AD7" w:rsidRDefault="00D96458">
            <w:pPr>
              <w:jc w:val="right"/>
              <w:textAlignment w:val="bottom"/>
            </w:pPr>
            <w:r>
              <w:rPr>
                <w:rFonts w:ascii="Arial" w:eastAsia="宋体" w:hAnsi="Arial" w:cs="Arial"/>
                <w:color w:val="0068B5"/>
                <w:sz w:val="18"/>
                <w:szCs w:val="18"/>
              </w:rPr>
              <w:t>1,015 </w:t>
            </w:r>
          </w:p>
        </w:tc>
        <w:tc>
          <w:tcPr>
            <w:tcW w:w="0" w:type="auto"/>
            <w:shd w:val="clear" w:color="auto" w:fill="auto"/>
            <w:tcMar>
              <w:top w:w="40" w:type="dxa"/>
              <w:left w:w="0" w:type="dxa"/>
              <w:bottom w:w="40" w:type="dxa"/>
              <w:right w:w="20" w:type="dxa"/>
            </w:tcMar>
            <w:vAlign w:val="bottom"/>
          </w:tcPr>
          <w:p w14:paraId="39D97A7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7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75"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7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7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78"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7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7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7B" w14:textId="77777777" w:rsidR="00996AD7" w:rsidRDefault="00D96458">
            <w:pPr>
              <w:jc w:val="right"/>
              <w:textAlignment w:val="bottom"/>
            </w:pPr>
            <w:r>
              <w:rPr>
                <w:rFonts w:ascii="Arial" w:eastAsia="宋体" w:hAnsi="Arial" w:cs="Arial"/>
                <w:color w:val="0068B5"/>
                <w:sz w:val="18"/>
                <w:szCs w:val="18"/>
              </w:rPr>
              <w:t>1,015 </w:t>
            </w:r>
          </w:p>
        </w:tc>
        <w:tc>
          <w:tcPr>
            <w:tcW w:w="0" w:type="auto"/>
            <w:shd w:val="clear" w:color="auto" w:fill="auto"/>
            <w:tcMar>
              <w:top w:w="40" w:type="dxa"/>
              <w:left w:w="0" w:type="dxa"/>
              <w:bottom w:w="40" w:type="dxa"/>
              <w:right w:w="20" w:type="dxa"/>
            </w:tcMar>
            <w:vAlign w:val="bottom"/>
          </w:tcPr>
          <w:p w14:paraId="39D97A7C" w14:textId="77777777" w:rsidR="00996AD7" w:rsidRDefault="00996AD7">
            <w:pPr>
              <w:jc w:val="right"/>
              <w:rPr>
                <w:rFonts w:ascii="宋体"/>
              </w:rPr>
            </w:pPr>
          </w:p>
        </w:tc>
      </w:tr>
      <w:tr w:rsidR="00996AD7" w14:paraId="39D97A8E" w14:textId="77777777">
        <w:tc>
          <w:tcPr>
            <w:tcW w:w="0" w:type="auto"/>
            <w:gridSpan w:val="3"/>
            <w:shd w:val="clear" w:color="auto" w:fill="auto"/>
            <w:tcMar>
              <w:top w:w="40" w:type="dxa"/>
              <w:left w:w="20" w:type="dxa"/>
              <w:bottom w:w="40" w:type="dxa"/>
              <w:right w:w="20" w:type="dxa"/>
            </w:tcMar>
            <w:vAlign w:val="bottom"/>
          </w:tcPr>
          <w:p w14:paraId="39D97A7E" w14:textId="77777777" w:rsidR="00996AD7" w:rsidRDefault="00D9645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39D97A7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80"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8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8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83" w14:textId="77777777" w:rsidR="00996AD7" w:rsidRDefault="00D96458">
            <w:pPr>
              <w:jc w:val="right"/>
              <w:textAlignment w:val="bottom"/>
            </w:pPr>
            <w:r>
              <w:rPr>
                <w:rFonts w:ascii="Arial" w:eastAsia="宋体" w:hAnsi="Arial" w:cs="Arial"/>
                <w:color w:val="0068B5"/>
                <w:sz w:val="18"/>
                <w:szCs w:val="18"/>
              </w:rPr>
              <w:t>1,587 </w:t>
            </w:r>
          </w:p>
        </w:tc>
        <w:tc>
          <w:tcPr>
            <w:tcW w:w="0" w:type="auto"/>
            <w:shd w:val="clear" w:color="auto" w:fill="auto"/>
            <w:tcMar>
              <w:top w:w="40" w:type="dxa"/>
              <w:left w:w="0" w:type="dxa"/>
              <w:bottom w:w="40" w:type="dxa"/>
              <w:right w:w="20" w:type="dxa"/>
            </w:tcMar>
            <w:vAlign w:val="bottom"/>
          </w:tcPr>
          <w:p w14:paraId="39D97A8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8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86"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8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8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89"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8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8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8C" w14:textId="77777777" w:rsidR="00996AD7" w:rsidRDefault="00D96458">
            <w:pPr>
              <w:jc w:val="right"/>
              <w:textAlignment w:val="bottom"/>
            </w:pPr>
            <w:r>
              <w:rPr>
                <w:rFonts w:ascii="Arial" w:eastAsia="宋体" w:hAnsi="Arial" w:cs="Arial"/>
                <w:color w:val="0068B5"/>
                <w:sz w:val="18"/>
                <w:szCs w:val="18"/>
              </w:rPr>
              <w:t>1,587 </w:t>
            </w:r>
          </w:p>
        </w:tc>
        <w:tc>
          <w:tcPr>
            <w:tcW w:w="0" w:type="auto"/>
            <w:shd w:val="clear" w:color="auto" w:fill="auto"/>
            <w:tcMar>
              <w:top w:w="40" w:type="dxa"/>
              <w:left w:w="0" w:type="dxa"/>
              <w:bottom w:w="40" w:type="dxa"/>
              <w:right w:w="20" w:type="dxa"/>
            </w:tcMar>
            <w:vAlign w:val="bottom"/>
          </w:tcPr>
          <w:p w14:paraId="39D97A8D" w14:textId="77777777" w:rsidR="00996AD7" w:rsidRDefault="00996AD7">
            <w:pPr>
              <w:jc w:val="right"/>
              <w:rPr>
                <w:rFonts w:ascii="宋体"/>
              </w:rPr>
            </w:pPr>
          </w:p>
        </w:tc>
      </w:tr>
      <w:tr w:rsidR="00996AD7" w14:paraId="39D97A9F" w14:textId="77777777">
        <w:tc>
          <w:tcPr>
            <w:tcW w:w="0" w:type="auto"/>
            <w:gridSpan w:val="3"/>
            <w:shd w:val="clear" w:color="auto" w:fill="auto"/>
            <w:tcMar>
              <w:top w:w="40" w:type="dxa"/>
              <w:left w:w="20" w:type="dxa"/>
              <w:bottom w:w="40" w:type="dxa"/>
              <w:right w:w="20" w:type="dxa"/>
            </w:tcMar>
            <w:vAlign w:val="bottom"/>
          </w:tcPr>
          <w:p w14:paraId="39D97A8F" w14:textId="77777777" w:rsidR="00996AD7" w:rsidRDefault="00D96458">
            <w:pPr>
              <w:textAlignment w:val="bottom"/>
            </w:pPr>
            <w:r>
              <w:rPr>
                <w:rFonts w:ascii="Arial" w:eastAsia="宋体" w:hAnsi="Arial" w:cs="Arial"/>
                <w:color w:val="262626"/>
                <w:sz w:val="18"/>
                <w:szCs w:val="18"/>
              </w:rPr>
              <w:t>Temporary equity reduction</w:t>
            </w:r>
          </w:p>
        </w:tc>
        <w:tc>
          <w:tcPr>
            <w:tcW w:w="0" w:type="auto"/>
            <w:gridSpan w:val="3"/>
            <w:shd w:val="clear" w:color="auto" w:fill="auto"/>
            <w:tcMar>
              <w:top w:w="0" w:type="dxa"/>
              <w:left w:w="20" w:type="dxa"/>
              <w:bottom w:w="0" w:type="dxa"/>
              <w:right w:w="20" w:type="dxa"/>
            </w:tcMar>
            <w:vAlign w:val="bottom"/>
          </w:tcPr>
          <w:p w14:paraId="39D97A9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91"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9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9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94"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9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9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97"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9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9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9A"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9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9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9D"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9E" w14:textId="77777777" w:rsidR="00996AD7" w:rsidRDefault="00996AD7">
            <w:pPr>
              <w:jc w:val="right"/>
              <w:rPr>
                <w:rFonts w:ascii="宋体"/>
              </w:rPr>
            </w:pPr>
          </w:p>
        </w:tc>
      </w:tr>
      <w:tr w:rsidR="00996AD7" w14:paraId="39D97AB0" w14:textId="77777777">
        <w:tc>
          <w:tcPr>
            <w:tcW w:w="0" w:type="auto"/>
            <w:gridSpan w:val="3"/>
            <w:shd w:val="clear" w:color="auto" w:fill="auto"/>
            <w:tcMar>
              <w:top w:w="40" w:type="dxa"/>
              <w:left w:w="20" w:type="dxa"/>
              <w:bottom w:w="40" w:type="dxa"/>
              <w:right w:w="20" w:type="dxa"/>
            </w:tcMar>
            <w:vAlign w:val="bottom"/>
          </w:tcPr>
          <w:p w14:paraId="39D97AA0" w14:textId="77777777" w:rsidR="00996AD7" w:rsidRDefault="00D96458">
            <w:pPr>
              <w:textAlignment w:val="bottom"/>
            </w:pPr>
            <w:r>
              <w:rPr>
                <w:rFonts w:ascii="Arial" w:eastAsia="宋体" w:hAnsi="Arial" w:cs="Arial"/>
                <w:color w:val="262626"/>
                <w:sz w:val="18"/>
                <w:szCs w:val="18"/>
              </w:rPr>
              <w:t>Convertible debt</w:t>
            </w:r>
          </w:p>
        </w:tc>
        <w:tc>
          <w:tcPr>
            <w:tcW w:w="0" w:type="auto"/>
            <w:gridSpan w:val="3"/>
            <w:shd w:val="clear" w:color="auto" w:fill="auto"/>
            <w:tcMar>
              <w:top w:w="0" w:type="dxa"/>
              <w:left w:w="20" w:type="dxa"/>
              <w:bottom w:w="0" w:type="dxa"/>
              <w:right w:w="20" w:type="dxa"/>
            </w:tcMar>
            <w:vAlign w:val="bottom"/>
          </w:tcPr>
          <w:p w14:paraId="39D97AA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A2"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A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A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A5"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A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A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A8"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A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A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AB"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A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A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AE"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AF" w14:textId="77777777" w:rsidR="00996AD7" w:rsidRDefault="00996AD7">
            <w:pPr>
              <w:jc w:val="right"/>
              <w:rPr>
                <w:rFonts w:ascii="宋体"/>
              </w:rPr>
            </w:pPr>
          </w:p>
        </w:tc>
      </w:tr>
      <w:tr w:rsidR="00996AD7" w14:paraId="39D97ABC" w14:textId="77777777">
        <w:trPr>
          <w:hidden/>
        </w:trPr>
        <w:tc>
          <w:tcPr>
            <w:tcW w:w="0" w:type="auto"/>
            <w:gridSpan w:val="3"/>
            <w:shd w:val="clear" w:color="auto" w:fill="auto"/>
            <w:vAlign w:val="bottom"/>
          </w:tcPr>
          <w:p w14:paraId="39D97AB1" w14:textId="77777777" w:rsidR="00996AD7" w:rsidRDefault="00996AD7">
            <w:pPr>
              <w:rPr>
                <w:rFonts w:ascii="宋体"/>
                <w:vanish/>
              </w:rPr>
            </w:pPr>
          </w:p>
        </w:tc>
        <w:tc>
          <w:tcPr>
            <w:tcW w:w="0" w:type="auto"/>
            <w:gridSpan w:val="3"/>
            <w:shd w:val="clear" w:color="auto" w:fill="auto"/>
            <w:vAlign w:val="bottom"/>
          </w:tcPr>
          <w:p w14:paraId="39D97AB2" w14:textId="77777777" w:rsidR="00996AD7" w:rsidRDefault="00996AD7">
            <w:pPr>
              <w:rPr>
                <w:rFonts w:ascii="宋体"/>
                <w:vanish/>
              </w:rPr>
            </w:pPr>
          </w:p>
        </w:tc>
        <w:tc>
          <w:tcPr>
            <w:tcW w:w="0" w:type="auto"/>
            <w:gridSpan w:val="3"/>
            <w:shd w:val="clear" w:color="auto" w:fill="auto"/>
            <w:vAlign w:val="bottom"/>
          </w:tcPr>
          <w:p w14:paraId="39D97AB3" w14:textId="77777777" w:rsidR="00996AD7" w:rsidRDefault="00996AD7">
            <w:pPr>
              <w:rPr>
                <w:rFonts w:ascii="宋体"/>
                <w:vanish/>
              </w:rPr>
            </w:pPr>
          </w:p>
        </w:tc>
        <w:tc>
          <w:tcPr>
            <w:tcW w:w="0" w:type="auto"/>
            <w:gridSpan w:val="3"/>
            <w:shd w:val="clear" w:color="auto" w:fill="auto"/>
            <w:vAlign w:val="bottom"/>
          </w:tcPr>
          <w:p w14:paraId="39D97AB4" w14:textId="77777777" w:rsidR="00996AD7" w:rsidRDefault="00996AD7">
            <w:pPr>
              <w:rPr>
                <w:rFonts w:ascii="宋体"/>
                <w:vanish/>
              </w:rPr>
            </w:pPr>
          </w:p>
        </w:tc>
        <w:tc>
          <w:tcPr>
            <w:tcW w:w="0" w:type="auto"/>
            <w:gridSpan w:val="3"/>
            <w:shd w:val="clear" w:color="auto" w:fill="auto"/>
            <w:vAlign w:val="bottom"/>
          </w:tcPr>
          <w:p w14:paraId="39D97AB5" w14:textId="77777777" w:rsidR="00996AD7" w:rsidRDefault="00996AD7">
            <w:pPr>
              <w:rPr>
                <w:rFonts w:ascii="宋体"/>
                <w:vanish/>
              </w:rPr>
            </w:pPr>
          </w:p>
        </w:tc>
        <w:tc>
          <w:tcPr>
            <w:tcW w:w="0" w:type="auto"/>
            <w:gridSpan w:val="3"/>
            <w:shd w:val="clear" w:color="auto" w:fill="auto"/>
            <w:vAlign w:val="bottom"/>
          </w:tcPr>
          <w:p w14:paraId="39D97AB6" w14:textId="77777777" w:rsidR="00996AD7" w:rsidRDefault="00996AD7">
            <w:pPr>
              <w:rPr>
                <w:rFonts w:ascii="宋体"/>
                <w:vanish/>
              </w:rPr>
            </w:pPr>
          </w:p>
        </w:tc>
        <w:tc>
          <w:tcPr>
            <w:tcW w:w="0" w:type="auto"/>
            <w:gridSpan w:val="3"/>
            <w:shd w:val="clear" w:color="auto" w:fill="auto"/>
            <w:vAlign w:val="bottom"/>
          </w:tcPr>
          <w:p w14:paraId="39D97AB7" w14:textId="77777777" w:rsidR="00996AD7" w:rsidRDefault="00996AD7">
            <w:pPr>
              <w:rPr>
                <w:rFonts w:ascii="宋体"/>
                <w:vanish/>
              </w:rPr>
            </w:pPr>
          </w:p>
        </w:tc>
        <w:tc>
          <w:tcPr>
            <w:tcW w:w="0" w:type="auto"/>
            <w:gridSpan w:val="3"/>
            <w:shd w:val="clear" w:color="auto" w:fill="auto"/>
            <w:vAlign w:val="bottom"/>
          </w:tcPr>
          <w:p w14:paraId="39D97AB8" w14:textId="77777777" w:rsidR="00996AD7" w:rsidRDefault="00996AD7">
            <w:pPr>
              <w:rPr>
                <w:rFonts w:ascii="宋体"/>
                <w:vanish/>
              </w:rPr>
            </w:pPr>
          </w:p>
        </w:tc>
        <w:tc>
          <w:tcPr>
            <w:tcW w:w="0" w:type="auto"/>
            <w:gridSpan w:val="3"/>
            <w:shd w:val="clear" w:color="auto" w:fill="auto"/>
            <w:vAlign w:val="bottom"/>
          </w:tcPr>
          <w:p w14:paraId="39D97AB9" w14:textId="77777777" w:rsidR="00996AD7" w:rsidRDefault="00996AD7">
            <w:pPr>
              <w:rPr>
                <w:rFonts w:ascii="宋体"/>
                <w:vanish/>
              </w:rPr>
            </w:pPr>
          </w:p>
        </w:tc>
        <w:tc>
          <w:tcPr>
            <w:tcW w:w="0" w:type="auto"/>
            <w:gridSpan w:val="3"/>
            <w:shd w:val="clear" w:color="auto" w:fill="auto"/>
            <w:vAlign w:val="bottom"/>
          </w:tcPr>
          <w:p w14:paraId="39D97ABA" w14:textId="77777777" w:rsidR="00996AD7" w:rsidRDefault="00996AD7">
            <w:pPr>
              <w:rPr>
                <w:rFonts w:ascii="宋体"/>
                <w:vanish/>
              </w:rPr>
            </w:pPr>
          </w:p>
        </w:tc>
        <w:tc>
          <w:tcPr>
            <w:tcW w:w="0" w:type="auto"/>
            <w:gridSpan w:val="3"/>
            <w:shd w:val="clear" w:color="auto" w:fill="auto"/>
            <w:vAlign w:val="bottom"/>
          </w:tcPr>
          <w:p w14:paraId="39D97ABB" w14:textId="77777777" w:rsidR="00996AD7" w:rsidRDefault="00996AD7">
            <w:pPr>
              <w:rPr>
                <w:rFonts w:ascii="宋体"/>
                <w:vanish/>
              </w:rPr>
            </w:pPr>
          </w:p>
        </w:tc>
      </w:tr>
      <w:tr w:rsidR="00996AD7" w14:paraId="39D97ACD" w14:textId="77777777">
        <w:tc>
          <w:tcPr>
            <w:tcW w:w="0" w:type="auto"/>
            <w:gridSpan w:val="3"/>
            <w:shd w:val="clear" w:color="auto" w:fill="auto"/>
            <w:tcMar>
              <w:top w:w="40" w:type="dxa"/>
              <w:left w:w="20" w:type="dxa"/>
              <w:bottom w:w="40" w:type="dxa"/>
              <w:right w:w="20" w:type="dxa"/>
            </w:tcMar>
            <w:vAlign w:val="bottom"/>
          </w:tcPr>
          <w:p w14:paraId="39D97ABD" w14:textId="77777777" w:rsidR="00996AD7" w:rsidRDefault="00D96458">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39D97AB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BF" w14:textId="77777777" w:rsidR="00996AD7" w:rsidRDefault="00D96458">
            <w:pPr>
              <w:jc w:val="right"/>
              <w:textAlignment w:val="bottom"/>
            </w:pPr>
            <w:r>
              <w:rPr>
                <w:rFonts w:ascii="Arial" w:eastAsia="宋体" w:hAnsi="Arial" w:cs="Arial"/>
                <w:color w:val="0068B5"/>
                <w:sz w:val="18"/>
                <w:szCs w:val="18"/>
              </w:rPr>
              <w:t>(40)</w:t>
            </w:r>
          </w:p>
        </w:tc>
        <w:tc>
          <w:tcPr>
            <w:tcW w:w="0" w:type="auto"/>
            <w:shd w:val="clear" w:color="auto" w:fill="auto"/>
            <w:tcMar>
              <w:top w:w="40" w:type="dxa"/>
              <w:left w:w="0" w:type="dxa"/>
              <w:bottom w:w="40" w:type="dxa"/>
              <w:right w:w="20" w:type="dxa"/>
            </w:tcMar>
            <w:vAlign w:val="bottom"/>
          </w:tcPr>
          <w:p w14:paraId="39D97AC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C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C2" w14:textId="77777777" w:rsidR="00996AD7" w:rsidRDefault="00D96458">
            <w:pPr>
              <w:jc w:val="right"/>
              <w:textAlignment w:val="bottom"/>
            </w:pPr>
            <w:r>
              <w:rPr>
                <w:rFonts w:ascii="Arial" w:eastAsia="宋体" w:hAnsi="Arial" w:cs="Arial"/>
                <w:color w:val="0068B5"/>
                <w:sz w:val="18"/>
                <w:szCs w:val="18"/>
              </w:rPr>
              <w:t>(249)</w:t>
            </w:r>
          </w:p>
        </w:tc>
        <w:tc>
          <w:tcPr>
            <w:tcW w:w="0" w:type="auto"/>
            <w:shd w:val="clear" w:color="auto" w:fill="auto"/>
            <w:tcMar>
              <w:top w:w="40" w:type="dxa"/>
              <w:left w:w="0" w:type="dxa"/>
              <w:bottom w:w="40" w:type="dxa"/>
              <w:right w:w="20" w:type="dxa"/>
            </w:tcMar>
            <w:vAlign w:val="bottom"/>
          </w:tcPr>
          <w:p w14:paraId="39D97AC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C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C5"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C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C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C8" w14:textId="77777777" w:rsidR="00996AD7" w:rsidRDefault="00D96458">
            <w:pPr>
              <w:jc w:val="right"/>
              <w:textAlignment w:val="bottom"/>
            </w:pPr>
            <w:r>
              <w:rPr>
                <w:rFonts w:ascii="Arial" w:eastAsia="宋体" w:hAnsi="Arial" w:cs="Arial"/>
                <w:color w:val="0068B5"/>
                <w:sz w:val="18"/>
                <w:szCs w:val="18"/>
              </w:rPr>
              <w:t>(2,166)</w:t>
            </w:r>
          </w:p>
        </w:tc>
        <w:tc>
          <w:tcPr>
            <w:tcW w:w="0" w:type="auto"/>
            <w:shd w:val="clear" w:color="auto" w:fill="auto"/>
            <w:tcMar>
              <w:top w:w="40" w:type="dxa"/>
              <w:left w:w="0" w:type="dxa"/>
              <w:bottom w:w="40" w:type="dxa"/>
              <w:right w:w="20" w:type="dxa"/>
            </w:tcMar>
            <w:vAlign w:val="bottom"/>
          </w:tcPr>
          <w:p w14:paraId="39D97AC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C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CB" w14:textId="77777777" w:rsidR="00996AD7" w:rsidRDefault="00D96458">
            <w:pPr>
              <w:jc w:val="right"/>
              <w:textAlignment w:val="bottom"/>
            </w:pPr>
            <w:r>
              <w:rPr>
                <w:rFonts w:ascii="Arial" w:eastAsia="宋体" w:hAnsi="Arial" w:cs="Arial"/>
                <w:color w:val="0068B5"/>
                <w:sz w:val="18"/>
                <w:szCs w:val="18"/>
              </w:rPr>
              <w:t>(2,415)</w:t>
            </w:r>
          </w:p>
        </w:tc>
        <w:tc>
          <w:tcPr>
            <w:tcW w:w="0" w:type="auto"/>
            <w:shd w:val="clear" w:color="auto" w:fill="auto"/>
            <w:tcMar>
              <w:top w:w="40" w:type="dxa"/>
              <w:left w:w="0" w:type="dxa"/>
              <w:bottom w:w="40" w:type="dxa"/>
              <w:right w:w="20" w:type="dxa"/>
            </w:tcMar>
            <w:vAlign w:val="bottom"/>
          </w:tcPr>
          <w:p w14:paraId="39D97ACC" w14:textId="77777777" w:rsidR="00996AD7" w:rsidRDefault="00996AD7">
            <w:pPr>
              <w:jc w:val="right"/>
              <w:rPr>
                <w:rFonts w:ascii="宋体"/>
              </w:rPr>
            </w:pPr>
          </w:p>
        </w:tc>
      </w:tr>
      <w:tr w:rsidR="00996AD7" w14:paraId="39D97ADE" w14:textId="77777777">
        <w:tc>
          <w:tcPr>
            <w:tcW w:w="0" w:type="auto"/>
            <w:gridSpan w:val="3"/>
            <w:shd w:val="clear" w:color="auto" w:fill="auto"/>
            <w:tcMar>
              <w:top w:w="40" w:type="dxa"/>
              <w:left w:w="20" w:type="dxa"/>
              <w:bottom w:w="40" w:type="dxa"/>
              <w:right w:w="20" w:type="dxa"/>
            </w:tcMar>
            <w:vAlign w:val="bottom"/>
          </w:tcPr>
          <w:p w14:paraId="39D97ACE" w14:textId="77777777" w:rsidR="00996AD7" w:rsidRDefault="00D96458">
            <w:pPr>
              <w:textAlignment w:val="bottom"/>
            </w:pPr>
            <w:r>
              <w:rPr>
                <w:rFonts w:ascii="Arial" w:eastAsia="宋体" w:hAnsi="Arial" w:cs="Arial"/>
                <w:color w:val="262626"/>
                <w:sz w:val="18"/>
                <w:szCs w:val="18"/>
              </w:rPr>
              <w:t>Accelerated share repurchase forward agreements</w:t>
            </w:r>
          </w:p>
        </w:tc>
        <w:tc>
          <w:tcPr>
            <w:tcW w:w="0" w:type="auto"/>
            <w:gridSpan w:val="3"/>
            <w:shd w:val="clear" w:color="auto" w:fill="auto"/>
            <w:tcMar>
              <w:top w:w="0" w:type="dxa"/>
              <w:left w:w="20" w:type="dxa"/>
              <w:bottom w:w="0" w:type="dxa"/>
              <w:right w:w="20" w:type="dxa"/>
            </w:tcMar>
            <w:vAlign w:val="bottom"/>
          </w:tcPr>
          <w:p w14:paraId="39D97AC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D0"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D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D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D3"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D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D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D6"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D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D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D9"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D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D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DC"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DD" w14:textId="77777777" w:rsidR="00996AD7" w:rsidRDefault="00996AD7">
            <w:pPr>
              <w:jc w:val="right"/>
              <w:rPr>
                <w:rFonts w:ascii="宋体"/>
              </w:rPr>
            </w:pPr>
          </w:p>
        </w:tc>
      </w:tr>
      <w:tr w:rsidR="00996AD7" w14:paraId="39D97AEF" w14:textId="77777777">
        <w:tc>
          <w:tcPr>
            <w:tcW w:w="0" w:type="auto"/>
            <w:gridSpan w:val="3"/>
            <w:shd w:val="clear" w:color="auto" w:fill="auto"/>
            <w:tcMar>
              <w:top w:w="40" w:type="dxa"/>
              <w:left w:w="20" w:type="dxa"/>
              <w:bottom w:w="40" w:type="dxa"/>
              <w:right w:w="20" w:type="dxa"/>
            </w:tcMar>
            <w:vAlign w:val="bottom"/>
          </w:tcPr>
          <w:p w14:paraId="39D97ADF" w14:textId="77777777" w:rsidR="00996AD7" w:rsidRDefault="00D9645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39D97AE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E1" w14:textId="77777777" w:rsidR="00996AD7" w:rsidRDefault="00D96458">
            <w:pPr>
              <w:jc w:val="right"/>
              <w:textAlignment w:val="bottom"/>
            </w:pPr>
            <w:r>
              <w:rPr>
                <w:rFonts w:ascii="Arial" w:eastAsia="宋体" w:hAnsi="Arial" w:cs="Arial"/>
                <w:color w:val="0068B5"/>
                <w:sz w:val="18"/>
                <w:szCs w:val="18"/>
              </w:rPr>
              <w:t>(7)</w:t>
            </w:r>
          </w:p>
        </w:tc>
        <w:tc>
          <w:tcPr>
            <w:tcW w:w="0" w:type="auto"/>
            <w:shd w:val="clear" w:color="auto" w:fill="auto"/>
            <w:tcMar>
              <w:top w:w="40" w:type="dxa"/>
              <w:left w:w="0" w:type="dxa"/>
              <w:bottom w:w="40" w:type="dxa"/>
              <w:right w:w="20" w:type="dxa"/>
            </w:tcMar>
            <w:vAlign w:val="bottom"/>
          </w:tcPr>
          <w:p w14:paraId="39D97AE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E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E4" w14:textId="77777777" w:rsidR="00996AD7" w:rsidRDefault="00D96458">
            <w:pPr>
              <w:jc w:val="right"/>
              <w:textAlignment w:val="bottom"/>
            </w:pPr>
            <w:r>
              <w:rPr>
                <w:rFonts w:ascii="Arial" w:eastAsia="宋体" w:hAnsi="Arial" w:cs="Arial"/>
                <w:color w:val="0068B5"/>
                <w:sz w:val="18"/>
                <w:szCs w:val="18"/>
              </w:rPr>
              <w:t>(317)</w:t>
            </w:r>
          </w:p>
        </w:tc>
        <w:tc>
          <w:tcPr>
            <w:tcW w:w="0" w:type="auto"/>
            <w:shd w:val="clear" w:color="auto" w:fill="auto"/>
            <w:tcMar>
              <w:top w:w="40" w:type="dxa"/>
              <w:left w:w="0" w:type="dxa"/>
              <w:bottom w:w="40" w:type="dxa"/>
              <w:right w:w="20" w:type="dxa"/>
            </w:tcMar>
            <w:vAlign w:val="bottom"/>
          </w:tcPr>
          <w:p w14:paraId="39D97AE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E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E7"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E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E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EA" w14:textId="77777777" w:rsidR="00996AD7" w:rsidRDefault="00D96458">
            <w:pPr>
              <w:jc w:val="right"/>
              <w:textAlignment w:val="bottom"/>
            </w:pPr>
            <w:r>
              <w:rPr>
                <w:rFonts w:ascii="Arial" w:eastAsia="宋体" w:hAnsi="Arial" w:cs="Arial"/>
                <w:color w:val="0068B5"/>
                <w:sz w:val="18"/>
                <w:szCs w:val="18"/>
              </w:rPr>
              <w:t>(60)</w:t>
            </w:r>
          </w:p>
        </w:tc>
        <w:tc>
          <w:tcPr>
            <w:tcW w:w="0" w:type="auto"/>
            <w:shd w:val="clear" w:color="auto" w:fill="auto"/>
            <w:tcMar>
              <w:top w:w="40" w:type="dxa"/>
              <w:left w:w="0" w:type="dxa"/>
              <w:bottom w:w="40" w:type="dxa"/>
              <w:right w:w="20" w:type="dxa"/>
            </w:tcMar>
            <w:vAlign w:val="bottom"/>
          </w:tcPr>
          <w:p w14:paraId="39D97AE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E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ED" w14:textId="77777777" w:rsidR="00996AD7" w:rsidRDefault="00D96458">
            <w:pPr>
              <w:jc w:val="right"/>
              <w:textAlignment w:val="bottom"/>
            </w:pPr>
            <w:r>
              <w:rPr>
                <w:rFonts w:ascii="Arial" w:eastAsia="宋体" w:hAnsi="Arial" w:cs="Arial"/>
                <w:color w:val="0068B5"/>
                <w:sz w:val="18"/>
                <w:szCs w:val="18"/>
              </w:rPr>
              <w:t>(377)</w:t>
            </w:r>
          </w:p>
        </w:tc>
        <w:tc>
          <w:tcPr>
            <w:tcW w:w="0" w:type="auto"/>
            <w:shd w:val="clear" w:color="auto" w:fill="auto"/>
            <w:tcMar>
              <w:top w:w="40" w:type="dxa"/>
              <w:left w:w="0" w:type="dxa"/>
              <w:bottom w:w="40" w:type="dxa"/>
              <w:right w:w="20" w:type="dxa"/>
            </w:tcMar>
            <w:vAlign w:val="bottom"/>
          </w:tcPr>
          <w:p w14:paraId="39D97AEE" w14:textId="77777777" w:rsidR="00996AD7" w:rsidRDefault="00996AD7">
            <w:pPr>
              <w:jc w:val="right"/>
              <w:rPr>
                <w:rFonts w:ascii="宋体"/>
              </w:rPr>
            </w:pPr>
          </w:p>
        </w:tc>
      </w:tr>
      <w:tr w:rsidR="00996AD7" w14:paraId="39D97B00" w14:textId="77777777">
        <w:tc>
          <w:tcPr>
            <w:tcW w:w="0" w:type="auto"/>
            <w:gridSpan w:val="3"/>
            <w:shd w:val="clear" w:color="auto" w:fill="auto"/>
            <w:tcMar>
              <w:top w:w="40" w:type="dxa"/>
              <w:left w:w="20" w:type="dxa"/>
              <w:bottom w:w="40" w:type="dxa"/>
              <w:right w:w="20" w:type="dxa"/>
            </w:tcMar>
            <w:vAlign w:val="bottom"/>
          </w:tcPr>
          <w:p w14:paraId="39D97AF0" w14:textId="77777777" w:rsidR="00996AD7" w:rsidRDefault="00D96458">
            <w:pPr>
              <w:textAlignment w:val="bottom"/>
            </w:pPr>
            <w:r>
              <w:rPr>
                <w:rFonts w:ascii="Arial" w:eastAsia="宋体" w:hAnsi="Arial" w:cs="Arial"/>
                <w:color w:val="262626"/>
                <w:sz w:val="18"/>
                <w:szCs w:val="18"/>
              </w:rPr>
              <w:t>Cash dividends declared ($1.39 per share)</w:t>
            </w:r>
          </w:p>
        </w:tc>
        <w:tc>
          <w:tcPr>
            <w:tcW w:w="0" w:type="auto"/>
            <w:gridSpan w:val="3"/>
            <w:shd w:val="clear" w:color="auto" w:fill="auto"/>
            <w:tcMar>
              <w:top w:w="0" w:type="dxa"/>
              <w:left w:w="20" w:type="dxa"/>
              <w:bottom w:w="0" w:type="dxa"/>
              <w:right w:w="20" w:type="dxa"/>
            </w:tcMar>
            <w:vAlign w:val="bottom"/>
          </w:tcPr>
          <w:p w14:paraId="39D97AF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F2"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F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F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F5"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F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F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F8"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AF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F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FB" w14:textId="77777777" w:rsidR="00996AD7" w:rsidRDefault="00D96458">
            <w:pPr>
              <w:jc w:val="right"/>
              <w:textAlignment w:val="bottom"/>
            </w:pPr>
            <w:r>
              <w:rPr>
                <w:rFonts w:ascii="Arial" w:eastAsia="宋体" w:hAnsi="Arial" w:cs="Arial"/>
                <w:color w:val="0068B5"/>
                <w:sz w:val="18"/>
                <w:szCs w:val="18"/>
              </w:rPr>
              <w:t>(5,645)</w:t>
            </w:r>
          </w:p>
        </w:tc>
        <w:tc>
          <w:tcPr>
            <w:tcW w:w="0" w:type="auto"/>
            <w:shd w:val="clear" w:color="auto" w:fill="auto"/>
            <w:tcMar>
              <w:top w:w="40" w:type="dxa"/>
              <w:left w:w="0" w:type="dxa"/>
              <w:bottom w:w="40" w:type="dxa"/>
              <w:right w:w="20" w:type="dxa"/>
            </w:tcMar>
            <w:vAlign w:val="bottom"/>
          </w:tcPr>
          <w:p w14:paraId="39D97AF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AF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AFE" w14:textId="77777777" w:rsidR="00996AD7" w:rsidRDefault="00D96458">
            <w:pPr>
              <w:jc w:val="right"/>
              <w:textAlignment w:val="bottom"/>
            </w:pPr>
            <w:r>
              <w:rPr>
                <w:rFonts w:ascii="Arial" w:eastAsia="宋体" w:hAnsi="Arial" w:cs="Arial"/>
                <w:color w:val="0068B5"/>
                <w:sz w:val="18"/>
                <w:szCs w:val="18"/>
              </w:rPr>
              <w:t>(5,645)</w:t>
            </w:r>
          </w:p>
        </w:tc>
        <w:tc>
          <w:tcPr>
            <w:tcW w:w="0" w:type="auto"/>
            <w:shd w:val="clear" w:color="auto" w:fill="auto"/>
            <w:tcMar>
              <w:top w:w="40" w:type="dxa"/>
              <w:left w:w="0" w:type="dxa"/>
              <w:bottom w:w="40" w:type="dxa"/>
              <w:right w:w="20" w:type="dxa"/>
            </w:tcMar>
            <w:vAlign w:val="bottom"/>
          </w:tcPr>
          <w:p w14:paraId="39D97AFF" w14:textId="77777777" w:rsidR="00996AD7" w:rsidRDefault="00996AD7">
            <w:pPr>
              <w:jc w:val="right"/>
              <w:rPr>
                <w:rFonts w:ascii="宋体"/>
              </w:rPr>
            </w:pPr>
          </w:p>
        </w:tc>
      </w:tr>
      <w:tr w:rsidR="00996AD7" w14:paraId="39D97B15" w14:textId="77777777">
        <w:tc>
          <w:tcPr>
            <w:tcW w:w="0" w:type="auto"/>
            <w:gridSpan w:val="3"/>
            <w:shd w:val="clear" w:color="auto" w:fill="auto"/>
            <w:tcMar>
              <w:top w:w="40" w:type="dxa"/>
              <w:left w:w="20" w:type="dxa"/>
              <w:bottom w:w="40" w:type="dxa"/>
              <w:right w:w="20" w:type="dxa"/>
            </w:tcMar>
            <w:vAlign w:val="bottom"/>
          </w:tcPr>
          <w:p w14:paraId="39D97B01" w14:textId="77777777" w:rsidR="00996AD7" w:rsidRDefault="00D96458">
            <w:pPr>
              <w:textAlignment w:val="bottom"/>
            </w:pPr>
            <w:r>
              <w:rPr>
                <w:rFonts w:ascii="Arial" w:eastAsia="宋体" w:hAnsi="Arial" w:cs="Arial"/>
                <w:b/>
                <w:bCs/>
                <w:color w:val="262626"/>
                <w:sz w:val="18"/>
                <w:szCs w:val="18"/>
              </w:rPr>
              <w:t>Balance as of September 25, 2021</w:t>
            </w:r>
          </w:p>
        </w:tc>
        <w:tc>
          <w:tcPr>
            <w:tcW w:w="0" w:type="auto"/>
            <w:gridSpan w:val="3"/>
            <w:shd w:val="clear" w:color="auto" w:fill="auto"/>
            <w:tcMar>
              <w:top w:w="0" w:type="dxa"/>
              <w:left w:w="20" w:type="dxa"/>
              <w:bottom w:w="0" w:type="dxa"/>
              <w:right w:w="20" w:type="dxa"/>
            </w:tcMar>
            <w:vAlign w:val="bottom"/>
          </w:tcPr>
          <w:p w14:paraId="39D97B02" w14:textId="77777777" w:rsidR="00996AD7" w:rsidRDefault="00996AD7">
            <w:pPr>
              <w:rPr>
                <w:rFonts w:ascii="宋体"/>
              </w:rPr>
            </w:pPr>
          </w:p>
        </w:tc>
        <w:tc>
          <w:tcPr>
            <w:tcW w:w="0" w:type="auto"/>
            <w:gridSpan w:val="2"/>
            <w:tcBorders>
              <w:top w:val="single" w:sz="4" w:space="0" w:color="494949"/>
            </w:tcBorders>
            <w:shd w:val="clear" w:color="auto" w:fill="auto"/>
            <w:tcMar>
              <w:top w:w="40" w:type="dxa"/>
              <w:left w:w="20" w:type="dxa"/>
              <w:bottom w:w="40" w:type="dxa"/>
              <w:right w:w="0" w:type="dxa"/>
            </w:tcMar>
            <w:vAlign w:val="bottom"/>
          </w:tcPr>
          <w:p w14:paraId="39D97B03" w14:textId="77777777" w:rsidR="00996AD7" w:rsidRDefault="00D96458">
            <w:pPr>
              <w:jc w:val="right"/>
              <w:textAlignment w:val="bottom"/>
            </w:pPr>
            <w:r>
              <w:rPr>
                <w:rFonts w:ascii="Arial" w:eastAsia="宋体" w:hAnsi="Arial" w:cs="Arial"/>
                <w:b/>
                <w:bCs/>
                <w:color w:val="0068B5"/>
                <w:sz w:val="18"/>
                <w:szCs w:val="18"/>
              </w:rPr>
              <w:t>4,067</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39D97B0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05" w14:textId="77777777" w:rsidR="00996AD7" w:rsidRDefault="00996AD7">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39D97B06"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39D97B07" w14:textId="77777777" w:rsidR="00996AD7" w:rsidRDefault="00D96458">
            <w:pPr>
              <w:jc w:val="right"/>
              <w:textAlignment w:val="bottom"/>
            </w:pPr>
            <w:r>
              <w:rPr>
                <w:rFonts w:ascii="Arial" w:eastAsia="宋体" w:hAnsi="Arial" w:cs="Arial"/>
                <w:b/>
                <w:bCs/>
                <w:color w:val="0068B5"/>
                <w:sz w:val="18"/>
                <w:szCs w:val="18"/>
              </w:rPr>
              <w:t>27,592</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39D97B0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09" w14:textId="77777777" w:rsidR="00996AD7" w:rsidRDefault="00996AD7">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39D97B0A"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39D97B0B" w14:textId="77777777" w:rsidR="00996AD7" w:rsidRDefault="00D96458">
            <w:pPr>
              <w:jc w:val="right"/>
              <w:textAlignment w:val="bottom"/>
            </w:pPr>
            <w:r>
              <w:rPr>
                <w:rFonts w:ascii="Arial" w:eastAsia="宋体" w:hAnsi="Arial" w:cs="Arial"/>
                <w:b/>
                <w:bCs/>
                <w:color w:val="0068B5"/>
                <w:sz w:val="18"/>
                <w:szCs w:val="18"/>
              </w:rPr>
              <w:t>(1,147)</w:t>
            </w:r>
          </w:p>
        </w:tc>
        <w:tc>
          <w:tcPr>
            <w:tcW w:w="0" w:type="auto"/>
            <w:tcBorders>
              <w:top w:val="single" w:sz="4" w:space="0" w:color="494949"/>
            </w:tcBorders>
            <w:shd w:val="clear" w:color="auto" w:fill="auto"/>
            <w:tcMar>
              <w:top w:w="40" w:type="dxa"/>
              <w:left w:w="0" w:type="dxa"/>
              <w:bottom w:w="40" w:type="dxa"/>
              <w:right w:w="20" w:type="dxa"/>
            </w:tcMar>
            <w:vAlign w:val="bottom"/>
          </w:tcPr>
          <w:p w14:paraId="39D97B0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0D" w14:textId="77777777" w:rsidR="00996AD7" w:rsidRDefault="00996AD7">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39D97B0E"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39D97B0F" w14:textId="77777777" w:rsidR="00996AD7" w:rsidRDefault="00D96458">
            <w:pPr>
              <w:jc w:val="right"/>
              <w:textAlignment w:val="bottom"/>
            </w:pPr>
            <w:r>
              <w:rPr>
                <w:rFonts w:ascii="Arial" w:eastAsia="宋体" w:hAnsi="Arial" w:cs="Arial"/>
                <w:b/>
                <w:bCs/>
                <w:color w:val="0068B5"/>
                <w:sz w:val="18"/>
                <w:szCs w:val="18"/>
              </w:rPr>
              <w:t>63,642</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39D97B1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11" w14:textId="77777777" w:rsidR="00996AD7" w:rsidRDefault="00996AD7">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39D97B12"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39D97B13" w14:textId="77777777" w:rsidR="00996AD7" w:rsidRDefault="00D96458">
            <w:pPr>
              <w:jc w:val="right"/>
              <w:textAlignment w:val="bottom"/>
            </w:pPr>
            <w:r>
              <w:rPr>
                <w:rFonts w:ascii="Arial" w:eastAsia="宋体" w:hAnsi="Arial" w:cs="Arial"/>
                <w:b/>
                <w:bCs/>
                <w:color w:val="0068B5"/>
                <w:sz w:val="18"/>
                <w:szCs w:val="18"/>
              </w:rPr>
              <w:t>90,087</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39D97B14" w14:textId="77777777" w:rsidR="00996AD7" w:rsidRDefault="00996AD7">
            <w:pPr>
              <w:jc w:val="right"/>
              <w:rPr>
                <w:rFonts w:ascii="宋体"/>
              </w:rPr>
            </w:pPr>
          </w:p>
        </w:tc>
      </w:tr>
      <w:tr w:rsidR="00996AD7" w14:paraId="39D97B21" w14:textId="77777777">
        <w:trPr>
          <w:trHeight w:val="60"/>
        </w:trPr>
        <w:tc>
          <w:tcPr>
            <w:tcW w:w="0" w:type="auto"/>
            <w:gridSpan w:val="3"/>
            <w:shd w:val="clear" w:color="auto" w:fill="auto"/>
            <w:tcMar>
              <w:top w:w="0" w:type="dxa"/>
              <w:left w:w="20" w:type="dxa"/>
              <w:bottom w:w="0" w:type="dxa"/>
              <w:right w:w="20" w:type="dxa"/>
            </w:tcMar>
            <w:vAlign w:val="bottom"/>
          </w:tcPr>
          <w:p w14:paraId="39D97B1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B17"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B1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B19"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B1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B1B"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B1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B1D"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B1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B1F"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B20" w14:textId="77777777" w:rsidR="00996AD7" w:rsidRDefault="00996AD7">
            <w:pPr>
              <w:rPr>
                <w:rFonts w:ascii="宋体"/>
              </w:rPr>
            </w:pPr>
          </w:p>
        </w:tc>
      </w:tr>
      <w:tr w:rsidR="00996AD7" w14:paraId="39D97B36" w14:textId="77777777">
        <w:tc>
          <w:tcPr>
            <w:tcW w:w="0" w:type="auto"/>
            <w:gridSpan w:val="3"/>
            <w:shd w:val="clear" w:color="auto" w:fill="auto"/>
            <w:tcMar>
              <w:top w:w="40" w:type="dxa"/>
              <w:left w:w="20" w:type="dxa"/>
              <w:bottom w:w="40" w:type="dxa"/>
              <w:right w:w="20" w:type="dxa"/>
            </w:tcMar>
            <w:vAlign w:val="bottom"/>
          </w:tcPr>
          <w:p w14:paraId="39D97B22" w14:textId="77777777" w:rsidR="00996AD7" w:rsidRDefault="00D96458">
            <w:pPr>
              <w:textAlignment w:val="bottom"/>
            </w:pPr>
            <w:r>
              <w:rPr>
                <w:rFonts w:ascii="Arial" w:eastAsia="宋体" w:hAnsi="Arial" w:cs="Arial"/>
                <w:b/>
                <w:bCs/>
                <w:color w:val="262626"/>
                <w:sz w:val="18"/>
                <w:szCs w:val="18"/>
              </w:rPr>
              <w:t>Balance as of December 28, 2019</w:t>
            </w:r>
          </w:p>
        </w:tc>
        <w:tc>
          <w:tcPr>
            <w:tcW w:w="0" w:type="auto"/>
            <w:gridSpan w:val="3"/>
            <w:shd w:val="clear" w:color="auto" w:fill="auto"/>
            <w:tcMar>
              <w:top w:w="0" w:type="dxa"/>
              <w:left w:w="20" w:type="dxa"/>
              <w:bottom w:w="0" w:type="dxa"/>
              <w:right w:w="20" w:type="dxa"/>
            </w:tcMar>
            <w:vAlign w:val="bottom"/>
          </w:tcPr>
          <w:p w14:paraId="39D97B2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24" w14:textId="77777777" w:rsidR="00996AD7" w:rsidRDefault="00D96458">
            <w:pPr>
              <w:jc w:val="right"/>
              <w:textAlignment w:val="bottom"/>
            </w:pPr>
            <w:r>
              <w:rPr>
                <w:rFonts w:ascii="Arial" w:eastAsia="宋体" w:hAnsi="Arial" w:cs="Arial"/>
                <w:b/>
                <w:bCs/>
                <w:color w:val="262626"/>
                <w:sz w:val="18"/>
                <w:szCs w:val="18"/>
              </w:rPr>
              <w:t>4,290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2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26"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B27"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B28" w14:textId="77777777" w:rsidR="00996AD7" w:rsidRDefault="00D96458">
            <w:pPr>
              <w:jc w:val="right"/>
              <w:textAlignment w:val="bottom"/>
            </w:pPr>
            <w:r>
              <w:rPr>
                <w:rFonts w:ascii="Arial" w:eastAsia="宋体" w:hAnsi="Arial" w:cs="Arial"/>
                <w:b/>
                <w:bCs/>
                <w:color w:val="262626"/>
                <w:sz w:val="18"/>
                <w:szCs w:val="18"/>
              </w:rPr>
              <w:t>25,261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2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2A"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B2B"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B2C" w14:textId="77777777" w:rsidR="00996AD7" w:rsidRDefault="00D96458">
            <w:pPr>
              <w:jc w:val="right"/>
              <w:textAlignment w:val="bottom"/>
            </w:pPr>
            <w:r>
              <w:rPr>
                <w:rFonts w:ascii="Arial" w:eastAsia="宋体" w:hAnsi="Arial" w:cs="Arial"/>
                <w:b/>
                <w:bCs/>
                <w:color w:val="262626"/>
                <w:sz w:val="18"/>
                <w:szCs w:val="18"/>
              </w:rPr>
              <w:t>(1,280)</w:t>
            </w:r>
          </w:p>
        </w:tc>
        <w:tc>
          <w:tcPr>
            <w:tcW w:w="0" w:type="auto"/>
            <w:shd w:val="clear" w:color="auto" w:fill="auto"/>
            <w:tcMar>
              <w:top w:w="40" w:type="dxa"/>
              <w:left w:w="0" w:type="dxa"/>
              <w:bottom w:w="40" w:type="dxa"/>
              <w:right w:w="20" w:type="dxa"/>
            </w:tcMar>
            <w:vAlign w:val="bottom"/>
          </w:tcPr>
          <w:p w14:paraId="39D97B2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2E"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B2F"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B30" w14:textId="77777777" w:rsidR="00996AD7" w:rsidRDefault="00D96458">
            <w:pPr>
              <w:jc w:val="right"/>
              <w:textAlignment w:val="bottom"/>
            </w:pPr>
            <w:r>
              <w:rPr>
                <w:rFonts w:ascii="Arial" w:eastAsia="宋体" w:hAnsi="Arial" w:cs="Arial"/>
                <w:b/>
                <w:bCs/>
                <w:color w:val="262626"/>
                <w:sz w:val="18"/>
                <w:szCs w:val="18"/>
              </w:rPr>
              <w:t>53,523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3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32"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B33"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B34" w14:textId="77777777" w:rsidR="00996AD7" w:rsidRDefault="00D96458">
            <w:pPr>
              <w:jc w:val="right"/>
              <w:textAlignment w:val="bottom"/>
            </w:pPr>
            <w:r>
              <w:rPr>
                <w:rFonts w:ascii="Arial" w:eastAsia="宋体" w:hAnsi="Arial" w:cs="Arial"/>
                <w:b/>
                <w:bCs/>
                <w:color w:val="262626"/>
                <w:sz w:val="18"/>
                <w:szCs w:val="18"/>
              </w:rPr>
              <w:t>77,504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35" w14:textId="77777777" w:rsidR="00996AD7" w:rsidRDefault="00996AD7">
            <w:pPr>
              <w:jc w:val="right"/>
              <w:rPr>
                <w:rFonts w:ascii="宋体"/>
              </w:rPr>
            </w:pPr>
          </w:p>
        </w:tc>
      </w:tr>
      <w:tr w:rsidR="00996AD7" w14:paraId="39D97B47" w14:textId="77777777">
        <w:tc>
          <w:tcPr>
            <w:tcW w:w="0" w:type="auto"/>
            <w:gridSpan w:val="3"/>
            <w:shd w:val="clear" w:color="auto" w:fill="auto"/>
            <w:tcMar>
              <w:top w:w="40" w:type="dxa"/>
              <w:left w:w="20" w:type="dxa"/>
              <w:bottom w:w="40" w:type="dxa"/>
              <w:right w:w="20" w:type="dxa"/>
            </w:tcMar>
            <w:vAlign w:val="bottom"/>
          </w:tcPr>
          <w:p w14:paraId="39D97B37" w14:textId="77777777" w:rsidR="00996AD7" w:rsidRDefault="00D96458">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39D97B3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39"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3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3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3C"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3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3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3F"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4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4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42" w14:textId="77777777" w:rsidR="00996AD7" w:rsidRDefault="00D96458">
            <w:pPr>
              <w:jc w:val="right"/>
              <w:textAlignment w:val="bottom"/>
            </w:pPr>
            <w:r>
              <w:rPr>
                <w:rFonts w:ascii="Arial" w:eastAsia="宋体" w:hAnsi="Arial" w:cs="Arial"/>
                <w:color w:val="262626"/>
                <w:sz w:val="18"/>
                <w:szCs w:val="18"/>
              </w:rPr>
              <w:t>15,042 </w:t>
            </w:r>
          </w:p>
        </w:tc>
        <w:tc>
          <w:tcPr>
            <w:tcW w:w="0" w:type="auto"/>
            <w:shd w:val="clear" w:color="auto" w:fill="auto"/>
            <w:tcMar>
              <w:top w:w="40" w:type="dxa"/>
              <w:left w:w="0" w:type="dxa"/>
              <w:bottom w:w="40" w:type="dxa"/>
              <w:right w:w="20" w:type="dxa"/>
            </w:tcMar>
            <w:vAlign w:val="bottom"/>
          </w:tcPr>
          <w:p w14:paraId="39D97B4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4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45" w14:textId="77777777" w:rsidR="00996AD7" w:rsidRDefault="00D96458">
            <w:pPr>
              <w:jc w:val="right"/>
              <w:textAlignment w:val="bottom"/>
            </w:pPr>
            <w:r>
              <w:rPr>
                <w:rFonts w:ascii="Arial" w:eastAsia="宋体" w:hAnsi="Arial" w:cs="Arial"/>
                <w:color w:val="262626"/>
                <w:sz w:val="18"/>
                <w:szCs w:val="18"/>
              </w:rPr>
              <w:t>15,042 </w:t>
            </w:r>
          </w:p>
        </w:tc>
        <w:tc>
          <w:tcPr>
            <w:tcW w:w="0" w:type="auto"/>
            <w:shd w:val="clear" w:color="auto" w:fill="auto"/>
            <w:tcMar>
              <w:top w:w="40" w:type="dxa"/>
              <w:left w:w="0" w:type="dxa"/>
              <w:bottom w:w="40" w:type="dxa"/>
              <w:right w:w="20" w:type="dxa"/>
            </w:tcMar>
            <w:vAlign w:val="bottom"/>
          </w:tcPr>
          <w:p w14:paraId="39D97B46" w14:textId="77777777" w:rsidR="00996AD7" w:rsidRDefault="00996AD7">
            <w:pPr>
              <w:jc w:val="right"/>
              <w:rPr>
                <w:rFonts w:ascii="宋体"/>
              </w:rPr>
            </w:pPr>
          </w:p>
        </w:tc>
      </w:tr>
      <w:tr w:rsidR="00996AD7" w14:paraId="39D97B58" w14:textId="77777777">
        <w:tc>
          <w:tcPr>
            <w:tcW w:w="0" w:type="auto"/>
            <w:gridSpan w:val="3"/>
            <w:shd w:val="clear" w:color="auto" w:fill="auto"/>
            <w:tcMar>
              <w:top w:w="40" w:type="dxa"/>
              <w:left w:w="20" w:type="dxa"/>
              <w:bottom w:w="40" w:type="dxa"/>
              <w:right w:w="20" w:type="dxa"/>
            </w:tcMar>
            <w:vAlign w:val="bottom"/>
          </w:tcPr>
          <w:p w14:paraId="39D97B48" w14:textId="77777777" w:rsidR="00996AD7" w:rsidRDefault="00D9645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39D97B4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4A"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4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4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4D"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4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4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50" w14:textId="77777777" w:rsidR="00996AD7" w:rsidRDefault="00D96458">
            <w:pPr>
              <w:jc w:val="right"/>
              <w:textAlignment w:val="bottom"/>
            </w:pPr>
            <w:r>
              <w:rPr>
                <w:rFonts w:ascii="Arial" w:eastAsia="宋体" w:hAnsi="Arial" w:cs="Arial"/>
                <w:color w:val="262626"/>
                <w:sz w:val="18"/>
                <w:szCs w:val="18"/>
              </w:rPr>
              <w:t>340 </w:t>
            </w:r>
          </w:p>
        </w:tc>
        <w:tc>
          <w:tcPr>
            <w:tcW w:w="0" w:type="auto"/>
            <w:shd w:val="clear" w:color="auto" w:fill="auto"/>
            <w:tcMar>
              <w:top w:w="40" w:type="dxa"/>
              <w:left w:w="0" w:type="dxa"/>
              <w:bottom w:w="40" w:type="dxa"/>
              <w:right w:w="20" w:type="dxa"/>
            </w:tcMar>
            <w:vAlign w:val="bottom"/>
          </w:tcPr>
          <w:p w14:paraId="39D97B5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5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53"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5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5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56" w14:textId="77777777" w:rsidR="00996AD7" w:rsidRDefault="00D96458">
            <w:pPr>
              <w:jc w:val="right"/>
              <w:textAlignment w:val="bottom"/>
            </w:pPr>
            <w:r>
              <w:rPr>
                <w:rFonts w:ascii="Arial" w:eastAsia="宋体" w:hAnsi="Arial" w:cs="Arial"/>
                <w:color w:val="262626"/>
                <w:sz w:val="18"/>
                <w:szCs w:val="18"/>
              </w:rPr>
              <w:t>340 </w:t>
            </w:r>
          </w:p>
        </w:tc>
        <w:tc>
          <w:tcPr>
            <w:tcW w:w="0" w:type="auto"/>
            <w:shd w:val="clear" w:color="auto" w:fill="auto"/>
            <w:tcMar>
              <w:top w:w="40" w:type="dxa"/>
              <w:left w:w="0" w:type="dxa"/>
              <w:bottom w:w="40" w:type="dxa"/>
              <w:right w:w="20" w:type="dxa"/>
            </w:tcMar>
            <w:vAlign w:val="bottom"/>
          </w:tcPr>
          <w:p w14:paraId="39D97B57" w14:textId="77777777" w:rsidR="00996AD7" w:rsidRDefault="00996AD7">
            <w:pPr>
              <w:jc w:val="right"/>
              <w:rPr>
                <w:rFonts w:ascii="宋体"/>
              </w:rPr>
            </w:pPr>
          </w:p>
        </w:tc>
      </w:tr>
      <w:tr w:rsidR="00996AD7" w14:paraId="39D97B69" w14:textId="77777777">
        <w:tc>
          <w:tcPr>
            <w:tcW w:w="0" w:type="auto"/>
            <w:gridSpan w:val="3"/>
            <w:shd w:val="clear" w:color="auto" w:fill="auto"/>
            <w:tcMar>
              <w:top w:w="40" w:type="dxa"/>
              <w:left w:w="20" w:type="dxa"/>
              <w:bottom w:w="40" w:type="dxa"/>
              <w:right w:w="20" w:type="dxa"/>
            </w:tcMar>
            <w:vAlign w:val="bottom"/>
          </w:tcPr>
          <w:p w14:paraId="39D97B59" w14:textId="77777777" w:rsidR="00996AD7" w:rsidRDefault="00D9645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39D97B5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5B" w14:textId="77777777" w:rsidR="00996AD7" w:rsidRDefault="00D96458">
            <w:pPr>
              <w:jc w:val="right"/>
              <w:textAlignment w:val="bottom"/>
            </w:pPr>
            <w:r>
              <w:rPr>
                <w:rFonts w:ascii="Arial" w:eastAsia="宋体" w:hAnsi="Arial" w:cs="Arial"/>
                <w:color w:val="262626"/>
                <w:sz w:val="18"/>
                <w:szCs w:val="18"/>
              </w:rPr>
              <w:t>54 </w:t>
            </w:r>
          </w:p>
        </w:tc>
        <w:tc>
          <w:tcPr>
            <w:tcW w:w="0" w:type="auto"/>
            <w:shd w:val="clear" w:color="auto" w:fill="auto"/>
            <w:tcMar>
              <w:top w:w="40" w:type="dxa"/>
              <w:left w:w="0" w:type="dxa"/>
              <w:bottom w:w="40" w:type="dxa"/>
              <w:right w:w="20" w:type="dxa"/>
            </w:tcMar>
            <w:vAlign w:val="bottom"/>
          </w:tcPr>
          <w:p w14:paraId="39D97B5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5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5E" w14:textId="77777777" w:rsidR="00996AD7" w:rsidRDefault="00D96458">
            <w:pPr>
              <w:jc w:val="right"/>
              <w:textAlignment w:val="bottom"/>
            </w:pPr>
            <w:r>
              <w:rPr>
                <w:rFonts w:ascii="Arial" w:eastAsia="宋体" w:hAnsi="Arial" w:cs="Arial"/>
                <w:color w:val="262626"/>
                <w:sz w:val="18"/>
                <w:szCs w:val="18"/>
              </w:rPr>
              <w:t>1,014 </w:t>
            </w:r>
          </w:p>
        </w:tc>
        <w:tc>
          <w:tcPr>
            <w:tcW w:w="0" w:type="auto"/>
            <w:shd w:val="clear" w:color="auto" w:fill="auto"/>
            <w:tcMar>
              <w:top w:w="40" w:type="dxa"/>
              <w:left w:w="0" w:type="dxa"/>
              <w:bottom w:w="40" w:type="dxa"/>
              <w:right w:w="20" w:type="dxa"/>
            </w:tcMar>
            <w:vAlign w:val="bottom"/>
          </w:tcPr>
          <w:p w14:paraId="39D97B5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6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61"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6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6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64"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6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6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67" w14:textId="77777777" w:rsidR="00996AD7" w:rsidRDefault="00D96458">
            <w:pPr>
              <w:jc w:val="right"/>
              <w:textAlignment w:val="bottom"/>
            </w:pPr>
            <w:r>
              <w:rPr>
                <w:rFonts w:ascii="Arial" w:eastAsia="宋体" w:hAnsi="Arial" w:cs="Arial"/>
                <w:color w:val="262626"/>
                <w:sz w:val="18"/>
                <w:szCs w:val="18"/>
              </w:rPr>
              <w:t>1,014 </w:t>
            </w:r>
          </w:p>
        </w:tc>
        <w:tc>
          <w:tcPr>
            <w:tcW w:w="0" w:type="auto"/>
            <w:shd w:val="clear" w:color="auto" w:fill="auto"/>
            <w:tcMar>
              <w:top w:w="40" w:type="dxa"/>
              <w:left w:w="0" w:type="dxa"/>
              <w:bottom w:w="40" w:type="dxa"/>
              <w:right w:w="20" w:type="dxa"/>
            </w:tcMar>
            <w:vAlign w:val="bottom"/>
          </w:tcPr>
          <w:p w14:paraId="39D97B68" w14:textId="77777777" w:rsidR="00996AD7" w:rsidRDefault="00996AD7">
            <w:pPr>
              <w:jc w:val="right"/>
              <w:rPr>
                <w:rFonts w:ascii="宋体"/>
              </w:rPr>
            </w:pPr>
          </w:p>
        </w:tc>
      </w:tr>
      <w:tr w:rsidR="00996AD7" w14:paraId="39D97B7A" w14:textId="77777777">
        <w:tc>
          <w:tcPr>
            <w:tcW w:w="0" w:type="auto"/>
            <w:gridSpan w:val="3"/>
            <w:shd w:val="clear" w:color="auto" w:fill="auto"/>
            <w:tcMar>
              <w:top w:w="40" w:type="dxa"/>
              <w:left w:w="20" w:type="dxa"/>
              <w:bottom w:w="40" w:type="dxa"/>
              <w:right w:w="20" w:type="dxa"/>
            </w:tcMar>
            <w:vAlign w:val="bottom"/>
          </w:tcPr>
          <w:p w14:paraId="39D97B6A" w14:textId="77777777" w:rsidR="00996AD7" w:rsidRDefault="00D9645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39D97B6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6C"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6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6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6F" w14:textId="77777777" w:rsidR="00996AD7" w:rsidRDefault="00D96458">
            <w:pPr>
              <w:jc w:val="right"/>
              <w:textAlignment w:val="bottom"/>
            </w:pPr>
            <w:r>
              <w:rPr>
                <w:rFonts w:ascii="Arial" w:eastAsia="宋体" w:hAnsi="Arial" w:cs="Arial"/>
                <w:color w:val="262626"/>
                <w:sz w:val="18"/>
                <w:szCs w:val="18"/>
              </w:rPr>
              <w:t>1,393 </w:t>
            </w:r>
          </w:p>
        </w:tc>
        <w:tc>
          <w:tcPr>
            <w:tcW w:w="0" w:type="auto"/>
            <w:shd w:val="clear" w:color="auto" w:fill="auto"/>
            <w:tcMar>
              <w:top w:w="40" w:type="dxa"/>
              <w:left w:w="0" w:type="dxa"/>
              <w:bottom w:w="40" w:type="dxa"/>
              <w:right w:w="20" w:type="dxa"/>
            </w:tcMar>
            <w:vAlign w:val="bottom"/>
          </w:tcPr>
          <w:p w14:paraId="39D97B7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7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72"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7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7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75"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7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7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78" w14:textId="77777777" w:rsidR="00996AD7" w:rsidRDefault="00D96458">
            <w:pPr>
              <w:jc w:val="right"/>
              <w:textAlignment w:val="bottom"/>
            </w:pPr>
            <w:r>
              <w:rPr>
                <w:rFonts w:ascii="Arial" w:eastAsia="宋体" w:hAnsi="Arial" w:cs="Arial"/>
                <w:color w:val="262626"/>
                <w:sz w:val="18"/>
                <w:szCs w:val="18"/>
              </w:rPr>
              <w:t>1,393 </w:t>
            </w:r>
          </w:p>
        </w:tc>
        <w:tc>
          <w:tcPr>
            <w:tcW w:w="0" w:type="auto"/>
            <w:shd w:val="clear" w:color="auto" w:fill="auto"/>
            <w:tcMar>
              <w:top w:w="40" w:type="dxa"/>
              <w:left w:w="0" w:type="dxa"/>
              <w:bottom w:w="40" w:type="dxa"/>
              <w:right w:w="20" w:type="dxa"/>
            </w:tcMar>
            <w:vAlign w:val="bottom"/>
          </w:tcPr>
          <w:p w14:paraId="39D97B79" w14:textId="77777777" w:rsidR="00996AD7" w:rsidRDefault="00996AD7">
            <w:pPr>
              <w:jc w:val="right"/>
              <w:rPr>
                <w:rFonts w:ascii="宋体"/>
              </w:rPr>
            </w:pPr>
          </w:p>
        </w:tc>
      </w:tr>
      <w:tr w:rsidR="00996AD7" w14:paraId="39D97B8B" w14:textId="77777777">
        <w:tc>
          <w:tcPr>
            <w:tcW w:w="0" w:type="auto"/>
            <w:gridSpan w:val="3"/>
            <w:shd w:val="clear" w:color="auto" w:fill="auto"/>
            <w:tcMar>
              <w:top w:w="40" w:type="dxa"/>
              <w:left w:w="20" w:type="dxa"/>
              <w:bottom w:w="40" w:type="dxa"/>
              <w:right w:w="20" w:type="dxa"/>
            </w:tcMar>
            <w:vAlign w:val="bottom"/>
          </w:tcPr>
          <w:p w14:paraId="39D97B7B" w14:textId="77777777" w:rsidR="00996AD7" w:rsidRDefault="00D96458">
            <w:pPr>
              <w:textAlignment w:val="bottom"/>
            </w:pPr>
            <w:r>
              <w:rPr>
                <w:rFonts w:ascii="Arial" w:eastAsia="宋体" w:hAnsi="Arial" w:cs="Arial"/>
                <w:color w:val="262626"/>
                <w:sz w:val="18"/>
                <w:szCs w:val="18"/>
              </w:rPr>
              <w:t>Temporary equity reduction</w:t>
            </w:r>
          </w:p>
        </w:tc>
        <w:tc>
          <w:tcPr>
            <w:tcW w:w="0" w:type="auto"/>
            <w:gridSpan w:val="3"/>
            <w:shd w:val="clear" w:color="auto" w:fill="auto"/>
            <w:tcMar>
              <w:top w:w="0" w:type="dxa"/>
              <w:left w:w="20" w:type="dxa"/>
              <w:bottom w:w="0" w:type="dxa"/>
              <w:right w:w="20" w:type="dxa"/>
            </w:tcMar>
            <w:vAlign w:val="bottom"/>
          </w:tcPr>
          <w:p w14:paraId="39D97B7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7D"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7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7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80" w14:textId="77777777" w:rsidR="00996AD7" w:rsidRDefault="00D96458">
            <w:pPr>
              <w:jc w:val="right"/>
              <w:textAlignment w:val="bottom"/>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vAlign w:val="bottom"/>
          </w:tcPr>
          <w:p w14:paraId="39D97B8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8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83"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8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8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86"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8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8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89" w14:textId="77777777" w:rsidR="00996AD7" w:rsidRDefault="00D96458">
            <w:pPr>
              <w:jc w:val="right"/>
              <w:textAlignment w:val="bottom"/>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vAlign w:val="bottom"/>
          </w:tcPr>
          <w:p w14:paraId="39D97B8A" w14:textId="77777777" w:rsidR="00996AD7" w:rsidRDefault="00996AD7">
            <w:pPr>
              <w:jc w:val="right"/>
              <w:rPr>
                <w:rFonts w:ascii="宋体"/>
              </w:rPr>
            </w:pPr>
          </w:p>
        </w:tc>
      </w:tr>
      <w:tr w:rsidR="00996AD7" w14:paraId="39D97B9C" w14:textId="77777777">
        <w:tc>
          <w:tcPr>
            <w:tcW w:w="0" w:type="auto"/>
            <w:gridSpan w:val="3"/>
            <w:shd w:val="clear" w:color="auto" w:fill="auto"/>
            <w:tcMar>
              <w:top w:w="40" w:type="dxa"/>
              <w:left w:w="20" w:type="dxa"/>
              <w:bottom w:w="40" w:type="dxa"/>
              <w:right w:w="20" w:type="dxa"/>
            </w:tcMar>
            <w:vAlign w:val="bottom"/>
          </w:tcPr>
          <w:p w14:paraId="39D97B8C" w14:textId="77777777" w:rsidR="00996AD7" w:rsidRDefault="00D96458">
            <w:pPr>
              <w:textAlignment w:val="bottom"/>
            </w:pPr>
            <w:r>
              <w:rPr>
                <w:rFonts w:ascii="Arial" w:eastAsia="宋体" w:hAnsi="Arial" w:cs="Arial"/>
                <w:color w:val="262626"/>
                <w:sz w:val="18"/>
                <w:szCs w:val="18"/>
              </w:rPr>
              <w:t>Convertible debt</w:t>
            </w:r>
          </w:p>
        </w:tc>
        <w:tc>
          <w:tcPr>
            <w:tcW w:w="0" w:type="auto"/>
            <w:gridSpan w:val="3"/>
            <w:shd w:val="clear" w:color="auto" w:fill="auto"/>
            <w:tcMar>
              <w:top w:w="0" w:type="dxa"/>
              <w:left w:w="20" w:type="dxa"/>
              <w:bottom w:w="0" w:type="dxa"/>
              <w:right w:w="20" w:type="dxa"/>
            </w:tcMar>
            <w:vAlign w:val="bottom"/>
          </w:tcPr>
          <w:p w14:paraId="39D97B8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8E"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8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9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91" w14:textId="77777777" w:rsidR="00996AD7" w:rsidRDefault="00D96458">
            <w:pPr>
              <w:jc w:val="right"/>
              <w:textAlignment w:val="bottom"/>
            </w:pPr>
            <w:r>
              <w:rPr>
                <w:rFonts w:ascii="Arial" w:eastAsia="宋体" w:hAnsi="Arial" w:cs="Arial"/>
                <w:color w:val="262626"/>
                <w:sz w:val="18"/>
                <w:szCs w:val="18"/>
              </w:rPr>
              <w:t>(750)</w:t>
            </w:r>
          </w:p>
        </w:tc>
        <w:tc>
          <w:tcPr>
            <w:tcW w:w="0" w:type="auto"/>
            <w:shd w:val="clear" w:color="auto" w:fill="auto"/>
            <w:tcMar>
              <w:top w:w="40" w:type="dxa"/>
              <w:left w:w="0" w:type="dxa"/>
              <w:bottom w:w="40" w:type="dxa"/>
              <w:right w:w="20" w:type="dxa"/>
            </w:tcMar>
            <w:vAlign w:val="bottom"/>
          </w:tcPr>
          <w:p w14:paraId="39D97B9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9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94"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9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9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97"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9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9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9A" w14:textId="77777777" w:rsidR="00996AD7" w:rsidRDefault="00D96458">
            <w:pPr>
              <w:jc w:val="right"/>
              <w:textAlignment w:val="bottom"/>
            </w:pPr>
            <w:r>
              <w:rPr>
                <w:rFonts w:ascii="Arial" w:eastAsia="宋体" w:hAnsi="Arial" w:cs="Arial"/>
                <w:color w:val="262626"/>
                <w:sz w:val="18"/>
                <w:szCs w:val="18"/>
              </w:rPr>
              <w:t>(750)</w:t>
            </w:r>
          </w:p>
        </w:tc>
        <w:tc>
          <w:tcPr>
            <w:tcW w:w="0" w:type="auto"/>
            <w:shd w:val="clear" w:color="auto" w:fill="auto"/>
            <w:tcMar>
              <w:top w:w="40" w:type="dxa"/>
              <w:left w:w="0" w:type="dxa"/>
              <w:bottom w:w="40" w:type="dxa"/>
              <w:right w:w="20" w:type="dxa"/>
            </w:tcMar>
            <w:vAlign w:val="bottom"/>
          </w:tcPr>
          <w:p w14:paraId="39D97B9B" w14:textId="77777777" w:rsidR="00996AD7" w:rsidRDefault="00996AD7">
            <w:pPr>
              <w:jc w:val="right"/>
              <w:rPr>
                <w:rFonts w:ascii="宋体"/>
              </w:rPr>
            </w:pPr>
          </w:p>
        </w:tc>
      </w:tr>
      <w:tr w:rsidR="00996AD7" w14:paraId="39D97BAD" w14:textId="77777777">
        <w:tc>
          <w:tcPr>
            <w:tcW w:w="0" w:type="auto"/>
            <w:gridSpan w:val="3"/>
            <w:shd w:val="clear" w:color="auto" w:fill="auto"/>
            <w:tcMar>
              <w:top w:w="40" w:type="dxa"/>
              <w:left w:w="20" w:type="dxa"/>
              <w:bottom w:w="40" w:type="dxa"/>
              <w:right w:w="20" w:type="dxa"/>
            </w:tcMar>
            <w:vAlign w:val="bottom"/>
          </w:tcPr>
          <w:p w14:paraId="39D97B9D" w14:textId="77777777" w:rsidR="00996AD7" w:rsidRDefault="00D96458">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39D97B9E" w14:textId="77777777" w:rsidR="00996AD7" w:rsidRDefault="00996AD7">
            <w:pPr>
              <w:rPr>
                <w:rFonts w:ascii="宋体"/>
              </w:rPr>
            </w:pPr>
          </w:p>
        </w:tc>
        <w:tc>
          <w:tcPr>
            <w:tcW w:w="0" w:type="auto"/>
            <w:gridSpan w:val="2"/>
            <w:shd w:val="clear" w:color="auto" w:fill="FFFFFF"/>
            <w:tcMar>
              <w:top w:w="40" w:type="dxa"/>
              <w:left w:w="20" w:type="dxa"/>
              <w:bottom w:w="40" w:type="dxa"/>
              <w:right w:w="0" w:type="dxa"/>
            </w:tcMar>
            <w:vAlign w:val="bottom"/>
          </w:tcPr>
          <w:p w14:paraId="39D97B9F" w14:textId="77777777" w:rsidR="00996AD7" w:rsidRDefault="00D96458">
            <w:pPr>
              <w:jc w:val="right"/>
              <w:textAlignment w:val="bottom"/>
            </w:pPr>
            <w:r>
              <w:rPr>
                <w:rFonts w:ascii="Arial" w:eastAsia="宋体" w:hAnsi="Arial" w:cs="Arial"/>
                <w:color w:val="262626"/>
                <w:sz w:val="18"/>
                <w:szCs w:val="18"/>
              </w:rPr>
              <w:t>(237)</w:t>
            </w:r>
          </w:p>
        </w:tc>
        <w:tc>
          <w:tcPr>
            <w:tcW w:w="0" w:type="auto"/>
            <w:shd w:val="clear" w:color="auto" w:fill="FFFFFF"/>
            <w:tcMar>
              <w:top w:w="40" w:type="dxa"/>
              <w:left w:w="0" w:type="dxa"/>
              <w:bottom w:w="40" w:type="dxa"/>
              <w:right w:w="20" w:type="dxa"/>
            </w:tcMar>
            <w:vAlign w:val="bottom"/>
          </w:tcPr>
          <w:p w14:paraId="39D97BA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A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A2" w14:textId="77777777" w:rsidR="00996AD7" w:rsidRDefault="00D96458">
            <w:pPr>
              <w:jc w:val="right"/>
              <w:textAlignment w:val="bottom"/>
            </w:pPr>
            <w:r>
              <w:rPr>
                <w:rFonts w:ascii="Arial" w:eastAsia="宋体" w:hAnsi="Arial" w:cs="Arial"/>
                <w:color w:val="262626"/>
                <w:sz w:val="18"/>
                <w:szCs w:val="18"/>
              </w:rPr>
              <w:t>(1,413)</w:t>
            </w:r>
          </w:p>
        </w:tc>
        <w:tc>
          <w:tcPr>
            <w:tcW w:w="0" w:type="auto"/>
            <w:shd w:val="clear" w:color="auto" w:fill="auto"/>
            <w:tcMar>
              <w:top w:w="40" w:type="dxa"/>
              <w:left w:w="0" w:type="dxa"/>
              <w:bottom w:w="40" w:type="dxa"/>
              <w:right w:w="20" w:type="dxa"/>
            </w:tcMar>
            <w:vAlign w:val="bottom"/>
          </w:tcPr>
          <w:p w14:paraId="39D97BA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A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A5"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A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A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A8" w14:textId="77777777" w:rsidR="00996AD7" w:rsidRDefault="00D96458">
            <w:pPr>
              <w:jc w:val="right"/>
              <w:textAlignment w:val="bottom"/>
            </w:pPr>
            <w:r>
              <w:rPr>
                <w:rFonts w:ascii="Arial" w:eastAsia="宋体" w:hAnsi="Arial" w:cs="Arial"/>
                <w:color w:val="262626"/>
                <w:sz w:val="18"/>
                <w:szCs w:val="18"/>
              </w:rPr>
              <w:t>(10,696)</w:t>
            </w:r>
          </w:p>
        </w:tc>
        <w:tc>
          <w:tcPr>
            <w:tcW w:w="0" w:type="auto"/>
            <w:shd w:val="clear" w:color="auto" w:fill="auto"/>
            <w:tcMar>
              <w:top w:w="40" w:type="dxa"/>
              <w:left w:w="0" w:type="dxa"/>
              <w:bottom w:w="40" w:type="dxa"/>
              <w:right w:w="20" w:type="dxa"/>
            </w:tcMar>
            <w:vAlign w:val="bottom"/>
          </w:tcPr>
          <w:p w14:paraId="39D97BA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A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AB" w14:textId="77777777" w:rsidR="00996AD7" w:rsidRDefault="00D96458">
            <w:pPr>
              <w:jc w:val="right"/>
              <w:textAlignment w:val="bottom"/>
            </w:pPr>
            <w:r>
              <w:rPr>
                <w:rFonts w:ascii="Arial" w:eastAsia="宋体" w:hAnsi="Arial" w:cs="Arial"/>
                <w:color w:val="262626"/>
                <w:sz w:val="18"/>
                <w:szCs w:val="18"/>
              </w:rPr>
              <w:t>(12,109)</w:t>
            </w:r>
          </w:p>
        </w:tc>
        <w:tc>
          <w:tcPr>
            <w:tcW w:w="0" w:type="auto"/>
            <w:shd w:val="clear" w:color="auto" w:fill="auto"/>
            <w:tcMar>
              <w:top w:w="40" w:type="dxa"/>
              <w:left w:w="0" w:type="dxa"/>
              <w:bottom w:w="40" w:type="dxa"/>
              <w:right w:w="20" w:type="dxa"/>
            </w:tcMar>
            <w:vAlign w:val="bottom"/>
          </w:tcPr>
          <w:p w14:paraId="39D97BAC" w14:textId="77777777" w:rsidR="00996AD7" w:rsidRDefault="00996AD7">
            <w:pPr>
              <w:jc w:val="right"/>
              <w:rPr>
                <w:rFonts w:ascii="宋体"/>
              </w:rPr>
            </w:pPr>
          </w:p>
        </w:tc>
      </w:tr>
      <w:tr w:rsidR="00996AD7" w14:paraId="39D97BBE" w14:textId="77777777">
        <w:tc>
          <w:tcPr>
            <w:tcW w:w="0" w:type="auto"/>
            <w:gridSpan w:val="3"/>
            <w:shd w:val="clear" w:color="auto" w:fill="auto"/>
            <w:tcMar>
              <w:top w:w="40" w:type="dxa"/>
              <w:left w:w="20" w:type="dxa"/>
              <w:bottom w:w="40" w:type="dxa"/>
              <w:right w:w="20" w:type="dxa"/>
            </w:tcMar>
            <w:vAlign w:val="bottom"/>
          </w:tcPr>
          <w:p w14:paraId="39D97BAE" w14:textId="77777777" w:rsidR="00996AD7" w:rsidRDefault="00D96458">
            <w:pPr>
              <w:textAlignment w:val="bottom"/>
            </w:pPr>
            <w:r>
              <w:rPr>
                <w:rFonts w:ascii="Arial" w:eastAsia="宋体" w:hAnsi="Arial" w:cs="Arial"/>
                <w:color w:val="262626"/>
                <w:sz w:val="18"/>
                <w:szCs w:val="18"/>
              </w:rPr>
              <w:t>Accelerated share repurchase forward agreements</w:t>
            </w:r>
          </w:p>
        </w:tc>
        <w:tc>
          <w:tcPr>
            <w:tcW w:w="0" w:type="auto"/>
            <w:gridSpan w:val="3"/>
            <w:shd w:val="clear" w:color="auto" w:fill="auto"/>
            <w:tcMar>
              <w:top w:w="0" w:type="dxa"/>
              <w:left w:w="20" w:type="dxa"/>
              <w:bottom w:w="0" w:type="dxa"/>
              <w:right w:w="20" w:type="dxa"/>
            </w:tcMar>
            <w:vAlign w:val="bottom"/>
          </w:tcPr>
          <w:p w14:paraId="39D97BA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B0"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B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B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B3" w14:textId="77777777" w:rsidR="00996AD7" w:rsidRDefault="00D96458">
            <w:pPr>
              <w:jc w:val="right"/>
              <w:textAlignment w:val="bottom"/>
            </w:pPr>
            <w:r>
              <w:rPr>
                <w:rFonts w:ascii="Arial" w:eastAsia="宋体" w:hAnsi="Arial" w:cs="Arial"/>
                <w:color w:val="262626"/>
                <w:sz w:val="18"/>
                <w:szCs w:val="18"/>
              </w:rPr>
              <w:t>(2,000)</w:t>
            </w:r>
          </w:p>
        </w:tc>
        <w:tc>
          <w:tcPr>
            <w:tcW w:w="0" w:type="auto"/>
            <w:shd w:val="clear" w:color="auto" w:fill="auto"/>
            <w:tcMar>
              <w:top w:w="40" w:type="dxa"/>
              <w:left w:w="0" w:type="dxa"/>
              <w:bottom w:w="40" w:type="dxa"/>
              <w:right w:w="20" w:type="dxa"/>
            </w:tcMar>
            <w:vAlign w:val="bottom"/>
          </w:tcPr>
          <w:p w14:paraId="39D97BB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B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B6"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B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B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B9"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B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B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BC" w14:textId="77777777" w:rsidR="00996AD7" w:rsidRDefault="00D96458">
            <w:pPr>
              <w:jc w:val="right"/>
              <w:textAlignment w:val="bottom"/>
            </w:pPr>
            <w:r>
              <w:rPr>
                <w:rFonts w:ascii="Arial" w:eastAsia="宋体" w:hAnsi="Arial" w:cs="Arial"/>
                <w:color w:val="262626"/>
                <w:sz w:val="18"/>
                <w:szCs w:val="18"/>
              </w:rPr>
              <w:t>(2,000)</w:t>
            </w:r>
          </w:p>
        </w:tc>
        <w:tc>
          <w:tcPr>
            <w:tcW w:w="0" w:type="auto"/>
            <w:shd w:val="clear" w:color="auto" w:fill="auto"/>
            <w:tcMar>
              <w:top w:w="40" w:type="dxa"/>
              <w:left w:w="0" w:type="dxa"/>
              <w:bottom w:w="40" w:type="dxa"/>
              <w:right w:w="20" w:type="dxa"/>
            </w:tcMar>
            <w:vAlign w:val="bottom"/>
          </w:tcPr>
          <w:p w14:paraId="39D97BBD" w14:textId="77777777" w:rsidR="00996AD7" w:rsidRDefault="00996AD7">
            <w:pPr>
              <w:jc w:val="right"/>
              <w:rPr>
                <w:rFonts w:ascii="宋体"/>
              </w:rPr>
            </w:pPr>
          </w:p>
        </w:tc>
      </w:tr>
      <w:tr w:rsidR="00996AD7" w14:paraId="39D97BCF" w14:textId="77777777">
        <w:tc>
          <w:tcPr>
            <w:tcW w:w="0" w:type="auto"/>
            <w:gridSpan w:val="3"/>
            <w:shd w:val="clear" w:color="auto" w:fill="auto"/>
            <w:tcMar>
              <w:top w:w="40" w:type="dxa"/>
              <w:left w:w="20" w:type="dxa"/>
              <w:bottom w:w="40" w:type="dxa"/>
              <w:right w:w="20" w:type="dxa"/>
            </w:tcMar>
            <w:vAlign w:val="bottom"/>
          </w:tcPr>
          <w:p w14:paraId="39D97BBF" w14:textId="77777777" w:rsidR="00996AD7" w:rsidRDefault="00D9645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39D97BC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C1" w14:textId="77777777" w:rsidR="00996AD7" w:rsidRDefault="00D96458">
            <w:pPr>
              <w:jc w:val="right"/>
              <w:textAlignment w:val="bottom"/>
            </w:pPr>
            <w:r>
              <w:rPr>
                <w:rFonts w:ascii="Arial" w:eastAsia="宋体" w:hAnsi="Arial" w:cs="Arial"/>
                <w:color w:val="262626"/>
                <w:sz w:val="18"/>
                <w:szCs w:val="18"/>
              </w:rPr>
              <w:t>(9)</w:t>
            </w:r>
          </w:p>
        </w:tc>
        <w:tc>
          <w:tcPr>
            <w:tcW w:w="0" w:type="auto"/>
            <w:shd w:val="clear" w:color="auto" w:fill="auto"/>
            <w:tcMar>
              <w:top w:w="40" w:type="dxa"/>
              <w:left w:w="0" w:type="dxa"/>
              <w:bottom w:w="40" w:type="dxa"/>
              <w:right w:w="20" w:type="dxa"/>
            </w:tcMar>
            <w:vAlign w:val="bottom"/>
          </w:tcPr>
          <w:p w14:paraId="39D97BC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C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C4" w14:textId="77777777" w:rsidR="00996AD7" w:rsidRDefault="00D96458">
            <w:pPr>
              <w:jc w:val="right"/>
              <w:textAlignment w:val="bottom"/>
            </w:pPr>
            <w:r>
              <w:rPr>
                <w:rFonts w:ascii="Arial" w:eastAsia="宋体" w:hAnsi="Arial" w:cs="Arial"/>
                <w:color w:val="262626"/>
                <w:sz w:val="18"/>
                <w:szCs w:val="18"/>
              </w:rPr>
              <w:t>(325)</w:t>
            </w:r>
          </w:p>
        </w:tc>
        <w:tc>
          <w:tcPr>
            <w:tcW w:w="0" w:type="auto"/>
            <w:shd w:val="clear" w:color="auto" w:fill="auto"/>
            <w:tcMar>
              <w:top w:w="40" w:type="dxa"/>
              <w:left w:w="0" w:type="dxa"/>
              <w:bottom w:w="40" w:type="dxa"/>
              <w:right w:w="20" w:type="dxa"/>
            </w:tcMar>
            <w:vAlign w:val="bottom"/>
          </w:tcPr>
          <w:p w14:paraId="39D97BC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C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C7"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C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C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CA" w14:textId="77777777" w:rsidR="00996AD7" w:rsidRDefault="00D96458">
            <w:pPr>
              <w:jc w:val="right"/>
              <w:textAlignment w:val="bottom"/>
            </w:pPr>
            <w:r>
              <w:rPr>
                <w:rFonts w:ascii="Arial" w:eastAsia="宋体" w:hAnsi="Arial" w:cs="Arial"/>
                <w:color w:val="262626"/>
                <w:sz w:val="18"/>
                <w:szCs w:val="18"/>
              </w:rPr>
              <w:t>(135)</w:t>
            </w:r>
          </w:p>
        </w:tc>
        <w:tc>
          <w:tcPr>
            <w:tcW w:w="0" w:type="auto"/>
            <w:shd w:val="clear" w:color="auto" w:fill="auto"/>
            <w:tcMar>
              <w:top w:w="40" w:type="dxa"/>
              <w:left w:w="0" w:type="dxa"/>
              <w:bottom w:w="40" w:type="dxa"/>
              <w:right w:w="20" w:type="dxa"/>
            </w:tcMar>
            <w:vAlign w:val="bottom"/>
          </w:tcPr>
          <w:p w14:paraId="39D97BC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C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CD" w14:textId="77777777" w:rsidR="00996AD7" w:rsidRDefault="00D96458">
            <w:pPr>
              <w:jc w:val="right"/>
              <w:textAlignment w:val="bottom"/>
            </w:pPr>
            <w:r>
              <w:rPr>
                <w:rFonts w:ascii="Arial" w:eastAsia="宋体" w:hAnsi="Arial" w:cs="Arial"/>
                <w:color w:val="262626"/>
                <w:sz w:val="18"/>
                <w:szCs w:val="18"/>
              </w:rPr>
              <w:t>(460)</w:t>
            </w:r>
          </w:p>
        </w:tc>
        <w:tc>
          <w:tcPr>
            <w:tcW w:w="0" w:type="auto"/>
            <w:shd w:val="clear" w:color="auto" w:fill="auto"/>
            <w:tcMar>
              <w:top w:w="40" w:type="dxa"/>
              <w:left w:w="0" w:type="dxa"/>
              <w:bottom w:w="40" w:type="dxa"/>
              <w:right w:w="20" w:type="dxa"/>
            </w:tcMar>
            <w:vAlign w:val="bottom"/>
          </w:tcPr>
          <w:p w14:paraId="39D97BCE" w14:textId="77777777" w:rsidR="00996AD7" w:rsidRDefault="00996AD7">
            <w:pPr>
              <w:jc w:val="right"/>
              <w:rPr>
                <w:rFonts w:ascii="宋体"/>
              </w:rPr>
            </w:pPr>
          </w:p>
        </w:tc>
      </w:tr>
      <w:tr w:rsidR="00996AD7" w14:paraId="39D97BE0" w14:textId="77777777">
        <w:tc>
          <w:tcPr>
            <w:tcW w:w="0" w:type="auto"/>
            <w:gridSpan w:val="3"/>
            <w:shd w:val="clear" w:color="auto" w:fill="auto"/>
            <w:tcMar>
              <w:top w:w="40" w:type="dxa"/>
              <w:left w:w="20" w:type="dxa"/>
              <w:bottom w:w="40" w:type="dxa"/>
              <w:right w:w="20" w:type="dxa"/>
            </w:tcMar>
            <w:vAlign w:val="bottom"/>
          </w:tcPr>
          <w:p w14:paraId="39D97BD0" w14:textId="77777777" w:rsidR="00996AD7" w:rsidRDefault="00D96458">
            <w:pPr>
              <w:textAlignment w:val="bottom"/>
            </w:pPr>
            <w:r>
              <w:rPr>
                <w:rFonts w:ascii="Arial" w:eastAsia="宋体" w:hAnsi="Arial" w:cs="Arial"/>
                <w:color w:val="262626"/>
                <w:sz w:val="18"/>
                <w:szCs w:val="18"/>
              </w:rPr>
              <w:t>Cash dividends declared ($1.32 per share)</w:t>
            </w:r>
          </w:p>
        </w:tc>
        <w:tc>
          <w:tcPr>
            <w:tcW w:w="0" w:type="auto"/>
            <w:gridSpan w:val="3"/>
            <w:shd w:val="clear" w:color="auto" w:fill="auto"/>
            <w:tcMar>
              <w:top w:w="0" w:type="dxa"/>
              <w:left w:w="20" w:type="dxa"/>
              <w:bottom w:w="0" w:type="dxa"/>
              <w:right w:w="20" w:type="dxa"/>
            </w:tcMar>
            <w:vAlign w:val="bottom"/>
          </w:tcPr>
          <w:p w14:paraId="39D97BD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D2"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D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D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D5"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D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D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D8"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BD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D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DB" w14:textId="77777777" w:rsidR="00996AD7" w:rsidRDefault="00D96458">
            <w:pPr>
              <w:jc w:val="right"/>
              <w:textAlignment w:val="bottom"/>
            </w:pPr>
            <w:r>
              <w:rPr>
                <w:rFonts w:ascii="Arial" w:eastAsia="宋体" w:hAnsi="Arial" w:cs="Arial"/>
                <w:color w:val="262626"/>
                <w:sz w:val="18"/>
                <w:szCs w:val="18"/>
              </w:rPr>
              <w:t>(5,575)</w:t>
            </w:r>
          </w:p>
        </w:tc>
        <w:tc>
          <w:tcPr>
            <w:tcW w:w="0" w:type="auto"/>
            <w:shd w:val="clear" w:color="auto" w:fill="auto"/>
            <w:tcMar>
              <w:top w:w="40" w:type="dxa"/>
              <w:left w:w="0" w:type="dxa"/>
              <w:bottom w:w="40" w:type="dxa"/>
              <w:right w:w="20" w:type="dxa"/>
            </w:tcMar>
            <w:vAlign w:val="bottom"/>
          </w:tcPr>
          <w:p w14:paraId="39D97BD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D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BDE" w14:textId="77777777" w:rsidR="00996AD7" w:rsidRDefault="00D96458">
            <w:pPr>
              <w:jc w:val="right"/>
              <w:textAlignment w:val="bottom"/>
            </w:pPr>
            <w:r>
              <w:rPr>
                <w:rFonts w:ascii="Arial" w:eastAsia="宋体" w:hAnsi="Arial" w:cs="Arial"/>
                <w:color w:val="262626"/>
                <w:sz w:val="18"/>
                <w:szCs w:val="18"/>
              </w:rPr>
              <w:t>(5,575)</w:t>
            </w:r>
          </w:p>
        </w:tc>
        <w:tc>
          <w:tcPr>
            <w:tcW w:w="0" w:type="auto"/>
            <w:shd w:val="clear" w:color="auto" w:fill="auto"/>
            <w:tcMar>
              <w:top w:w="40" w:type="dxa"/>
              <w:left w:w="0" w:type="dxa"/>
              <w:bottom w:w="40" w:type="dxa"/>
              <w:right w:w="20" w:type="dxa"/>
            </w:tcMar>
            <w:vAlign w:val="bottom"/>
          </w:tcPr>
          <w:p w14:paraId="39D97BDF" w14:textId="77777777" w:rsidR="00996AD7" w:rsidRDefault="00996AD7">
            <w:pPr>
              <w:jc w:val="right"/>
              <w:rPr>
                <w:rFonts w:ascii="宋体"/>
              </w:rPr>
            </w:pPr>
          </w:p>
        </w:tc>
      </w:tr>
      <w:tr w:rsidR="00996AD7" w14:paraId="39D97BF5" w14:textId="77777777">
        <w:tc>
          <w:tcPr>
            <w:tcW w:w="0" w:type="auto"/>
            <w:gridSpan w:val="3"/>
            <w:shd w:val="clear" w:color="auto" w:fill="auto"/>
            <w:tcMar>
              <w:top w:w="40" w:type="dxa"/>
              <w:left w:w="20" w:type="dxa"/>
              <w:bottom w:w="40" w:type="dxa"/>
              <w:right w:w="20" w:type="dxa"/>
            </w:tcMar>
            <w:vAlign w:val="bottom"/>
          </w:tcPr>
          <w:p w14:paraId="39D97BE1" w14:textId="77777777" w:rsidR="00996AD7" w:rsidRDefault="00D96458">
            <w:pPr>
              <w:textAlignment w:val="bottom"/>
            </w:pPr>
            <w:r>
              <w:rPr>
                <w:rFonts w:ascii="Arial" w:eastAsia="宋体" w:hAnsi="Arial" w:cs="Arial"/>
                <w:b/>
                <w:bCs/>
                <w:color w:val="262626"/>
                <w:sz w:val="18"/>
                <w:szCs w:val="18"/>
              </w:rPr>
              <w:t>Balance as of September 26, 2020</w:t>
            </w:r>
          </w:p>
        </w:tc>
        <w:tc>
          <w:tcPr>
            <w:tcW w:w="0" w:type="auto"/>
            <w:gridSpan w:val="3"/>
            <w:shd w:val="clear" w:color="auto" w:fill="auto"/>
            <w:tcMar>
              <w:top w:w="0" w:type="dxa"/>
              <w:left w:w="20" w:type="dxa"/>
              <w:bottom w:w="0" w:type="dxa"/>
              <w:right w:w="20" w:type="dxa"/>
            </w:tcMar>
            <w:vAlign w:val="bottom"/>
          </w:tcPr>
          <w:p w14:paraId="39D97BE2" w14:textId="77777777" w:rsidR="00996AD7" w:rsidRDefault="00996AD7">
            <w:pPr>
              <w:rPr>
                <w:rFonts w:ascii="宋体"/>
              </w:rPr>
            </w:pPr>
          </w:p>
        </w:tc>
        <w:tc>
          <w:tcPr>
            <w:tcW w:w="0" w:type="auto"/>
            <w:gridSpan w:val="2"/>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BE3" w14:textId="77777777" w:rsidR="00996AD7" w:rsidRDefault="00D96458">
            <w:pPr>
              <w:jc w:val="right"/>
              <w:textAlignment w:val="bottom"/>
            </w:pPr>
            <w:r>
              <w:rPr>
                <w:rFonts w:ascii="Arial" w:eastAsia="宋体" w:hAnsi="Arial" w:cs="Arial"/>
                <w:b/>
                <w:bCs/>
                <w:color w:val="262626"/>
                <w:sz w:val="18"/>
                <w:szCs w:val="18"/>
              </w:rPr>
              <w:t>4,098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BE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E5"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BE6"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BE7" w14:textId="77777777" w:rsidR="00996AD7" w:rsidRDefault="00D96458">
            <w:pPr>
              <w:jc w:val="right"/>
              <w:textAlignment w:val="bottom"/>
            </w:pPr>
            <w:r>
              <w:rPr>
                <w:rFonts w:ascii="Arial" w:eastAsia="宋体" w:hAnsi="Arial" w:cs="Arial"/>
                <w:b/>
                <w:bCs/>
                <w:color w:val="262626"/>
                <w:sz w:val="18"/>
                <w:szCs w:val="18"/>
              </w:rPr>
              <w:t>23,335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BE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E9"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BEA"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BEB" w14:textId="77777777" w:rsidR="00996AD7" w:rsidRDefault="00D96458">
            <w:pPr>
              <w:jc w:val="right"/>
              <w:textAlignment w:val="bottom"/>
            </w:pPr>
            <w:r>
              <w:rPr>
                <w:rFonts w:ascii="Arial" w:eastAsia="宋体" w:hAnsi="Arial" w:cs="Arial"/>
                <w:b/>
                <w:bCs/>
                <w:color w:val="262626"/>
                <w:sz w:val="18"/>
                <w:szCs w:val="18"/>
              </w:rPr>
              <w:t>(940)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BE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ED"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BEE"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BEF" w14:textId="77777777" w:rsidR="00996AD7" w:rsidRDefault="00D96458">
            <w:pPr>
              <w:jc w:val="right"/>
              <w:textAlignment w:val="bottom"/>
            </w:pPr>
            <w:r>
              <w:rPr>
                <w:rFonts w:ascii="Arial" w:eastAsia="宋体" w:hAnsi="Arial" w:cs="Arial"/>
                <w:b/>
                <w:bCs/>
                <w:color w:val="262626"/>
                <w:sz w:val="18"/>
                <w:szCs w:val="18"/>
              </w:rPr>
              <w:t>52,159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BF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BF1"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BF2"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BF3" w14:textId="77777777" w:rsidR="00996AD7" w:rsidRDefault="00D96458">
            <w:pPr>
              <w:jc w:val="right"/>
              <w:textAlignment w:val="bottom"/>
            </w:pPr>
            <w:r>
              <w:rPr>
                <w:rFonts w:ascii="Arial" w:eastAsia="宋体" w:hAnsi="Arial" w:cs="Arial"/>
                <w:b/>
                <w:bCs/>
                <w:color w:val="262626"/>
                <w:sz w:val="18"/>
                <w:szCs w:val="18"/>
              </w:rPr>
              <w:t>74,554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BF4" w14:textId="77777777" w:rsidR="00996AD7" w:rsidRDefault="00996AD7">
            <w:pPr>
              <w:jc w:val="right"/>
              <w:rPr>
                <w:rFonts w:ascii="宋体"/>
              </w:rPr>
            </w:pPr>
          </w:p>
        </w:tc>
      </w:tr>
    </w:tbl>
    <w:p w14:paraId="39D97BF6" w14:textId="77777777" w:rsidR="00996AD7" w:rsidRDefault="00D96458">
      <w:pPr>
        <w:spacing w:after="60"/>
        <w:ind w:hanging="180"/>
      </w:pPr>
      <w:r>
        <w:rPr>
          <w:rFonts w:ascii="Arial" w:eastAsia="宋体" w:hAnsi="Arial" w:cs="Arial"/>
          <w:i/>
          <w:iCs/>
          <w:color w:val="262626"/>
          <w:sz w:val="10"/>
          <w:szCs w:val="10"/>
        </w:rPr>
        <w:t>1</w:t>
      </w:r>
      <w:r>
        <w:rPr>
          <w:rFonts w:ascii="Arial" w:eastAsia="宋体" w:hAnsi="Arial" w:cs="Arial"/>
          <w:i/>
          <w:iCs/>
          <w:color w:val="262626"/>
          <w:sz w:val="16"/>
          <w:szCs w:val="16"/>
        </w:rPr>
        <w:t>The retained earnin</w:t>
      </w:r>
      <w:r>
        <w:rPr>
          <w:rFonts w:ascii="Arial" w:eastAsia="宋体" w:hAnsi="Arial" w:cs="Arial"/>
          <w:i/>
          <w:iCs/>
          <w:color w:val="262626"/>
          <w:sz w:val="16"/>
          <w:szCs w:val="16"/>
        </w:rPr>
        <w:t>gs balance as of December 26, 2020 includes an opening balance adjustment made as a result of the adoption of a new accounting standard in 2021.</w:t>
      </w:r>
    </w:p>
    <w:p w14:paraId="39D97BF7" w14:textId="77777777" w:rsidR="00996AD7" w:rsidRDefault="00D96458">
      <w:pPr>
        <w:spacing w:after="180"/>
        <w:ind w:hanging="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7C04" w14:textId="77777777">
        <w:tc>
          <w:tcPr>
            <w:tcW w:w="50" w:type="pct"/>
            <w:shd w:val="clear" w:color="auto" w:fill="auto"/>
            <w:vAlign w:val="bottom"/>
          </w:tcPr>
          <w:p w14:paraId="39D97BF8" w14:textId="77777777" w:rsidR="00996AD7" w:rsidRDefault="00996AD7">
            <w:pPr>
              <w:rPr>
                <w:rFonts w:ascii="宋体"/>
              </w:rPr>
            </w:pPr>
          </w:p>
        </w:tc>
        <w:tc>
          <w:tcPr>
            <w:tcW w:w="238" w:type="pct"/>
            <w:shd w:val="clear" w:color="auto" w:fill="auto"/>
            <w:vAlign w:val="bottom"/>
          </w:tcPr>
          <w:p w14:paraId="39D97BF9" w14:textId="77777777" w:rsidR="00996AD7" w:rsidRDefault="00996AD7">
            <w:pPr>
              <w:rPr>
                <w:rFonts w:ascii="宋体"/>
              </w:rPr>
            </w:pPr>
          </w:p>
        </w:tc>
        <w:tc>
          <w:tcPr>
            <w:tcW w:w="5" w:type="pct"/>
            <w:shd w:val="clear" w:color="auto" w:fill="auto"/>
            <w:vAlign w:val="bottom"/>
          </w:tcPr>
          <w:p w14:paraId="39D97BFA" w14:textId="77777777" w:rsidR="00996AD7" w:rsidRDefault="00996AD7">
            <w:pPr>
              <w:rPr>
                <w:rFonts w:ascii="宋体"/>
              </w:rPr>
            </w:pPr>
          </w:p>
        </w:tc>
        <w:tc>
          <w:tcPr>
            <w:tcW w:w="50" w:type="pct"/>
            <w:shd w:val="clear" w:color="auto" w:fill="auto"/>
            <w:vAlign w:val="bottom"/>
          </w:tcPr>
          <w:p w14:paraId="39D97BFB" w14:textId="77777777" w:rsidR="00996AD7" w:rsidRDefault="00996AD7">
            <w:pPr>
              <w:rPr>
                <w:rFonts w:ascii="宋体"/>
              </w:rPr>
            </w:pPr>
          </w:p>
        </w:tc>
        <w:tc>
          <w:tcPr>
            <w:tcW w:w="983" w:type="pct"/>
            <w:shd w:val="clear" w:color="auto" w:fill="auto"/>
            <w:vAlign w:val="bottom"/>
          </w:tcPr>
          <w:p w14:paraId="39D97BFC" w14:textId="77777777" w:rsidR="00996AD7" w:rsidRDefault="00996AD7">
            <w:pPr>
              <w:rPr>
                <w:rFonts w:ascii="宋体"/>
              </w:rPr>
            </w:pPr>
          </w:p>
        </w:tc>
        <w:tc>
          <w:tcPr>
            <w:tcW w:w="5" w:type="pct"/>
            <w:shd w:val="clear" w:color="auto" w:fill="auto"/>
            <w:vAlign w:val="bottom"/>
          </w:tcPr>
          <w:p w14:paraId="39D97BFD" w14:textId="77777777" w:rsidR="00996AD7" w:rsidRDefault="00996AD7">
            <w:pPr>
              <w:rPr>
                <w:rFonts w:ascii="宋体"/>
              </w:rPr>
            </w:pPr>
          </w:p>
        </w:tc>
        <w:tc>
          <w:tcPr>
            <w:tcW w:w="50" w:type="pct"/>
            <w:shd w:val="clear" w:color="auto" w:fill="auto"/>
            <w:vAlign w:val="bottom"/>
          </w:tcPr>
          <w:p w14:paraId="39D97BFE" w14:textId="77777777" w:rsidR="00996AD7" w:rsidRDefault="00996AD7">
            <w:pPr>
              <w:rPr>
                <w:rFonts w:ascii="宋体"/>
              </w:rPr>
            </w:pPr>
          </w:p>
        </w:tc>
        <w:tc>
          <w:tcPr>
            <w:tcW w:w="2035" w:type="pct"/>
            <w:shd w:val="clear" w:color="auto" w:fill="auto"/>
            <w:vAlign w:val="bottom"/>
          </w:tcPr>
          <w:p w14:paraId="39D97BFF" w14:textId="77777777" w:rsidR="00996AD7" w:rsidRDefault="00996AD7">
            <w:pPr>
              <w:rPr>
                <w:rFonts w:ascii="宋体"/>
              </w:rPr>
            </w:pPr>
          </w:p>
        </w:tc>
        <w:tc>
          <w:tcPr>
            <w:tcW w:w="5" w:type="pct"/>
            <w:shd w:val="clear" w:color="auto" w:fill="auto"/>
            <w:vAlign w:val="bottom"/>
          </w:tcPr>
          <w:p w14:paraId="39D97C00" w14:textId="77777777" w:rsidR="00996AD7" w:rsidRDefault="00996AD7">
            <w:pPr>
              <w:rPr>
                <w:rFonts w:ascii="宋体"/>
              </w:rPr>
            </w:pPr>
          </w:p>
        </w:tc>
        <w:tc>
          <w:tcPr>
            <w:tcW w:w="50" w:type="pct"/>
            <w:shd w:val="clear" w:color="auto" w:fill="auto"/>
            <w:vAlign w:val="bottom"/>
          </w:tcPr>
          <w:p w14:paraId="39D97C01" w14:textId="77777777" w:rsidR="00996AD7" w:rsidRDefault="00996AD7">
            <w:pPr>
              <w:rPr>
                <w:rFonts w:ascii="宋体"/>
              </w:rPr>
            </w:pPr>
          </w:p>
        </w:tc>
        <w:tc>
          <w:tcPr>
            <w:tcW w:w="1522" w:type="pct"/>
            <w:shd w:val="clear" w:color="auto" w:fill="auto"/>
            <w:vAlign w:val="bottom"/>
          </w:tcPr>
          <w:p w14:paraId="39D97C02" w14:textId="77777777" w:rsidR="00996AD7" w:rsidRDefault="00996AD7">
            <w:pPr>
              <w:rPr>
                <w:rFonts w:ascii="宋体"/>
              </w:rPr>
            </w:pPr>
          </w:p>
        </w:tc>
        <w:tc>
          <w:tcPr>
            <w:tcW w:w="5" w:type="pct"/>
            <w:shd w:val="clear" w:color="auto" w:fill="auto"/>
            <w:vAlign w:val="bottom"/>
          </w:tcPr>
          <w:p w14:paraId="39D97C03" w14:textId="77777777" w:rsidR="00996AD7" w:rsidRDefault="00996AD7">
            <w:pPr>
              <w:rPr>
                <w:rFonts w:ascii="宋体"/>
              </w:rPr>
            </w:pPr>
          </w:p>
        </w:tc>
      </w:tr>
      <w:tr w:rsidR="00996AD7" w14:paraId="39D97C0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C05"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A8" wp14:editId="39D9A3A9">
                  <wp:extent cx="304800" cy="304800"/>
                  <wp:effectExtent l="0" t="0" r="0" b="0"/>
                  <wp:docPr id="66" name="图片 53"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3"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C06"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7C07" w14:textId="77777777" w:rsidR="00996AD7" w:rsidRDefault="00D96458">
            <w:pPr>
              <w:textAlignment w:val="center"/>
            </w:pPr>
            <w:r>
              <w:rPr>
                <w:rFonts w:ascii="Arial" w:eastAsia="宋体" w:hAnsi="Arial" w:cs="Arial"/>
                <w:color w:val="262626"/>
                <w:sz w:val="16"/>
                <w:szCs w:val="16"/>
              </w:rPr>
              <w:t>  Consolidated Condensed Statements of Stockholders' Equity</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C08" w14:textId="77777777" w:rsidR="00996AD7" w:rsidRDefault="00D96458">
            <w:pPr>
              <w:jc w:val="right"/>
              <w:textAlignment w:val="center"/>
            </w:pPr>
            <w:r>
              <w:rPr>
                <w:rFonts w:ascii="Arial" w:eastAsia="宋体" w:hAnsi="Arial" w:cs="Arial"/>
                <w:color w:val="262626"/>
                <w:sz w:val="16"/>
                <w:szCs w:val="16"/>
              </w:rPr>
              <w:t>7</w:t>
            </w:r>
          </w:p>
        </w:tc>
      </w:tr>
    </w:tbl>
    <w:p w14:paraId="39D97C0A" w14:textId="77777777" w:rsidR="00996AD7" w:rsidRDefault="00D96458">
      <w:r>
        <w:pict w14:anchorId="39D9A3AA">
          <v:rect id="_x0000_i1033" style="width:415.3pt;height:1.5pt" o:hralign="center" o:hrstd="t" o:hr="t" fillcolor="#a0a0a0" stroked="f"/>
        </w:pict>
      </w:r>
    </w:p>
    <w:p w14:paraId="39D97C0B" w14:textId="77777777" w:rsidR="00996AD7" w:rsidRDefault="00D96458">
      <w:pPr>
        <w:spacing w:after="180"/>
        <w:jc w:val="right"/>
      </w:pPr>
      <w:hyperlink r:id="rId34" w:anchor="i94e6cc3aa83643b8b968bd5bab038338_7" w:history="1">
        <w:r>
          <w:rPr>
            <w:rStyle w:val="a5"/>
            <w:rFonts w:ascii="Arial" w:eastAsia="宋体" w:hAnsi="Arial" w:cs="Arial"/>
            <w:b/>
            <w:bCs/>
            <w:color w:val="0068B5"/>
            <w:sz w:val="16"/>
            <w:szCs w:val="16"/>
          </w:rPr>
          <w:t>Table of Contents</w:t>
        </w:r>
      </w:hyperlink>
    </w:p>
    <w:p w14:paraId="39D97C0C"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96AD7" w14:paraId="39D97C13" w14:textId="77777777">
        <w:tc>
          <w:tcPr>
            <w:tcW w:w="50" w:type="pct"/>
            <w:shd w:val="clear" w:color="auto" w:fill="auto"/>
            <w:vAlign w:val="bottom"/>
          </w:tcPr>
          <w:p w14:paraId="39D97C0D" w14:textId="77777777" w:rsidR="00996AD7" w:rsidRDefault="00996AD7">
            <w:pPr>
              <w:rPr>
                <w:rFonts w:ascii="宋体"/>
              </w:rPr>
            </w:pPr>
          </w:p>
        </w:tc>
        <w:tc>
          <w:tcPr>
            <w:tcW w:w="4870" w:type="pct"/>
            <w:shd w:val="clear" w:color="auto" w:fill="auto"/>
            <w:vAlign w:val="bottom"/>
          </w:tcPr>
          <w:p w14:paraId="39D97C0E" w14:textId="77777777" w:rsidR="00996AD7" w:rsidRDefault="00996AD7">
            <w:pPr>
              <w:rPr>
                <w:rFonts w:ascii="宋体"/>
              </w:rPr>
            </w:pPr>
          </w:p>
        </w:tc>
        <w:tc>
          <w:tcPr>
            <w:tcW w:w="5" w:type="pct"/>
            <w:shd w:val="clear" w:color="auto" w:fill="auto"/>
            <w:vAlign w:val="bottom"/>
          </w:tcPr>
          <w:p w14:paraId="39D97C0F" w14:textId="77777777" w:rsidR="00996AD7" w:rsidRDefault="00996AD7">
            <w:pPr>
              <w:rPr>
                <w:rFonts w:ascii="宋体"/>
              </w:rPr>
            </w:pPr>
          </w:p>
        </w:tc>
        <w:tc>
          <w:tcPr>
            <w:tcW w:w="5" w:type="pct"/>
            <w:shd w:val="clear" w:color="auto" w:fill="auto"/>
            <w:vAlign w:val="bottom"/>
          </w:tcPr>
          <w:p w14:paraId="39D97C10" w14:textId="77777777" w:rsidR="00996AD7" w:rsidRDefault="00996AD7">
            <w:pPr>
              <w:rPr>
                <w:rFonts w:ascii="宋体"/>
              </w:rPr>
            </w:pPr>
          </w:p>
        </w:tc>
        <w:tc>
          <w:tcPr>
            <w:tcW w:w="64" w:type="pct"/>
            <w:shd w:val="clear" w:color="auto" w:fill="auto"/>
            <w:vAlign w:val="bottom"/>
          </w:tcPr>
          <w:p w14:paraId="39D97C11" w14:textId="77777777" w:rsidR="00996AD7" w:rsidRDefault="00996AD7">
            <w:pPr>
              <w:rPr>
                <w:rFonts w:ascii="宋体"/>
              </w:rPr>
            </w:pPr>
          </w:p>
        </w:tc>
        <w:tc>
          <w:tcPr>
            <w:tcW w:w="5" w:type="pct"/>
            <w:shd w:val="clear" w:color="auto" w:fill="auto"/>
            <w:vAlign w:val="bottom"/>
          </w:tcPr>
          <w:p w14:paraId="39D97C12" w14:textId="77777777" w:rsidR="00996AD7" w:rsidRDefault="00996AD7">
            <w:pPr>
              <w:rPr>
                <w:rFonts w:ascii="宋体"/>
              </w:rPr>
            </w:pPr>
          </w:p>
        </w:tc>
      </w:tr>
      <w:tr w:rsidR="00996AD7" w14:paraId="39D97C16" w14:textId="77777777">
        <w:tc>
          <w:tcPr>
            <w:tcW w:w="0" w:type="auto"/>
            <w:gridSpan w:val="3"/>
            <w:shd w:val="clear" w:color="auto" w:fill="004A86"/>
            <w:tcMar>
              <w:top w:w="40" w:type="dxa"/>
              <w:left w:w="20" w:type="dxa"/>
              <w:bottom w:w="40" w:type="dxa"/>
              <w:right w:w="20" w:type="dxa"/>
            </w:tcMar>
            <w:vAlign w:val="center"/>
          </w:tcPr>
          <w:p w14:paraId="39D97C14" w14:textId="77777777" w:rsidR="00996AD7" w:rsidRDefault="00D96458">
            <w:pPr>
              <w:textAlignment w:val="center"/>
            </w:pPr>
            <w:r>
              <w:rPr>
                <w:rFonts w:ascii="Arial" w:eastAsia="宋体" w:hAnsi="Arial" w:cs="Arial"/>
                <w:color w:val="FFFFFF"/>
                <w:sz w:val="36"/>
                <w:szCs w:val="36"/>
              </w:rPr>
              <w:t>Notes to Consolidated Condensed Financial Statements</w:t>
            </w:r>
          </w:p>
        </w:tc>
        <w:tc>
          <w:tcPr>
            <w:tcW w:w="0" w:type="auto"/>
            <w:gridSpan w:val="3"/>
            <w:shd w:val="clear" w:color="auto" w:fill="auto"/>
            <w:tcMar>
              <w:top w:w="0" w:type="dxa"/>
              <w:left w:w="20" w:type="dxa"/>
              <w:bottom w:w="0" w:type="dxa"/>
              <w:right w:w="20" w:type="dxa"/>
            </w:tcMar>
            <w:vAlign w:val="bottom"/>
          </w:tcPr>
          <w:p w14:paraId="39D97C15" w14:textId="77777777" w:rsidR="00996AD7" w:rsidRDefault="00996AD7">
            <w:pPr>
              <w:rPr>
                <w:rFonts w:ascii="宋体"/>
              </w:rPr>
            </w:pPr>
          </w:p>
        </w:tc>
      </w:tr>
      <w:tr w:rsidR="00996AD7" w14:paraId="39D97C19" w14:textId="77777777">
        <w:trPr>
          <w:trHeight w:val="160"/>
        </w:trPr>
        <w:tc>
          <w:tcPr>
            <w:tcW w:w="0" w:type="auto"/>
            <w:gridSpan w:val="3"/>
            <w:shd w:val="clear" w:color="auto" w:fill="auto"/>
            <w:tcMar>
              <w:top w:w="0" w:type="dxa"/>
              <w:left w:w="20" w:type="dxa"/>
              <w:bottom w:w="0" w:type="dxa"/>
              <w:right w:w="20" w:type="dxa"/>
            </w:tcMar>
            <w:vAlign w:val="bottom"/>
          </w:tcPr>
          <w:p w14:paraId="39D97C17" w14:textId="77777777" w:rsidR="00996AD7" w:rsidRDefault="00996AD7">
            <w:pPr>
              <w:rPr>
                <w:rFonts w:ascii="宋体"/>
              </w:rPr>
            </w:pPr>
          </w:p>
        </w:tc>
        <w:tc>
          <w:tcPr>
            <w:tcW w:w="0" w:type="auto"/>
            <w:gridSpan w:val="3"/>
            <w:shd w:val="clear" w:color="auto" w:fill="00A3F6"/>
            <w:tcMar>
              <w:top w:w="0" w:type="dxa"/>
              <w:left w:w="20" w:type="dxa"/>
              <w:bottom w:w="0" w:type="dxa"/>
              <w:right w:w="20" w:type="dxa"/>
            </w:tcMar>
            <w:vAlign w:val="bottom"/>
          </w:tcPr>
          <w:p w14:paraId="39D97C18" w14:textId="77777777" w:rsidR="00996AD7" w:rsidRDefault="00996AD7">
            <w:pPr>
              <w:rPr>
                <w:rFonts w:ascii="宋体"/>
              </w:rPr>
            </w:pPr>
          </w:p>
        </w:tc>
      </w:tr>
    </w:tbl>
    <w:p w14:paraId="39D97C1A"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996AD7" w14:paraId="39D97C21" w14:textId="77777777">
        <w:tc>
          <w:tcPr>
            <w:tcW w:w="50" w:type="pct"/>
            <w:shd w:val="clear" w:color="auto" w:fill="auto"/>
            <w:vAlign w:val="bottom"/>
          </w:tcPr>
          <w:p w14:paraId="39D97C1B" w14:textId="77777777" w:rsidR="00996AD7" w:rsidRDefault="00996AD7">
            <w:pPr>
              <w:rPr>
                <w:rFonts w:ascii="宋体"/>
              </w:rPr>
            </w:pPr>
          </w:p>
        </w:tc>
        <w:tc>
          <w:tcPr>
            <w:tcW w:w="511" w:type="pct"/>
            <w:shd w:val="clear" w:color="auto" w:fill="auto"/>
            <w:vAlign w:val="bottom"/>
          </w:tcPr>
          <w:p w14:paraId="39D97C1C" w14:textId="77777777" w:rsidR="00996AD7" w:rsidRDefault="00996AD7">
            <w:pPr>
              <w:rPr>
                <w:rFonts w:ascii="宋体"/>
              </w:rPr>
            </w:pPr>
          </w:p>
        </w:tc>
        <w:tc>
          <w:tcPr>
            <w:tcW w:w="5" w:type="pct"/>
            <w:shd w:val="clear" w:color="auto" w:fill="auto"/>
            <w:vAlign w:val="bottom"/>
          </w:tcPr>
          <w:p w14:paraId="39D97C1D" w14:textId="77777777" w:rsidR="00996AD7" w:rsidRDefault="00996AD7">
            <w:pPr>
              <w:rPr>
                <w:rFonts w:ascii="宋体"/>
              </w:rPr>
            </w:pPr>
          </w:p>
        </w:tc>
        <w:tc>
          <w:tcPr>
            <w:tcW w:w="50" w:type="pct"/>
            <w:shd w:val="clear" w:color="auto" w:fill="auto"/>
            <w:vAlign w:val="bottom"/>
          </w:tcPr>
          <w:p w14:paraId="39D97C1E" w14:textId="77777777" w:rsidR="00996AD7" w:rsidRDefault="00996AD7">
            <w:pPr>
              <w:rPr>
                <w:rFonts w:ascii="宋体"/>
              </w:rPr>
            </w:pPr>
          </w:p>
        </w:tc>
        <w:tc>
          <w:tcPr>
            <w:tcW w:w="4378" w:type="pct"/>
            <w:shd w:val="clear" w:color="auto" w:fill="auto"/>
            <w:vAlign w:val="bottom"/>
          </w:tcPr>
          <w:p w14:paraId="39D97C1F" w14:textId="77777777" w:rsidR="00996AD7" w:rsidRDefault="00996AD7">
            <w:pPr>
              <w:rPr>
                <w:rFonts w:ascii="宋体"/>
              </w:rPr>
            </w:pPr>
          </w:p>
        </w:tc>
        <w:tc>
          <w:tcPr>
            <w:tcW w:w="5" w:type="pct"/>
            <w:shd w:val="clear" w:color="auto" w:fill="auto"/>
            <w:vAlign w:val="bottom"/>
          </w:tcPr>
          <w:p w14:paraId="39D97C20" w14:textId="77777777" w:rsidR="00996AD7" w:rsidRDefault="00996AD7">
            <w:pPr>
              <w:rPr>
                <w:rFonts w:ascii="宋体"/>
              </w:rPr>
            </w:pPr>
          </w:p>
        </w:tc>
      </w:tr>
      <w:tr w:rsidR="00996AD7" w14:paraId="39D97C24"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39D97C22" w14:textId="77777777" w:rsidR="00996AD7" w:rsidRDefault="00D96458">
            <w:pPr>
              <w:textAlignment w:val="bottom"/>
            </w:pPr>
            <w:r>
              <w:rPr>
                <w:rFonts w:ascii="Arial" w:eastAsia="宋体" w:hAnsi="Arial" w:cs="Arial"/>
                <w:color w:val="FFFFFF"/>
                <w:sz w:val="28"/>
                <w:szCs w:val="28"/>
              </w:rPr>
              <w:t xml:space="preserve">Note 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7C23" w14:textId="77777777" w:rsidR="00996AD7" w:rsidRDefault="00D96458">
            <w:pPr>
              <w:textAlignment w:val="bottom"/>
            </w:pPr>
            <w:r>
              <w:rPr>
                <w:rFonts w:ascii="Arial" w:eastAsia="宋体" w:hAnsi="Arial" w:cs="Arial"/>
                <w:color w:val="0068B5"/>
                <w:sz w:val="28"/>
                <w:szCs w:val="28"/>
              </w:rPr>
              <w:t>Basis of Presentation</w:t>
            </w:r>
          </w:p>
        </w:tc>
      </w:tr>
    </w:tbl>
    <w:p w14:paraId="39D97C25" w14:textId="77777777" w:rsidR="00996AD7" w:rsidRDefault="00D96458">
      <w:pPr>
        <w:spacing w:after="180"/>
      </w:pPr>
      <w:r>
        <w:rPr>
          <w:rFonts w:ascii="Arial" w:eastAsia="宋体" w:hAnsi="Arial" w:cs="Arial"/>
          <w:color w:val="262626"/>
          <w:sz w:val="18"/>
          <w:szCs w:val="18"/>
        </w:rPr>
        <w:t>We prepared our interim Consolidated Condensed Financial Statements that accompany these notes in conformity with U.S. GAAP, consistent in all material respects with those applied in our 2020 Form 10-K.</w:t>
      </w:r>
    </w:p>
    <w:p w14:paraId="39D97C26" w14:textId="77777777" w:rsidR="00996AD7" w:rsidRDefault="00D96458">
      <w:pPr>
        <w:spacing w:after="180"/>
      </w:pPr>
      <w:r>
        <w:rPr>
          <w:rFonts w:ascii="Arial" w:eastAsia="宋体" w:hAnsi="Arial" w:cs="Arial"/>
          <w:color w:val="262626"/>
          <w:sz w:val="18"/>
          <w:szCs w:val="18"/>
        </w:rPr>
        <w:t>We have made estimat</w:t>
      </w:r>
      <w:r>
        <w:rPr>
          <w:rFonts w:ascii="Arial" w:eastAsia="宋体" w:hAnsi="Arial" w:cs="Arial"/>
          <w:color w:val="262626"/>
          <w:sz w:val="18"/>
          <w:szCs w:val="18"/>
        </w:rPr>
        <w:t>es and judgments affecting the amounts reported in our Consolidated Condensed Financial Statements and the accompanying notes. The actual results that we experience may differ materially from our estimates. The interim financial information is unaudited, a</w:t>
      </w:r>
      <w:r>
        <w:rPr>
          <w:rFonts w:ascii="Arial" w:eastAsia="宋体" w:hAnsi="Arial" w:cs="Arial"/>
          <w:color w:val="262626"/>
          <w:sz w:val="18"/>
          <w:szCs w:val="18"/>
        </w:rPr>
        <w:t>nd reflects all normal adjustments that are, in our opinion, necessary to provide a fair statement of results for the interim periods presented. This report should be read in conjunction with the Consolidated Financial Statements in our 2020 Form 10-K wher</w:t>
      </w:r>
      <w:r>
        <w:rPr>
          <w:rFonts w:ascii="Arial" w:eastAsia="宋体" w:hAnsi="Arial" w:cs="Arial"/>
          <w:color w:val="262626"/>
          <w:sz w:val="18"/>
          <w:szCs w:val="18"/>
        </w:rPr>
        <w:t>e we include additional information about our policies and the methods and assumptions used in our estimates.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996AD7" w14:paraId="39D97C2D" w14:textId="77777777">
        <w:tc>
          <w:tcPr>
            <w:tcW w:w="50" w:type="pct"/>
            <w:shd w:val="clear" w:color="auto" w:fill="auto"/>
            <w:vAlign w:val="bottom"/>
          </w:tcPr>
          <w:p w14:paraId="39D97C27" w14:textId="77777777" w:rsidR="00996AD7" w:rsidRDefault="00996AD7">
            <w:pPr>
              <w:rPr>
                <w:rFonts w:ascii="宋体"/>
              </w:rPr>
            </w:pPr>
          </w:p>
        </w:tc>
        <w:tc>
          <w:tcPr>
            <w:tcW w:w="511" w:type="pct"/>
            <w:shd w:val="clear" w:color="auto" w:fill="auto"/>
            <w:vAlign w:val="bottom"/>
          </w:tcPr>
          <w:p w14:paraId="39D97C28" w14:textId="77777777" w:rsidR="00996AD7" w:rsidRDefault="00996AD7">
            <w:pPr>
              <w:rPr>
                <w:rFonts w:ascii="宋体"/>
              </w:rPr>
            </w:pPr>
          </w:p>
        </w:tc>
        <w:tc>
          <w:tcPr>
            <w:tcW w:w="5" w:type="pct"/>
            <w:shd w:val="clear" w:color="auto" w:fill="auto"/>
            <w:vAlign w:val="bottom"/>
          </w:tcPr>
          <w:p w14:paraId="39D97C29" w14:textId="77777777" w:rsidR="00996AD7" w:rsidRDefault="00996AD7">
            <w:pPr>
              <w:rPr>
                <w:rFonts w:ascii="宋体"/>
              </w:rPr>
            </w:pPr>
          </w:p>
        </w:tc>
        <w:tc>
          <w:tcPr>
            <w:tcW w:w="50" w:type="pct"/>
            <w:shd w:val="clear" w:color="auto" w:fill="auto"/>
            <w:vAlign w:val="bottom"/>
          </w:tcPr>
          <w:p w14:paraId="39D97C2A" w14:textId="77777777" w:rsidR="00996AD7" w:rsidRDefault="00996AD7">
            <w:pPr>
              <w:rPr>
                <w:rFonts w:ascii="宋体"/>
              </w:rPr>
            </w:pPr>
          </w:p>
        </w:tc>
        <w:tc>
          <w:tcPr>
            <w:tcW w:w="4378" w:type="pct"/>
            <w:shd w:val="clear" w:color="auto" w:fill="auto"/>
            <w:vAlign w:val="bottom"/>
          </w:tcPr>
          <w:p w14:paraId="39D97C2B" w14:textId="77777777" w:rsidR="00996AD7" w:rsidRDefault="00996AD7">
            <w:pPr>
              <w:rPr>
                <w:rFonts w:ascii="宋体"/>
              </w:rPr>
            </w:pPr>
          </w:p>
        </w:tc>
        <w:tc>
          <w:tcPr>
            <w:tcW w:w="5" w:type="pct"/>
            <w:shd w:val="clear" w:color="auto" w:fill="auto"/>
            <w:vAlign w:val="bottom"/>
          </w:tcPr>
          <w:p w14:paraId="39D97C2C" w14:textId="77777777" w:rsidR="00996AD7" w:rsidRDefault="00996AD7">
            <w:pPr>
              <w:rPr>
                <w:rFonts w:ascii="宋体"/>
              </w:rPr>
            </w:pPr>
          </w:p>
        </w:tc>
      </w:tr>
      <w:tr w:rsidR="00996AD7" w14:paraId="39D97C30"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39D97C2E" w14:textId="77777777" w:rsidR="00996AD7" w:rsidRDefault="00D96458">
            <w:pPr>
              <w:textAlignment w:val="bottom"/>
            </w:pPr>
            <w:r>
              <w:rPr>
                <w:rFonts w:ascii="Arial" w:eastAsia="宋体" w:hAnsi="Arial" w:cs="Arial"/>
                <w:color w:val="FFFFFF"/>
                <w:sz w:val="28"/>
                <w:szCs w:val="28"/>
              </w:rPr>
              <w:t xml:space="preserve">Note 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7C2F" w14:textId="77777777" w:rsidR="00996AD7" w:rsidRDefault="00D96458">
            <w:pPr>
              <w:textAlignment w:val="bottom"/>
            </w:pPr>
            <w:r>
              <w:rPr>
                <w:rFonts w:ascii="Arial" w:eastAsia="宋体" w:hAnsi="Arial" w:cs="Arial"/>
                <w:color w:val="0068B5"/>
                <w:sz w:val="28"/>
                <w:szCs w:val="28"/>
              </w:rPr>
              <w:t>Operating Segments</w:t>
            </w:r>
          </w:p>
        </w:tc>
      </w:tr>
    </w:tbl>
    <w:p w14:paraId="39D97C31" w14:textId="77777777" w:rsidR="00996AD7" w:rsidRDefault="00D96458">
      <w:pPr>
        <w:spacing w:before="180" w:after="120"/>
      </w:pPr>
      <w:r>
        <w:rPr>
          <w:rFonts w:ascii="Arial" w:eastAsia="宋体" w:hAnsi="Arial" w:cs="Arial"/>
          <w:color w:val="262626"/>
          <w:sz w:val="18"/>
          <w:szCs w:val="18"/>
        </w:rPr>
        <w:t>We manage our business through the following operating segments:</w:t>
      </w:r>
    </w:p>
    <w:p w14:paraId="39D97C32" w14:textId="77777777" w:rsidR="00996AD7" w:rsidRDefault="00D96458">
      <w:pPr>
        <w:spacing w:after="60"/>
        <w:ind w:hanging="360"/>
      </w:pPr>
      <w:r>
        <w:rPr>
          <w:rFonts w:ascii="Arial" w:eastAsia="宋体" w:hAnsi="Arial" w:cs="Arial"/>
          <w:b/>
          <w:bCs/>
          <w:color w:val="026DCE"/>
          <w:sz w:val="18"/>
          <w:szCs w:val="18"/>
        </w:rPr>
        <w:t>▪</w:t>
      </w:r>
      <w:r>
        <w:rPr>
          <w:rFonts w:ascii="Arial" w:eastAsia="宋体" w:hAnsi="Arial" w:cs="Arial"/>
          <w:color w:val="262626"/>
          <w:sz w:val="18"/>
          <w:szCs w:val="18"/>
        </w:rPr>
        <w:t>CCG</w:t>
      </w:r>
    </w:p>
    <w:p w14:paraId="39D97C33" w14:textId="77777777" w:rsidR="00996AD7" w:rsidRDefault="00D96458">
      <w:pPr>
        <w:spacing w:after="60"/>
        <w:ind w:hanging="360"/>
      </w:pPr>
      <w:r>
        <w:rPr>
          <w:rFonts w:ascii="Arial" w:eastAsia="宋体" w:hAnsi="Arial" w:cs="Arial"/>
          <w:b/>
          <w:bCs/>
          <w:color w:val="026DCE"/>
          <w:sz w:val="18"/>
          <w:szCs w:val="18"/>
        </w:rPr>
        <w:t>▪</w:t>
      </w:r>
      <w:r>
        <w:rPr>
          <w:rFonts w:ascii="Arial" w:eastAsia="宋体" w:hAnsi="Arial" w:cs="Arial"/>
          <w:color w:val="262626"/>
          <w:sz w:val="18"/>
          <w:szCs w:val="18"/>
        </w:rPr>
        <w:t>DCG</w:t>
      </w:r>
    </w:p>
    <w:p w14:paraId="39D97C34" w14:textId="77777777" w:rsidR="00996AD7" w:rsidRDefault="00D964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IOTG </w:t>
      </w:r>
    </w:p>
    <w:p w14:paraId="39D97C35" w14:textId="77777777" w:rsidR="00996AD7" w:rsidRDefault="00D964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Mobileye</w:t>
      </w:r>
    </w:p>
    <w:p w14:paraId="39D97C36" w14:textId="77777777" w:rsidR="00996AD7" w:rsidRDefault="00D96458">
      <w:pPr>
        <w:spacing w:after="60"/>
        <w:ind w:hanging="360"/>
      </w:pPr>
      <w:r>
        <w:rPr>
          <w:rFonts w:ascii="Arial" w:eastAsia="宋体" w:hAnsi="Arial" w:cs="Arial"/>
          <w:b/>
          <w:bCs/>
          <w:color w:val="026DCE"/>
          <w:sz w:val="18"/>
          <w:szCs w:val="18"/>
        </w:rPr>
        <w:t>▪</w:t>
      </w:r>
      <w:r>
        <w:rPr>
          <w:rFonts w:ascii="Arial" w:eastAsia="宋体" w:hAnsi="Arial" w:cs="Arial"/>
          <w:color w:val="262626"/>
          <w:sz w:val="18"/>
          <w:szCs w:val="18"/>
        </w:rPr>
        <w:t>NSG</w:t>
      </w:r>
    </w:p>
    <w:p w14:paraId="39D97C37" w14:textId="77777777" w:rsidR="00996AD7" w:rsidRDefault="00D96458">
      <w:pPr>
        <w:spacing w:after="180"/>
        <w:ind w:hanging="360"/>
      </w:pPr>
      <w:r>
        <w:rPr>
          <w:rFonts w:ascii="Arial" w:eastAsia="宋体" w:hAnsi="Arial" w:cs="Arial"/>
          <w:b/>
          <w:bCs/>
          <w:color w:val="026DCE"/>
          <w:sz w:val="18"/>
          <w:szCs w:val="18"/>
        </w:rPr>
        <w:t>▪</w:t>
      </w:r>
      <w:r>
        <w:rPr>
          <w:rFonts w:ascii="Arial" w:eastAsia="宋体" w:hAnsi="Arial" w:cs="Arial"/>
          <w:color w:val="262626"/>
          <w:sz w:val="18"/>
          <w:szCs w:val="18"/>
        </w:rPr>
        <w:t>PSG</w:t>
      </w:r>
    </w:p>
    <w:p w14:paraId="39D97C38" w14:textId="77777777" w:rsidR="00996AD7" w:rsidRDefault="00D96458">
      <w:pPr>
        <w:spacing w:after="180"/>
      </w:pPr>
      <w:r>
        <w:rPr>
          <w:rFonts w:ascii="Arial" w:eastAsia="宋体" w:hAnsi="Arial" w:cs="Arial"/>
          <w:color w:val="262626"/>
          <w:sz w:val="18"/>
          <w:szCs w:val="18"/>
        </w:rPr>
        <w:t>We derive a substantial majority of our revenue from platform products, which are our principal products and considered as one product class. We offer platform products that incorporate various components and technologies, including a microprocessor and ch</w:t>
      </w:r>
      <w:r>
        <w:rPr>
          <w:rFonts w:ascii="Arial" w:eastAsia="宋体" w:hAnsi="Arial" w:cs="Arial"/>
          <w:color w:val="262626"/>
          <w:sz w:val="18"/>
          <w:szCs w:val="18"/>
        </w:rPr>
        <w:t>ipset, a stand-alone SoC, or a multichip package based on Intel architecture. Platform products are used in various form factors across our CCG, DCG, and IOTG operating segments. Our non-platform, or adjacent products, can be combined with platform product</w:t>
      </w:r>
      <w:r>
        <w:rPr>
          <w:rFonts w:ascii="Arial" w:eastAsia="宋体" w:hAnsi="Arial" w:cs="Arial"/>
          <w:color w:val="262626"/>
          <w:sz w:val="18"/>
          <w:szCs w:val="18"/>
        </w:rPr>
        <w:t xml:space="preserve">s to form comprehensive platform solutions to meet customer needs. </w:t>
      </w:r>
    </w:p>
    <w:p w14:paraId="39D97C39" w14:textId="77777777" w:rsidR="00996AD7" w:rsidRDefault="00D96458">
      <w:pPr>
        <w:spacing w:after="180"/>
      </w:pPr>
      <w:r>
        <w:rPr>
          <w:rFonts w:ascii="Arial" w:eastAsia="宋体" w:hAnsi="Arial" w:cs="Arial"/>
          <w:color w:val="262626"/>
          <w:sz w:val="18"/>
          <w:szCs w:val="18"/>
        </w:rPr>
        <w:t>CCG and DCG are our reportable operating segments. IOTG, Mobileye, NSG, and PSG do not meet the quantitative thresholds to qualify as reportable operating segments; however, we have electe</w:t>
      </w:r>
      <w:r>
        <w:rPr>
          <w:rFonts w:ascii="Arial" w:eastAsia="宋体" w:hAnsi="Arial" w:cs="Arial"/>
          <w:color w:val="262626"/>
          <w:sz w:val="18"/>
          <w:szCs w:val="18"/>
        </w:rPr>
        <w:t>d to disclose the results of these non-reportable operating segments. Our Internet of Things portfolio, presented as Internet of Things, is comprised of IOTG and Mobileye operating segments. In 2021, our DCG operating segment includes the results of our In</w:t>
      </w:r>
      <w:r>
        <w:rPr>
          <w:rFonts w:ascii="Arial" w:eastAsia="宋体" w:hAnsi="Arial" w:cs="Arial"/>
          <w:color w:val="262626"/>
          <w:sz w:val="18"/>
          <w:szCs w:val="18"/>
        </w:rPr>
        <w:t>tel</w:t>
      </w:r>
      <w:r>
        <w:rPr>
          <w:rFonts w:ascii="Arial" w:eastAsia="宋体" w:hAnsi="Arial" w:cs="Arial"/>
          <w:color w:val="262626"/>
          <w:sz w:val="11"/>
          <w:szCs w:val="11"/>
        </w:rPr>
        <w:t>®</w:t>
      </w:r>
      <w:r>
        <w:rPr>
          <w:rFonts w:ascii="Arial" w:eastAsia="宋体" w:hAnsi="Arial" w:cs="Arial"/>
          <w:color w:val="262626"/>
          <w:sz w:val="18"/>
          <w:szCs w:val="18"/>
        </w:rPr>
        <w:t xml:space="preserve"> Optane</w:t>
      </w:r>
      <w:r>
        <w:rPr>
          <w:rFonts w:ascii="Arial" w:eastAsia="宋体" w:hAnsi="Arial" w:cs="Arial"/>
          <w:color w:val="262626"/>
          <w:sz w:val="11"/>
          <w:szCs w:val="11"/>
        </w:rPr>
        <w:t xml:space="preserve">TM </w:t>
      </w:r>
      <w:r>
        <w:rPr>
          <w:rFonts w:ascii="Arial" w:eastAsia="宋体" w:hAnsi="Arial" w:cs="Arial"/>
          <w:color w:val="262626"/>
          <w:sz w:val="18"/>
          <w:szCs w:val="18"/>
        </w:rPr>
        <w:t>memory business, and our NSG operating segment is composed of our NAND memory business. Refer to "Note 8: Acquisitions and Divestitures" within Notes to Consolidated Condensed Financial Statements for further information on the pending divest</w:t>
      </w:r>
      <w:r>
        <w:rPr>
          <w:rFonts w:ascii="Arial" w:eastAsia="宋体" w:hAnsi="Arial" w:cs="Arial"/>
          <w:color w:val="262626"/>
          <w:sz w:val="18"/>
          <w:szCs w:val="18"/>
        </w:rPr>
        <w:t>iture of our NAND memory business.</w:t>
      </w:r>
    </w:p>
    <w:p w14:paraId="39D97C3A" w14:textId="77777777" w:rsidR="00996AD7" w:rsidRDefault="00D96458">
      <w:pPr>
        <w:spacing w:after="120"/>
      </w:pPr>
      <w:r>
        <w:rPr>
          <w:rFonts w:ascii="Arial" w:eastAsia="宋体" w:hAnsi="Arial" w:cs="Arial"/>
          <w:color w:val="262626"/>
          <w:sz w:val="18"/>
          <w:szCs w:val="18"/>
        </w:rPr>
        <w:t>We have an “all other” category that includes revenue, expenses, and charges such as:</w:t>
      </w:r>
    </w:p>
    <w:p w14:paraId="39D97C3B" w14:textId="77777777" w:rsidR="00996AD7" w:rsidRDefault="00D964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results of operations from non-reportable segments not otherwise presented;</w:t>
      </w:r>
    </w:p>
    <w:p w14:paraId="39D97C3C" w14:textId="77777777" w:rsidR="00996AD7" w:rsidRDefault="00D964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historical results of operations from divested businesses</w:t>
      </w:r>
      <w:r>
        <w:rPr>
          <w:rFonts w:ascii="Arial" w:eastAsia="宋体" w:hAnsi="Arial" w:cs="Arial"/>
          <w:color w:val="262626"/>
          <w:sz w:val="18"/>
          <w:szCs w:val="18"/>
        </w:rPr>
        <w:t xml:space="preserve">; </w:t>
      </w:r>
    </w:p>
    <w:p w14:paraId="39D97C3D" w14:textId="77777777" w:rsidR="00996AD7" w:rsidRDefault="00D964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results of operations of start-up businesses that support our initiatives, including our foundry business; </w:t>
      </w:r>
    </w:p>
    <w:p w14:paraId="39D97C3E" w14:textId="77777777" w:rsidR="00996AD7" w:rsidRDefault="00D964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amounts included within restructuring and other charges; </w:t>
      </w:r>
    </w:p>
    <w:p w14:paraId="39D97C3F" w14:textId="77777777" w:rsidR="00996AD7" w:rsidRDefault="00D964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 portion of employee benefits, compensation, and other expenses not allocated to th</w:t>
      </w:r>
      <w:r>
        <w:rPr>
          <w:rFonts w:ascii="Arial" w:eastAsia="宋体" w:hAnsi="Arial" w:cs="Arial"/>
          <w:color w:val="262626"/>
          <w:sz w:val="18"/>
          <w:szCs w:val="18"/>
        </w:rPr>
        <w:t xml:space="preserve">e operating segments; and </w:t>
      </w:r>
    </w:p>
    <w:p w14:paraId="39D97C40" w14:textId="77777777" w:rsidR="00996AD7" w:rsidRDefault="00D9645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acquisition-related costs, including amortization and any impairment of acquisition-related intangibles and goodwill. </w:t>
      </w:r>
    </w:p>
    <w:p w14:paraId="39D97C41" w14:textId="77777777" w:rsidR="00996AD7" w:rsidRDefault="00D96458">
      <w:pPr>
        <w:spacing w:after="180"/>
      </w:pPr>
      <w:r>
        <w:rPr>
          <w:rFonts w:ascii="Arial" w:eastAsia="宋体" w:hAnsi="Arial" w:cs="Arial"/>
          <w:color w:val="262626"/>
          <w:sz w:val="18"/>
          <w:szCs w:val="18"/>
        </w:rPr>
        <w:t>The CODM, who is our CEO, does not evaluate operating segments using discrete asset information. Operating se</w:t>
      </w:r>
      <w:r>
        <w:rPr>
          <w:rFonts w:ascii="Arial" w:eastAsia="宋体" w:hAnsi="Arial" w:cs="Arial"/>
          <w:color w:val="262626"/>
          <w:sz w:val="18"/>
          <w:szCs w:val="18"/>
        </w:rPr>
        <w:t>gments do not record inter-segment revenue. We do not allocate gains and losses from equity investments, interest and other income, or taxes to operating segments. Although the CODM uses operating income to evaluate the segments, operating costs included i</w:t>
      </w:r>
      <w:r>
        <w:rPr>
          <w:rFonts w:ascii="Arial" w:eastAsia="宋体" w:hAnsi="Arial" w:cs="Arial"/>
          <w:color w:val="262626"/>
          <w:sz w:val="18"/>
          <w:szCs w:val="18"/>
        </w:rPr>
        <w:t>n one segment may benefit other segments. The accounting policies for segment reporting are the same as for Intel as a whole.</w:t>
      </w:r>
    </w:p>
    <w:p w14:paraId="39D97C42" w14:textId="77777777" w:rsidR="00996AD7" w:rsidRDefault="00996AD7">
      <w:pPr>
        <w:spacing w:after="180"/>
      </w:pPr>
    </w:p>
    <w:p w14:paraId="39D97C43" w14:textId="77777777" w:rsidR="00996AD7" w:rsidRDefault="00996AD7">
      <w:pPr>
        <w:spacing w:after="180"/>
      </w:pPr>
    </w:p>
    <w:p w14:paraId="39D97C44" w14:textId="77777777" w:rsidR="00996AD7" w:rsidRDefault="00996AD7">
      <w:pPr>
        <w:spacing w:after="180"/>
      </w:pPr>
    </w:p>
    <w:p w14:paraId="39D97C45" w14:textId="77777777" w:rsidR="00996AD7" w:rsidRDefault="00996AD7">
      <w:pPr>
        <w:spacing w:after="180"/>
      </w:pPr>
    </w:p>
    <w:p w14:paraId="39D97C46" w14:textId="77777777" w:rsidR="00996AD7" w:rsidRDefault="00996AD7">
      <w:pPr>
        <w:spacing w:after="180"/>
      </w:pPr>
    </w:p>
    <w:p w14:paraId="39D97C47" w14:textId="77777777" w:rsidR="00996AD7" w:rsidRDefault="00996AD7">
      <w:pPr>
        <w:spacing w:after="180"/>
      </w:pPr>
    </w:p>
    <w:p w14:paraId="39D97C48" w14:textId="77777777" w:rsidR="00996AD7" w:rsidRDefault="00996AD7">
      <w:pPr>
        <w:spacing w:after="180"/>
      </w:pPr>
    </w:p>
    <w:p w14:paraId="39D97C49"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7C56" w14:textId="77777777">
        <w:tc>
          <w:tcPr>
            <w:tcW w:w="50" w:type="pct"/>
            <w:shd w:val="clear" w:color="auto" w:fill="auto"/>
            <w:vAlign w:val="bottom"/>
          </w:tcPr>
          <w:p w14:paraId="39D97C4A" w14:textId="77777777" w:rsidR="00996AD7" w:rsidRDefault="00996AD7">
            <w:pPr>
              <w:rPr>
                <w:rFonts w:ascii="宋体"/>
              </w:rPr>
            </w:pPr>
          </w:p>
        </w:tc>
        <w:tc>
          <w:tcPr>
            <w:tcW w:w="238" w:type="pct"/>
            <w:shd w:val="clear" w:color="auto" w:fill="auto"/>
            <w:vAlign w:val="bottom"/>
          </w:tcPr>
          <w:p w14:paraId="39D97C4B" w14:textId="77777777" w:rsidR="00996AD7" w:rsidRDefault="00996AD7">
            <w:pPr>
              <w:rPr>
                <w:rFonts w:ascii="宋体"/>
              </w:rPr>
            </w:pPr>
          </w:p>
        </w:tc>
        <w:tc>
          <w:tcPr>
            <w:tcW w:w="5" w:type="pct"/>
            <w:shd w:val="clear" w:color="auto" w:fill="auto"/>
            <w:vAlign w:val="bottom"/>
          </w:tcPr>
          <w:p w14:paraId="39D97C4C" w14:textId="77777777" w:rsidR="00996AD7" w:rsidRDefault="00996AD7">
            <w:pPr>
              <w:rPr>
                <w:rFonts w:ascii="宋体"/>
              </w:rPr>
            </w:pPr>
          </w:p>
        </w:tc>
        <w:tc>
          <w:tcPr>
            <w:tcW w:w="50" w:type="pct"/>
            <w:shd w:val="clear" w:color="auto" w:fill="auto"/>
            <w:vAlign w:val="bottom"/>
          </w:tcPr>
          <w:p w14:paraId="39D97C4D" w14:textId="77777777" w:rsidR="00996AD7" w:rsidRDefault="00996AD7">
            <w:pPr>
              <w:rPr>
                <w:rFonts w:ascii="宋体"/>
              </w:rPr>
            </w:pPr>
          </w:p>
        </w:tc>
        <w:tc>
          <w:tcPr>
            <w:tcW w:w="983" w:type="pct"/>
            <w:shd w:val="clear" w:color="auto" w:fill="auto"/>
            <w:vAlign w:val="bottom"/>
          </w:tcPr>
          <w:p w14:paraId="39D97C4E" w14:textId="77777777" w:rsidR="00996AD7" w:rsidRDefault="00996AD7">
            <w:pPr>
              <w:rPr>
                <w:rFonts w:ascii="宋体"/>
              </w:rPr>
            </w:pPr>
          </w:p>
        </w:tc>
        <w:tc>
          <w:tcPr>
            <w:tcW w:w="5" w:type="pct"/>
            <w:shd w:val="clear" w:color="auto" w:fill="auto"/>
            <w:vAlign w:val="bottom"/>
          </w:tcPr>
          <w:p w14:paraId="39D97C4F" w14:textId="77777777" w:rsidR="00996AD7" w:rsidRDefault="00996AD7">
            <w:pPr>
              <w:rPr>
                <w:rFonts w:ascii="宋体"/>
              </w:rPr>
            </w:pPr>
          </w:p>
        </w:tc>
        <w:tc>
          <w:tcPr>
            <w:tcW w:w="50" w:type="pct"/>
            <w:shd w:val="clear" w:color="auto" w:fill="auto"/>
            <w:vAlign w:val="bottom"/>
          </w:tcPr>
          <w:p w14:paraId="39D97C50" w14:textId="77777777" w:rsidR="00996AD7" w:rsidRDefault="00996AD7">
            <w:pPr>
              <w:rPr>
                <w:rFonts w:ascii="宋体"/>
              </w:rPr>
            </w:pPr>
          </w:p>
        </w:tc>
        <w:tc>
          <w:tcPr>
            <w:tcW w:w="2035" w:type="pct"/>
            <w:shd w:val="clear" w:color="auto" w:fill="auto"/>
            <w:vAlign w:val="bottom"/>
          </w:tcPr>
          <w:p w14:paraId="39D97C51" w14:textId="77777777" w:rsidR="00996AD7" w:rsidRDefault="00996AD7">
            <w:pPr>
              <w:rPr>
                <w:rFonts w:ascii="宋体"/>
              </w:rPr>
            </w:pPr>
          </w:p>
        </w:tc>
        <w:tc>
          <w:tcPr>
            <w:tcW w:w="5" w:type="pct"/>
            <w:shd w:val="clear" w:color="auto" w:fill="auto"/>
            <w:vAlign w:val="bottom"/>
          </w:tcPr>
          <w:p w14:paraId="39D97C52" w14:textId="77777777" w:rsidR="00996AD7" w:rsidRDefault="00996AD7">
            <w:pPr>
              <w:rPr>
                <w:rFonts w:ascii="宋体"/>
              </w:rPr>
            </w:pPr>
          </w:p>
        </w:tc>
        <w:tc>
          <w:tcPr>
            <w:tcW w:w="50" w:type="pct"/>
            <w:shd w:val="clear" w:color="auto" w:fill="auto"/>
            <w:vAlign w:val="bottom"/>
          </w:tcPr>
          <w:p w14:paraId="39D97C53" w14:textId="77777777" w:rsidR="00996AD7" w:rsidRDefault="00996AD7">
            <w:pPr>
              <w:rPr>
                <w:rFonts w:ascii="宋体"/>
              </w:rPr>
            </w:pPr>
          </w:p>
        </w:tc>
        <w:tc>
          <w:tcPr>
            <w:tcW w:w="1522" w:type="pct"/>
            <w:shd w:val="clear" w:color="auto" w:fill="auto"/>
            <w:vAlign w:val="bottom"/>
          </w:tcPr>
          <w:p w14:paraId="39D97C54" w14:textId="77777777" w:rsidR="00996AD7" w:rsidRDefault="00996AD7">
            <w:pPr>
              <w:rPr>
                <w:rFonts w:ascii="宋体"/>
              </w:rPr>
            </w:pPr>
          </w:p>
        </w:tc>
        <w:tc>
          <w:tcPr>
            <w:tcW w:w="5" w:type="pct"/>
            <w:shd w:val="clear" w:color="auto" w:fill="auto"/>
            <w:vAlign w:val="bottom"/>
          </w:tcPr>
          <w:p w14:paraId="39D97C55" w14:textId="77777777" w:rsidR="00996AD7" w:rsidRDefault="00996AD7">
            <w:pPr>
              <w:rPr>
                <w:rFonts w:ascii="宋体"/>
              </w:rPr>
            </w:pPr>
          </w:p>
        </w:tc>
      </w:tr>
      <w:tr w:rsidR="00996AD7" w14:paraId="39D97C5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C57"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AB" wp14:editId="39D9A3AC">
                  <wp:extent cx="304800" cy="304800"/>
                  <wp:effectExtent l="0" t="0" r="0" b="0"/>
                  <wp:docPr id="59" name="图片 55"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5"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C58"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7C59"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C5A" w14:textId="77777777" w:rsidR="00996AD7" w:rsidRDefault="00D96458">
            <w:pPr>
              <w:jc w:val="right"/>
              <w:textAlignment w:val="center"/>
            </w:pPr>
            <w:r>
              <w:rPr>
                <w:rFonts w:ascii="Arial" w:eastAsia="宋体" w:hAnsi="Arial" w:cs="Arial"/>
                <w:color w:val="262626"/>
                <w:sz w:val="16"/>
                <w:szCs w:val="16"/>
              </w:rPr>
              <w:t>8</w:t>
            </w:r>
          </w:p>
        </w:tc>
      </w:tr>
    </w:tbl>
    <w:p w14:paraId="39D97C5C" w14:textId="77777777" w:rsidR="00996AD7" w:rsidRDefault="00D96458">
      <w:r>
        <w:pict w14:anchorId="39D9A3AD">
          <v:rect id="_x0000_i1034" style="width:415.3pt;height:1.5pt" o:hralign="center" o:hrstd="t" o:hr="t" fillcolor="#a0a0a0" stroked="f"/>
        </w:pict>
      </w:r>
    </w:p>
    <w:p w14:paraId="39D97C5D" w14:textId="77777777" w:rsidR="00996AD7" w:rsidRDefault="00D96458">
      <w:pPr>
        <w:spacing w:after="180"/>
        <w:jc w:val="right"/>
      </w:pPr>
      <w:hyperlink r:id="rId35" w:anchor="i94e6cc3aa83643b8b968bd5bab038338_7" w:history="1">
        <w:r>
          <w:rPr>
            <w:rStyle w:val="a5"/>
            <w:rFonts w:ascii="Arial" w:eastAsia="宋体" w:hAnsi="Arial" w:cs="Arial"/>
            <w:b/>
            <w:bCs/>
            <w:color w:val="0068B5"/>
            <w:sz w:val="16"/>
            <w:szCs w:val="16"/>
          </w:rPr>
          <w:t>Table of Contents</w:t>
        </w:r>
      </w:hyperlink>
    </w:p>
    <w:p w14:paraId="39D97C5E" w14:textId="77777777" w:rsidR="00996AD7" w:rsidRDefault="00996AD7">
      <w:pPr>
        <w:spacing w:after="180"/>
        <w:jc w:val="right"/>
      </w:pPr>
    </w:p>
    <w:p w14:paraId="39D97C5F" w14:textId="77777777" w:rsidR="00996AD7" w:rsidRDefault="00D96458">
      <w:pPr>
        <w:spacing w:after="120"/>
      </w:pPr>
      <w:r>
        <w:rPr>
          <w:rFonts w:ascii="Arial" w:eastAsia="宋体" w:hAnsi="Arial" w:cs="Arial"/>
          <w:color w:val="262626"/>
          <w:sz w:val="18"/>
          <w:szCs w:val="18"/>
        </w:rPr>
        <w:t>Net revenue and operating income (loss)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3993"/>
        <w:gridCol w:w="39"/>
        <w:gridCol w:w="36"/>
        <w:gridCol w:w="36"/>
        <w:gridCol w:w="36"/>
        <w:gridCol w:w="121"/>
        <w:gridCol w:w="800"/>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996AD7" w14:paraId="39D97C7B" w14:textId="77777777">
        <w:tc>
          <w:tcPr>
            <w:tcW w:w="50" w:type="pct"/>
            <w:shd w:val="clear" w:color="auto" w:fill="auto"/>
            <w:vAlign w:val="bottom"/>
          </w:tcPr>
          <w:p w14:paraId="39D97C60" w14:textId="77777777" w:rsidR="00996AD7" w:rsidRDefault="00996AD7">
            <w:pPr>
              <w:rPr>
                <w:rFonts w:ascii="宋体"/>
              </w:rPr>
            </w:pPr>
          </w:p>
        </w:tc>
        <w:tc>
          <w:tcPr>
            <w:tcW w:w="2431" w:type="pct"/>
            <w:shd w:val="clear" w:color="auto" w:fill="auto"/>
            <w:vAlign w:val="bottom"/>
          </w:tcPr>
          <w:p w14:paraId="39D97C61" w14:textId="77777777" w:rsidR="00996AD7" w:rsidRDefault="00996AD7">
            <w:pPr>
              <w:rPr>
                <w:rFonts w:ascii="宋体"/>
              </w:rPr>
            </w:pPr>
          </w:p>
        </w:tc>
        <w:tc>
          <w:tcPr>
            <w:tcW w:w="5" w:type="pct"/>
            <w:shd w:val="clear" w:color="auto" w:fill="auto"/>
            <w:vAlign w:val="bottom"/>
          </w:tcPr>
          <w:p w14:paraId="39D97C62" w14:textId="77777777" w:rsidR="00996AD7" w:rsidRDefault="00996AD7">
            <w:pPr>
              <w:rPr>
                <w:rFonts w:ascii="宋体"/>
              </w:rPr>
            </w:pPr>
          </w:p>
        </w:tc>
        <w:tc>
          <w:tcPr>
            <w:tcW w:w="5" w:type="pct"/>
            <w:shd w:val="clear" w:color="auto" w:fill="auto"/>
            <w:vAlign w:val="bottom"/>
          </w:tcPr>
          <w:p w14:paraId="39D97C63" w14:textId="77777777" w:rsidR="00996AD7" w:rsidRDefault="00996AD7">
            <w:pPr>
              <w:rPr>
                <w:rFonts w:ascii="宋体"/>
              </w:rPr>
            </w:pPr>
          </w:p>
        </w:tc>
        <w:tc>
          <w:tcPr>
            <w:tcW w:w="24" w:type="pct"/>
            <w:shd w:val="clear" w:color="auto" w:fill="auto"/>
            <w:vAlign w:val="bottom"/>
          </w:tcPr>
          <w:p w14:paraId="39D97C64" w14:textId="77777777" w:rsidR="00996AD7" w:rsidRDefault="00996AD7">
            <w:pPr>
              <w:rPr>
                <w:rFonts w:ascii="宋体"/>
              </w:rPr>
            </w:pPr>
          </w:p>
        </w:tc>
        <w:tc>
          <w:tcPr>
            <w:tcW w:w="5" w:type="pct"/>
            <w:shd w:val="clear" w:color="auto" w:fill="auto"/>
            <w:vAlign w:val="bottom"/>
          </w:tcPr>
          <w:p w14:paraId="39D97C65" w14:textId="77777777" w:rsidR="00996AD7" w:rsidRDefault="00996AD7">
            <w:pPr>
              <w:rPr>
                <w:rFonts w:ascii="宋体"/>
              </w:rPr>
            </w:pPr>
          </w:p>
        </w:tc>
        <w:tc>
          <w:tcPr>
            <w:tcW w:w="50" w:type="pct"/>
            <w:shd w:val="clear" w:color="auto" w:fill="auto"/>
            <w:vAlign w:val="bottom"/>
          </w:tcPr>
          <w:p w14:paraId="39D97C66" w14:textId="77777777" w:rsidR="00996AD7" w:rsidRDefault="00996AD7">
            <w:pPr>
              <w:rPr>
                <w:rFonts w:ascii="宋体"/>
              </w:rPr>
            </w:pPr>
          </w:p>
        </w:tc>
        <w:tc>
          <w:tcPr>
            <w:tcW w:w="539" w:type="pct"/>
            <w:shd w:val="clear" w:color="auto" w:fill="auto"/>
            <w:vAlign w:val="bottom"/>
          </w:tcPr>
          <w:p w14:paraId="39D97C67" w14:textId="77777777" w:rsidR="00996AD7" w:rsidRDefault="00996AD7">
            <w:pPr>
              <w:rPr>
                <w:rFonts w:ascii="宋体"/>
              </w:rPr>
            </w:pPr>
          </w:p>
        </w:tc>
        <w:tc>
          <w:tcPr>
            <w:tcW w:w="5" w:type="pct"/>
            <w:shd w:val="clear" w:color="auto" w:fill="auto"/>
            <w:vAlign w:val="bottom"/>
          </w:tcPr>
          <w:p w14:paraId="39D97C68" w14:textId="77777777" w:rsidR="00996AD7" w:rsidRDefault="00996AD7">
            <w:pPr>
              <w:rPr>
                <w:rFonts w:ascii="宋体"/>
              </w:rPr>
            </w:pPr>
          </w:p>
        </w:tc>
        <w:tc>
          <w:tcPr>
            <w:tcW w:w="5" w:type="pct"/>
            <w:shd w:val="clear" w:color="auto" w:fill="auto"/>
            <w:vAlign w:val="bottom"/>
          </w:tcPr>
          <w:p w14:paraId="39D97C69" w14:textId="77777777" w:rsidR="00996AD7" w:rsidRDefault="00996AD7">
            <w:pPr>
              <w:rPr>
                <w:rFonts w:ascii="宋体"/>
              </w:rPr>
            </w:pPr>
          </w:p>
        </w:tc>
        <w:tc>
          <w:tcPr>
            <w:tcW w:w="24" w:type="pct"/>
            <w:shd w:val="clear" w:color="auto" w:fill="auto"/>
            <w:vAlign w:val="bottom"/>
          </w:tcPr>
          <w:p w14:paraId="39D97C6A" w14:textId="77777777" w:rsidR="00996AD7" w:rsidRDefault="00996AD7">
            <w:pPr>
              <w:rPr>
                <w:rFonts w:ascii="宋体"/>
              </w:rPr>
            </w:pPr>
          </w:p>
        </w:tc>
        <w:tc>
          <w:tcPr>
            <w:tcW w:w="5" w:type="pct"/>
            <w:shd w:val="clear" w:color="auto" w:fill="auto"/>
            <w:vAlign w:val="bottom"/>
          </w:tcPr>
          <w:p w14:paraId="39D97C6B" w14:textId="77777777" w:rsidR="00996AD7" w:rsidRDefault="00996AD7">
            <w:pPr>
              <w:rPr>
                <w:rFonts w:ascii="宋体"/>
              </w:rPr>
            </w:pPr>
          </w:p>
        </w:tc>
        <w:tc>
          <w:tcPr>
            <w:tcW w:w="50" w:type="pct"/>
            <w:shd w:val="clear" w:color="auto" w:fill="auto"/>
            <w:vAlign w:val="bottom"/>
          </w:tcPr>
          <w:p w14:paraId="39D97C6C" w14:textId="77777777" w:rsidR="00996AD7" w:rsidRDefault="00996AD7">
            <w:pPr>
              <w:rPr>
                <w:rFonts w:ascii="宋体"/>
              </w:rPr>
            </w:pPr>
          </w:p>
        </w:tc>
        <w:tc>
          <w:tcPr>
            <w:tcW w:w="539" w:type="pct"/>
            <w:shd w:val="clear" w:color="auto" w:fill="auto"/>
            <w:vAlign w:val="bottom"/>
          </w:tcPr>
          <w:p w14:paraId="39D97C6D" w14:textId="77777777" w:rsidR="00996AD7" w:rsidRDefault="00996AD7">
            <w:pPr>
              <w:rPr>
                <w:rFonts w:ascii="宋体"/>
              </w:rPr>
            </w:pPr>
          </w:p>
        </w:tc>
        <w:tc>
          <w:tcPr>
            <w:tcW w:w="5" w:type="pct"/>
            <w:shd w:val="clear" w:color="auto" w:fill="auto"/>
            <w:vAlign w:val="bottom"/>
          </w:tcPr>
          <w:p w14:paraId="39D97C6E" w14:textId="77777777" w:rsidR="00996AD7" w:rsidRDefault="00996AD7">
            <w:pPr>
              <w:rPr>
                <w:rFonts w:ascii="宋体"/>
              </w:rPr>
            </w:pPr>
          </w:p>
        </w:tc>
        <w:tc>
          <w:tcPr>
            <w:tcW w:w="5" w:type="pct"/>
            <w:shd w:val="clear" w:color="auto" w:fill="auto"/>
            <w:vAlign w:val="bottom"/>
          </w:tcPr>
          <w:p w14:paraId="39D97C6F" w14:textId="77777777" w:rsidR="00996AD7" w:rsidRDefault="00996AD7">
            <w:pPr>
              <w:rPr>
                <w:rFonts w:ascii="宋体"/>
              </w:rPr>
            </w:pPr>
          </w:p>
        </w:tc>
        <w:tc>
          <w:tcPr>
            <w:tcW w:w="24" w:type="pct"/>
            <w:shd w:val="clear" w:color="auto" w:fill="auto"/>
            <w:vAlign w:val="bottom"/>
          </w:tcPr>
          <w:p w14:paraId="39D97C70" w14:textId="77777777" w:rsidR="00996AD7" w:rsidRDefault="00996AD7">
            <w:pPr>
              <w:rPr>
                <w:rFonts w:ascii="宋体"/>
              </w:rPr>
            </w:pPr>
          </w:p>
        </w:tc>
        <w:tc>
          <w:tcPr>
            <w:tcW w:w="5" w:type="pct"/>
            <w:shd w:val="clear" w:color="auto" w:fill="auto"/>
            <w:vAlign w:val="bottom"/>
          </w:tcPr>
          <w:p w14:paraId="39D97C71" w14:textId="77777777" w:rsidR="00996AD7" w:rsidRDefault="00996AD7">
            <w:pPr>
              <w:rPr>
                <w:rFonts w:ascii="宋体"/>
              </w:rPr>
            </w:pPr>
          </w:p>
        </w:tc>
        <w:tc>
          <w:tcPr>
            <w:tcW w:w="50" w:type="pct"/>
            <w:shd w:val="clear" w:color="auto" w:fill="auto"/>
            <w:vAlign w:val="bottom"/>
          </w:tcPr>
          <w:p w14:paraId="39D97C72" w14:textId="77777777" w:rsidR="00996AD7" w:rsidRDefault="00996AD7">
            <w:pPr>
              <w:rPr>
                <w:rFonts w:ascii="宋体"/>
              </w:rPr>
            </w:pPr>
          </w:p>
        </w:tc>
        <w:tc>
          <w:tcPr>
            <w:tcW w:w="539" w:type="pct"/>
            <w:shd w:val="clear" w:color="auto" w:fill="auto"/>
            <w:vAlign w:val="bottom"/>
          </w:tcPr>
          <w:p w14:paraId="39D97C73" w14:textId="77777777" w:rsidR="00996AD7" w:rsidRDefault="00996AD7">
            <w:pPr>
              <w:rPr>
                <w:rFonts w:ascii="宋体"/>
              </w:rPr>
            </w:pPr>
          </w:p>
        </w:tc>
        <w:tc>
          <w:tcPr>
            <w:tcW w:w="5" w:type="pct"/>
            <w:shd w:val="clear" w:color="auto" w:fill="auto"/>
            <w:vAlign w:val="bottom"/>
          </w:tcPr>
          <w:p w14:paraId="39D97C74" w14:textId="77777777" w:rsidR="00996AD7" w:rsidRDefault="00996AD7">
            <w:pPr>
              <w:rPr>
                <w:rFonts w:ascii="宋体"/>
              </w:rPr>
            </w:pPr>
          </w:p>
        </w:tc>
        <w:tc>
          <w:tcPr>
            <w:tcW w:w="5" w:type="pct"/>
            <w:shd w:val="clear" w:color="auto" w:fill="auto"/>
            <w:vAlign w:val="bottom"/>
          </w:tcPr>
          <w:p w14:paraId="39D97C75" w14:textId="77777777" w:rsidR="00996AD7" w:rsidRDefault="00996AD7">
            <w:pPr>
              <w:rPr>
                <w:rFonts w:ascii="宋体"/>
              </w:rPr>
            </w:pPr>
          </w:p>
        </w:tc>
        <w:tc>
          <w:tcPr>
            <w:tcW w:w="24" w:type="pct"/>
            <w:shd w:val="clear" w:color="auto" w:fill="auto"/>
            <w:vAlign w:val="bottom"/>
          </w:tcPr>
          <w:p w14:paraId="39D97C76" w14:textId="77777777" w:rsidR="00996AD7" w:rsidRDefault="00996AD7">
            <w:pPr>
              <w:rPr>
                <w:rFonts w:ascii="宋体"/>
              </w:rPr>
            </w:pPr>
          </w:p>
        </w:tc>
        <w:tc>
          <w:tcPr>
            <w:tcW w:w="5" w:type="pct"/>
            <w:shd w:val="clear" w:color="auto" w:fill="auto"/>
            <w:vAlign w:val="bottom"/>
          </w:tcPr>
          <w:p w14:paraId="39D97C77" w14:textId="77777777" w:rsidR="00996AD7" w:rsidRDefault="00996AD7">
            <w:pPr>
              <w:rPr>
                <w:rFonts w:ascii="宋体"/>
              </w:rPr>
            </w:pPr>
          </w:p>
        </w:tc>
        <w:tc>
          <w:tcPr>
            <w:tcW w:w="50" w:type="pct"/>
            <w:shd w:val="clear" w:color="auto" w:fill="auto"/>
            <w:vAlign w:val="bottom"/>
          </w:tcPr>
          <w:p w14:paraId="39D97C78" w14:textId="77777777" w:rsidR="00996AD7" w:rsidRDefault="00996AD7">
            <w:pPr>
              <w:rPr>
                <w:rFonts w:ascii="宋体"/>
              </w:rPr>
            </w:pPr>
          </w:p>
        </w:tc>
        <w:tc>
          <w:tcPr>
            <w:tcW w:w="539" w:type="pct"/>
            <w:shd w:val="clear" w:color="auto" w:fill="auto"/>
            <w:vAlign w:val="bottom"/>
          </w:tcPr>
          <w:p w14:paraId="39D97C79" w14:textId="77777777" w:rsidR="00996AD7" w:rsidRDefault="00996AD7">
            <w:pPr>
              <w:rPr>
                <w:rFonts w:ascii="宋体"/>
              </w:rPr>
            </w:pPr>
          </w:p>
        </w:tc>
        <w:tc>
          <w:tcPr>
            <w:tcW w:w="5" w:type="pct"/>
            <w:shd w:val="clear" w:color="auto" w:fill="auto"/>
            <w:vAlign w:val="bottom"/>
          </w:tcPr>
          <w:p w14:paraId="39D97C7A" w14:textId="77777777" w:rsidR="00996AD7" w:rsidRDefault="00996AD7">
            <w:pPr>
              <w:rPr>
                <w:rFonts w:ascii="宋体"/>
              </w:rPr>
            </w:pPr>
          </w:p>
        </w:tc>
      </w:tr>
      <w:tr w:rsidR="00996AD7" w14:paraId="39D97C81" w14:textId="77777777">
        <w:tc>
          <w:tcPr>
            <w:tcW w:w="0" w:type="auto"/>
            <w:gridSpan w:val="3"/>
            <w:shd w:val="clear" w:color="auto" w:fill="auto"/>
            <w:tcMar>
              <w:top w:w="0" w:type="dxa"/>
              <w:left w:w="20" w:type="dxa"/>
              <w:bottom w:w="0" w:type="dxa"/>
              <w:right w:w="20" w:type="dxa"/>
            </w:tcMar>
            <w:vAlign w:val="bottom"/>
          </w:tcPr>
          <w:p w14:paraId="39D97C7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7D"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7C7E" w14:textId="77777777" w:rsidR="00996AD7" w:rsidRDefault="00D964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39D97C7F"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7C80" w14:textId="77777777" w:rsidR="00996AD7" w:rsidRDefault="00D96458">
            <w:pPr>
              <w:jc w:val="center"/>
              <w:textAlignment w:val="bottom"/>
            </w:pPr>
            <w:r>
              <w:rPr>
                <w:rFonts w:ascii="Arial" w:eastAsia="宋体" w:hAnsi="Arial" w:cs="Arial"/>
                <w:b/>
                <w:bCs/>
                <w:color w:val="262626"/>
                <w:sz w:val="18"/>
                <w:szCs w:val="18"/>
              </w:rPr>
              <w:t>Nine Months Ended</w:t>
            </w:r>
          </w:p>
        </w:tc>
      </w:tr>
      <w:tr w:rsidR="00996AD7" w14:paraId="39D97C8B" w14:textId="77777777">
        <w:tc>
          <w:tcPr>
            <w:tcW w:w="0" w:type="auto"/>
            <w:gridSpan w:val="3"/>
            <w:shd w:val="clear" w:color="auto" w:fill="auto"/>
            <w:tcMar>
              <w:top w:w="40" w:type="dxa"/>
              <w:left w:w="20" w:type="dxa"/>
              <w:bottom w:w="40" w:type="dxa"/>
              <w:right w:w="20" w:type="dxa"/>
            </w:tcMar>
            <w:vAlign w:val="bottom"/>
          </w:tcPr>
          <w:p w14:paraId="39D97C82" w14:textId="77777777" w:rsidR="00996AD7" w:rsidRDefault="00D964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7C83"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C84"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C85"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C86"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gridSpan w:val="3"/>
            <w:shd w:val="clear" w:color="auto" w:fill="auto"/>
            <w:tcMar>
              <w:top w:w="0" w:type="dxa"/>
              <w:left w:w="20" w:type="dxa"/>
              <w:bottom w:w="0" w:type="dxa"/>
              <w:right w:w="20" w:type="dxa"/>
            </w:tcMar>
            <w:vAlign w:val="bottom"/>
          </w:tcPr>
          <w:p w14:paraId="39D97C87"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C88"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C89"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C8A" w14:textId="77777777" w:rsidR="00996AD7" w:rsidRDefault="00D96458">
            <w:pPr>
              <w:jc w:val="center"/>
              <w:textAlignment w:val="bottom"/>
            </w:pPr>
            <w:r>
              <w:rPr>
                <w:rFonts w:ascii="Arial" w:eastAsia="宋体" w:hAnsi="Arial" w:cs="Arial"/>
                <w:b/>
                <w:bCs/>
                <w:color w:val="262626"/>
                <w:sz w:val="18"/>
                <w:szCs w:val="18"/>
              </w:rPr>
              <w:t>Sep 26, 2020</w:t>
            </w:r>
          </w:p>
        </w:tc>
      </w:tr>
      <w:tr w:rsidR="00996AD7" w14:paraId="39D97C9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7C8C" w14:textId="77777777" w:rsidR="00996AD7" w:rsidRDefault="00D96458">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39D97C8D"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C8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8F"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C9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91"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C9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93"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C94" w14:textId="77777777" w:rsidR="00996AD7" w:rsidRDefault="00996AD7">
            <w:pPr>
              <w:rPr>
                <w:rFonts w:ascii="宋体"/>
              </w:rPr>
            </w:pPr>
          </w:p>
        </w:tc>
      </w:tr>
      <w:tr w:rsidR="00996AD7" w14:paraId="39D97C9F" w14:textId="77777777">
        <w:tc>
          <w:tcPr>
            <w:tcW w:w="0" w:type="auto"/>
            <w:gridSpan w:val="3"/>
            <w:shd w:val="clear" w:color="auto" w:fill="auto"/>
            <w:tcMar>
              <w:top w:w="40" w:type="dxa"/>
              <w:left w:w="215" w:type="dxa"/>
              <w:bottom w:w="40" w:type="dxa"/>
              <w:right w:w="20" w:type="dxa"/>
            </w:tcMar>
            <w:vAlign w:val="bottom"/>
          </w:tcPr>
          <w:p w14:paraId="39D97C96" w14:textId="77777777" w:rsidR="00996AD7" w:rsidRDefault="00D96458">
            <w:pPr>
              <w:textAlignment w:val="bottom"/>
            </w:pPr>
            <w:r>
              <w:rPr>
                <w:rFonts w:ascii="Arial" w:eastAsia="宋体" w:hAnsi="Arial" w:cs="Arial"/>
                <w:b/>
                <w:bCs/>
                <w:color w:val="262626"/>
                <w:sz w:val="18"/>
                <w:szCs w:val="18"/>
              </w:rPr>
              <w:t>Client Computing Group</w:t>
            </w:r>
          </w:p>
        </w:tc>
        <w:tc>
          <w:tcPr>
            <w:tcW w:w="0" w:type="auto"/>
            <w:gridSpan w:val="3"/>
            <w:shd w:val="clear" w:color="auto" w:fill="auto"/>
            <w:tcMar>
              <w:top w:w="0" w:type="dxa"/>
              <w:left w:w="20" w:type="dxa"/>
              <w:bottom w:w="0" w:type="dxa"/>
              <w:right w:w="20" w:type="dxa"/>
            </w:tcMar>
            <w:vAlign w:val="bottom"/>
          </w:tcPr>
          <w:p w14:paraId="39D97C9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9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9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9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9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9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9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9E" w14:textId="77777777" w:rsidR="00996AD7" w:rsidRDefault="00996AD7">
            <w:pPr>
              <w:rPr>
                <w:rFonts w:ascii="宋体"/>
              </w:rPr>
            </w:pPr>
          </w:p>
        </w:tc>
      </w:tr>
      <w:tr w:rsidR="00996AD7" w14:paraId="39D97CB1" w14:textId="77777777">
        <w:tc>
          <w:tcPr>
            <w:tcW w:w="0" w:type="auto"/>
            <w:gridSpan w:val="3"/>
            <w:shd w:val="clear" w:color="auto" w:fill="auto"/>
            <w:tcMar>
              <w:top w:w="40" w:type="dxa"/>
              <w:left w:w="305" w:type="dxa"/>
              <w:bottom w:w="40" w:type="dxa"/>
              <w:right w:w="20" w:type="dxa"/>
            </w:tcMar>
            <w:vAlign w:val="bottom"/>
          </w:tcPr>
          <w:p w14:paraId="39D97CA0" w14:textId="77777777" w:rsidR="00996AD7" w:rsidRDefault="00D96458">
            <w:pPr>
              <w:textAlignment w:val="bottom"/>
            </w:pPr>
            <w:r>
              <w:rPr>
                <w:rFonts w:ascii="Arial" w:eastAsia="宋体" w:hAnsi="Arial" w:cs="Arial"/>
                <w:color w:val="262626"/>
                <w:sz w:val="18"/>
                <w:szCs w:val="18"/>
              </w:rPr>
              <w:t>Platform</w:t>
            </w:r>
          </w:p>
        </w:tc>
        <w:tc>
          <w:tcPr>
            <w:tcW w:w="0" w:type="auto"/>
            <w:gridSpan w:val="3"/>
            <w:shd w:val="clear" w:color="auto" w:fill="auto"/>
            <w:tcMar>
              <w:top w:w="0" w:type="dxa"/>
              <w:left w:w="20" w:type="dxa"/>
              <w:bottom w:w="0" w:type="dxa"/>
              <w:right w:w="20" w:type="dxa"/>
            </w:tcMar>
            <w:vAlign w:val="bottom"/>
          </w:tcPr>
          <w:p w14:paraId="39D97CA1"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CA2"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7CA3" w14:textId="77777777" w:rsidR="00996AD7" w:rsidRDefault="00D96458">
            <w:pPr>
              <w:jc w:val="right"/>
              <w:textAlignment w:val="bottom"/>
            </w:pPr>
            <w:r>
              <w:rPr>
                <w:rFonts w:ascii="Arial" w:eastAsia="宋体" w:hAnsi="Arial" w:cs="Arial"/>
                <w:color w:val="0068B5"/>
                <w:sz w:val="18"/>
                <w:szCs w:val="18"/>
              </w:rPr>
              <w:t>8,954 </w:t>
            </w:r>
          </w:p>
        </w:tc>
        <w:tc>
          <w:tcPr>
            <w:tcW w:w="0" w:type="auto"/>
            <w:shd w:val="clear" w:color="auto" w:fill="auto"/>
            <w:tcMar>
              <w:top w:w="40" w:type="dxa"/>
              <w:left w:w="0" w:type="dxa"/>
              <w:bottom w:w="40" w:type="dxa"/>
              <w:right w:w="20" w:type="dxa"/>
            </w:tcMar>
            <w:vAlign w:val="bottom"/>
          </w:tcPr>
          <w:p w14:paraId="39D97CA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A5"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CA6"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7CA7" w14:textId="77777777" w:rsidR="00996AD7" w:rsidRDefault="00D96458">
            <w:pPr>
              <w:jc w:val="right"/>
              <w:textAlignment w:val="bottom"/>
            </w:pPr>
            <w:r>
              <w:rPr>
                <w:rFonts w:ascii="Arial" w:eastAsia="宋体" w:hAnsi="Arial" w:cs="Arial"/>
                <w:color w:val="262626"/>
                <w:sz w:val="18"/>
                <w:szCs w:val="18"/>
              </w:rPr>
              <w:t>8,762 </w:t>
            </w:r>
          </w:p>
        </w:tc>
        <w:tc>
          <w:tcPr>
            <w:tcW w:w="0" w:type="auto"/>
            <w:shd w:val="clear" w:color="auto" w:fill="auto"/>
            <w:tcMar>
              <w:top w:w="40" w:type="dxa"/>
              <w:left w:w="0" w:type="dxa"/>
              <w:bottom w:w="40" w:type="dxa"/>
              <w:right w:w="20" w:type="dxa"/>
            </w:tcMar>
            <w:vAlign w:val="bottom"/>
          </w:tcPr>
          <w:p w14:paraId="39D97CA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A9"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CAA"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7CAB" w14:textId="77777777" w:rsidR="00996AD7" w:rsidRDefault="00D96458">
            <w:pPr>
              <w:jc w:val="right"/>
              <w:textAlignment w:val="bottom"/>
            </w:pPr>
            <w:r>
              <w:rPr>
                <w:rFonts w:ascii="Arial" w:eastAsia="宋体" w:hAnsi="Arial" w:cs="Arial"/>
                <w:color w:val="0068B5"/>
                <w:sz w:val="18"/>
                <w:szCs w:val="18"/>
              </w:rPr>
              <w:t>27,968 </w:t>
            </w:r>
          </w:p>
        </w:tc>
        <w:tc>
          <w:tcPr>
            <w:tcW w:w="0" w:type="auto"/>
            <w:shd w:val="clear" w:color="auto" w:fill="auto"/>
            <w:tcMar>
              <w:top w:w="40" w:type="dxa"/>
              <w:left w:w="0" w:type="dxa"/>
              <w:bottom w:w="40" w:type="dxa"/>
              <w:right w:w="20" w:type="dxa"/>
            </w:tcMar>
            <w:vAlign w:val="bottom"/>
          </w:tcPr>
          <w:p w14:paraId="39D97CA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AD"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CAE"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7CAF" w14:textId="77777777" w:rsidR="00996AD7" w:rsidRDefault="00D96458">
            <w:pPr>
              <w:jc w:val="right"/>
              <w:textAlignment w:val="bottom"/>
            </w:pPr>
            <w:r>
              <w:rPr>
                <w:rFonts w:ascii="Arial" w:eastAsia="宋体" w:hAnsi="Arial" w:cs="Arial"/>
                <w:color w:val="262626"/>
                <w:sz w:val="18"/>
                <w:szCs w:val="18"/>
              </w:rPr>
              <w:t>25,703 </w:t>
            </w:r>
          </w:p>
        </w:tc>
        <w:tc>
          <w:tcPr>
            <w:tcW w:w="0" w:type="auto"/>
            <w:shd w:val="clear" w:color="auto" w:fill="auto"/>
            <w:tcMar>
              <w:top w:w="40" w:type="dxa"/>
              <w:left w:w="0" w:type="dxa"/>
              <w:bottom w:w="40" w:type="dxa"/>
              <w:right w:w="20" w:type="dxa"/>
            </w:tcMar>
            <w:vAlign w:val="bottom"/>
          </w:tcPr>
          <w:p w14:paraId="39D97CB0" w14:textId="77777777" w:rsidR="00996AD7" w:rsidRDefault="00996AD7">
            <w:pPr>
              <w:jc w:val="right"/>
              <w:rPr>
                <w:rFonts w:ascii="宋体"/>
              </w:rPr>
            </w:pPr>
          </w:p>
        </w:tc>
      </w:tr>
      <w:tr w:rsidR="00996AD7" w14:paraId="39D97CBF" w14:textId="77777777">
        <w:tc>
          <w:tcPr>
            <w:tcW w:w="0" w:type="auto"/>
            <w:gridSpan w:val="3"/>
            <w:shd w:val="clear" w:color="auto" w:fill="auto"/>
            <w:tcMar>
              <w:top w:w="40" w:type="dxa"/>
              <w:left w:w="305" w:type="dxa"/>
              <w:bottom w:w="40" w:type="dxa"/>
              <w:right w:w="20" w:type="dxa"/>
            </w:tcMar>
            <w:vAlign w:val="bottom"/>
          </w:tcPr>
          <w:p w14:paraId="39D97CB2" w14:textId="77777777" w:rsidR="00996AD7" w:rsidRDefault="00D96458">
            <w:pPr>
              <w:textAlignment w:val="bottom"/>
            </w:pPr>
            <w:r>
              <w:rPr>
                <w:rFonts w:ascii="Arial" w:eastAsia="宋体" w:hAnsi="Arial" w:cs="Arial"/>
                <w:color w:val="262626"/>
                <w:sz w:val="18"/>
                <w:szCs w:val="18"/>
              </w:rPr>
              <w:t>Adjacent</w:t>
            </w:r>
          </w:p>
        </w:tc>
        <w:tc>
          <w:tcPr>
            <w:tcW w:w="0" w:type="auto"/>
            <w:gridSpan w:val="3"/>
            <w:shd w:val="clear" w:color="auto" w:fill="auto"/>
            <w:tcMar>
              <w:top w:w="0" w:type="dxa"/>
              <w:left w:w="20" w:type="dxa"/>
              <w:bottom w:w="0" w:type="dxa"/>
              <w:right w:w="20" w:type="dxa"/>
            </w:tcMar>
            <w:vAlign w:val="bottom"/>
          </w:tcPr>
          <w:p w14:paraId="39D97CB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CB4" w14:textId="77777777" w:rsidR="00996AD7" w:rsidRDefault="00D96458">
            <w:pPr>
              <w:jc w:val="right"/>
              <w:textAlignment w:val="bottom"/>
            </w:pPr>
            <w:r>
              <w:rPr>
                <w:rFonts w:ascii="Arial" w:eastAsia="宋体" w:hAnsi="Arial" w:cs="Arial"/>
                <w:color w:val="0068B5"/>
                <w:sz w:val="18"/>
                <w:szCs w:val="18"/>
              </w:rPr>
              <w:t>710 </w:t>
            </w:r>
          </w:p>
        </w:tc>
        <w:tc>
          <w:tcPr>
            <w:tcW w:w="0" w:type="auto"/>
            <w:shd w:val="clear" w:color="auto" w:fill="auto"/>
            <w:tcMar>
              <w:top w:w="40" w:type="dxa"/>
              <w:left w:w="0" w:type="dxa"/>
              <w:bottom w:w="40" w:type="dxa"/>
              <w:right w:w="20" w:type="dxa"/>
            </w:tcMar>
            <w:vAlign w:val="bottom"/>
          </w:tcPr>
          <w:p w14:paraId="39D97CB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B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CB7" w14:textId="77777777" w:rsidR="00996AD7" w:rsidRDefault="00D96458">
            <w:pPr>
              <w:jc w:val="right"/>
              <w:textAlignment w:val="bottom"/>
            </w:pPr>
            <w:r>
              <w:rPr>
                <w:rFonts w:ascii="Arial" w:eastAsia="宋体" w:hAnsi="Arial" w:cs="Arial"/>
                <w:color w:val="262626"/>
                <w:sz w:val="18"/>
                <w:szCs w:val="18"/>
              </w:rPr>
              <w:t>1,085 </w:t>
            </w:r>
          </w:p>
        </w:tc>
        <w:tc>
          <w:tcPr>
            <w:tcW w:w="0" w:type="auto"/>
            <w:shd w:val="clear" w:color="auto" w:fill="auto"/>
            <w:tcMar>
              <w:top w:w="40" w:type="dxa"/>
              <w:left w:w="0" w:type="dxa"/>
              <w:bottom w:w="40" w:type="dxa"/>
              <w:right w:w="20" w:type="dxa"/>
            </w:tcMar>
            <w:vAlign w:val="bottom"/>
          </w:tcPr>
          <w:p w14:paraId="39D97CB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B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CBA" w14:textId="77777777" w:rsidR="00996AD7" w:rsidRDefault="00D96458">
            <w:pPr>
              <w:jc w:val="right"/>
              <w:textAlignment w:val="bottom"/>
            </w:pPr>
            <w:r>
              <w:rPr>
                <w:rFonts w:ascii="Arial" w:eastAsia="宋体" w:hAnsi="Arial" w:cs="Arial"/>
                <w:color w:val="0068B5"/>
                <w:sz w:val="18"/>
                <w:szCs w:val="18"/>
              </w:rPr>
              <w:t>2,410 </w:t>
            </w:r>
          </w:p>
        </w:tc>
        <w:tc>
          <w:tcPr>
            <w:tcW w:w="0" w:type="auto"/>
            <w:shd w:val="clear" w:color="auto" w:fill="auto"/>
            <w:tcMar>
              <w:top w:w="40" w:type="dxa"/>
              <w:left w:w="0" w:type="dxa"/>
              <w:bottom w:w="40" w:type="dxa"/>
              <w:right w:w="20" w:type="dxa"/>
            </w:tcMar>
            <w:vAlign w:val="bottom"/>
          </w:tcPr>
          <w:p w14:paraId="39D97CB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B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CBD" w14:textId="77777777" w:rsidR="00996AD7" w:rsidRDefault="00D96458">
            <w:pPr>
              <w:jc w:val="right"/>
              <w:textAlignment w:val="bottom"/>
            </w:pPr>
            <w:r>
              <w:rPr>
                <w:rFonts w:ascii="Arial" w:eastAsia="宋体" w:hAnsi="Arial" w:cs="Arial"/>
                <w:color w:val="262626"/>
                <w:sz w:val="18"/>
                <w:szCs w:val="18"/>
              </w:rPr>
              <w:t>3,415 </w:t>
            </w:r>
          </w:p>
        </w:tc>
        <w:tc>
          <w:tcPr>
            <w:tcW w:w="0" w:type="auto"/>
            <w:shd w:val="clear" w:color="auto" w:fill="auto"/>
            <w:tcMar>
              <w:top w:w="40" w:type="dxa"/>
              <w:left w:w="0" w:type="dxa"/>
              <w:bottom w:w="40" w:type="dxa"/>
              <w:right w:w="20" w:type="dxa"/>
            </w:tcMar>
            <w:vAlign w:val="bottom"/>
          </w:tcPr>
          <w:p w14:paraId="39D97CBE" w14:textId="77777777" w:rsidR="00996AD7" w:rsidRDefault="00996AD7">
            <w:pPr>
              <w:jc w:val="right"/>
              <w:rPr>
                <w:rFonts w:ascii="宋体"/>
              </w:rPr>
            </w:pPr>
          </w:p>
        </w:tc>
      </w:tr>
      <w:tr w:rsidR="00996AD7" w14:paraId="39D97CCD" w14:textId="77777777">
        <w:tc>
          <w:tcPr>
            <w:tcW w:w="0" w:type="auto"/>
            <w:gridSpan w:val="3"/>
            <w:shd w:val="clear" w:color="auto" w:fill="auto"/>
            <w:tcMar>
              <w:top w:w="0" w:type="dxa"/>
              <w:left w:w="20" w:type="dxa"/>
              <w:bottom w:w="0" w:type="dxa"/>
              <w:right w:w="20" w:type="dxa"/>
            </w:tcMar>
            <w:vAlign w:val="bottom"/>
          </w:tcPr>
          <w:p w14:paraId="39D97CC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C1"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CC2" w14:textId="77777777" w:rsidR="00996AD7" w:rsidRDefault="00D96458">
            <w:pPr>
              <w:jc w:val="right"/>
              <w:textAlignment w:val="bottom"/>
            </w:pPr>
            <w:r>
              <w:rPr>
                <w:rFonts w:ascii="Arial" w:eastAsia="宋体" w:hAnsi="Arial" w:cs="Arial"/>
                <w:b/>
                <w:bCs/>
                <w:color w:val="0068B5"/>
                <w:sz w:val="18"/>
                <w:szCs w:val="18"/>
              </w:rPr>
              <w:t>9,664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CC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C4"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CC5" w14:textId="77777777" w:rsidR="00996AD7" w:rsidRDefault="00D96458">
            <w:pPr>
              <w:jc w:val="right"/>
              <w:textAlignment w:val="bottom"/>
            </w:pPr>
            <w:r>
              <w:rPr>
                <w:rFonts w:ascii="Arial" w:eastAsia="宋体" w:hAnsi="Arial" w:cs="Arial"/>
                <w:b/>
                <w:bCs/>
                <w:color w:val="262626"/>
                <w:sz w:val="18"/>
                <w:szCs w:val="18"/>
              </w:rPr>
              <w:t>9,847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CC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C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CC8" w14:textId="77777777" w:rsidR="00996AD7" w:rsidRDefault="00D96458">
            <w:pPr>
              <w:jc w:val="right"/>
              <w:textAlignment w:val="bottom"/>
            </w:pPr>
            <w:r>
              <w:rPr>
                <w:rFonts w:ascii="Arial" w:eastAsia="宋体" w:hAnsi="Arial" w:cs="Arial"/>
                <w:b/>
                <w:bCs/>
                <w:color w:val="0068B5"/>
                <w:sz w:val="18"/>
                <w:szCs w:val="18"/>
              </w:rPr>
              <w:t>30,378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CC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CA"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CCB" w14:textId="77777777" w:rsidR="00996AD7" w:rsidRDefault="00D96458">
            <w:pPr>
              <w:jc w:val="right"/>
              <w:textAlignment w:val="bottom"/>
            </w:pPr>
            <w:r>
              <w:rPr>
                <w:rFonts w:ascii="Arial" w:eastAsia="宋体" w:hAnsi="Arial" w:cs="Arial"/>
                <w:b/>
                <w:bCs/>
                <w:color w:val="262626"/>
                <w:sz w:val="18"/>
                <w:szCs w:val="18"/>
              </w:rPr>
              <w:t>29,118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CCC" w14:textId="77777777" w:rsidR="00996AD7" w:rsidRDefault="00996AD7">
            <w:pPr>
              <w:jc w:val="right"/>
              <w:rPr>
                <w:rFonts w:ascii="宋体"/>
              </w:rPr>
            </w:pPr>
          </w:p>
        </w:tc>
      </w:tr>
      <w:tr w:rsidR="00996AD7" w14:paraId="39D97CD7" w14:textId="77777777">
        <w:tc>
          <w:tcPr>
            <w:tcW w:w="0" w:type="auto"/>
            <w:gridSpan w:val="3"/>
            <w:shd w:val="clear" w:color="auto" w:fill="auto"/>
            <w:tcMar>
              <w:top w:w="40" w:type="dxa"/>
              <w:left w:w="215" w:type="dxa"/>
              <w:bottom w:w="40" w:type="dxa"/>
              <w:right w:w="20" w:type="dxa"/>
            </w:tcMar>
            <w:vAlign w:val="bottom"/>
          </w:tcPr>
          <w:p w14:paraId="39D97CCE" w14:textId="77777777" w:rsidR="00996AD7" w:rsidRDefault="00D96458">
            <w:pPr>
              <w:textAlignment w:val="bottom"/>
            </w:pPr>
            <w:r>
              <w:rPr>
                <w:rFonts w:ascii="Arial" w:eastAsia="宋体" w:hAnsi="Arial" w:cs="Arial"/>
                <w:b/>
                <w:bCs/>
                <w:color w:val="262626"/>
                <w:sz w:val="18"/>
                <w:szCs w:val="18"/>
              </w:rPr>
              <w:t>Data Center Group</w:t>
            </w:r>
          </w:p>
        </w:tc>
        <w:tc>
          <w:tcPr>
            <w:tcW w:w="0" w:type="auto"/>
            <w:gridSpan w:val="3"/>
            <w:shd w:val="clear" w:color="auto" w:fill="auto"/>
            <w:tcMar>
              <w:top w:w="0" w:type="dxa"/>
              <w:left w:w="20" w:type="dxa"/>
              <w:bottom w:w="0" w:type="dxa"/>
              <w:right w:w="20" w:type="dxa"/>
            </w:tcMar>
            <w:vAlign w:val="bottom"/>
          </w:tcPr>
          <w:p w14:paraId="39D97CC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D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D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D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D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D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D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D6" w14:textId="77777777" w:rsidR="00996AD7" w:rsidRDefault="00996AD7">
            <w:pPr>
              <w:rPr>
                <w:rFonts w:ascii="宋体"/>
              </w:rPr>
            </w:pPr>
          </w:p>
        </w:tc>
      </w:tr>
      <w:tr w:rsidR="00996AD7" w14:paraId="39D97CE5" w14:textId="77777777">
        <w:tc>
          <w:tcPr>
            <w:tcW w:w="0" w:type="auto"/>
            <w:gridSpan w:val="3"/>
            <w:shd w:val="clear" w:color="auto" w:fill="auto"/>
            <w:tcMar>
              <w:top w:w="40" w:type="dxa"/>
              <w:left w:w="305" w:type="dxa"/>
              <w:bottom w:w="40" w:type="dxa"/>
              <w:right w:w="20" w:type="dxa"/>
            </w:tcMar>
            <w:vAlign w:val="bottom"/>
          </w:tcPr>
          <w:p w14:paraId="39D97CD8" w14:textId="77777777" w:rsidR="00996AD7" w:rsidRDefault="00D96458">
            <w:pPr>
              <w:textAlignment w:val="bottom"/>
            </w:pPr>
            <w:r>
              <w:rPr>
                <w:rFonts w:ascii="Arial" w:eastAsia="宋体" w:hAnsi="Arial" w:cs="Arial"/>
                <w:color w:val="262626"/>
                <w:sz w:val="18"/>
                <w:szCs w:val="18"/>
              </w:rPr>
              <w:t>Platform</w:t>
            </w:r>
          </w:p>
        </w:tc>
        <w:tc>
          <w:tcPr>
            <w:tcW w:w="0" w:type="auto"/>
            <w:gridSpan w:val="3"/>
            <w:shd w:val="clear" w:color="auto" w:fill="auto"/>
            <w:tcMar>
              <w:top w:w="0" w:type="dxa"/>
              <w:left w:w="20" w:type="dxa"/>
              <w:bottom w:w="0" w:type="dxa"/>
              <w:right w:w="20" w:type="dxa"/>
            </w:tcMar>
            <w:vAlign w:val="bottom"/>
          </w:tcPr>
          <w:p w14:paraId="39D97CD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CDA" w14:textId="77777777" w:rsidR="00996AD7" w:rsidRDefault="00D96458">
            <w:pPr>
              <w:jc w:val="right"/>
              <w:textAlignment w:val="bottom"/>
            </w:pPr>
            <w:r>
              <w:rPr>
                <w:rFonts w:ascii="Arial" w:eastAsia="宋体" w:hAnsi="Arial" w:cs="Arial"/>
                <w:color w:val="0068B5"/>
                <w:sz w:val="18"/>
                <w:szCs w:val="18"/>
              </w:rPr>
              <w:t>5,747 </w:t>
            </w:r>
          </w:p>
        </w:tc>
        <w:tc>
          <w:tcPr>
            <w:tcW w:w="0" w:type="auto"/>
            <w:shd w:val="clear" w:color="auto" w:fill="auto"/>
            <w:tcMar>
              <w:top w:w="40" w:type="dxa"/>
              <w:left w:w="0" w:type="dxa"/>
              <w:bottom w:w="40" w:type="dxa"/>
              <w:right w:w="20" w:type="dxa"/>
            </w:tcMar>
            <w:vAlign w:val="bottom"/>
          </w:tcPr>
          <w:p w14:paraId="39D97CD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D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CDD" w14:textId="77777777" w:rsidR="00996AD7" w:rsidRDefault="00D96458">
            <w:pPr>
              <w:jc w:val="right"/>
              <w:textAlignment w:val="bottom"/>
            </w:pPr>
            <w:r>
              <w:rPr>
                <w:rFonts w:ascii="Arial" w:eastAsia="宋体" w:hAnsi="Arial" w:cs="Arial"/>
                <w:color w:val="262626"/>
                <w:sz w:val="18"/>
                <w:szCs w:val="18"/>
              </w:rPr>
              <w:t>5,151 </w:t>
            </w:r>
          </w:p>
        </w:tc>
        <w:tc>
          <w:tcPr>
            <w:tcW w:w="0" w:type="auto"/>
            <w:shd w:val="clear" w:color="auto" w:fill="auto"/>
            <w:tcMar>
              <w:top w:w="40" w:type="dxa"/>
              <w:left w:w="0" w:type="dxa"/>
              <w:bottom w:w="40" w:type="dxa"/>
              <w:right w:w="20" w:type="dxa"/>
            </w:tcMar>
            <w:vAlign w:val="bottom"/>
          </w:tcPr>
          <w:p w14:paraId="39D97CD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D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CE0" w14:textId="77777777" w:rsidR="00996AD7" w:rsidRDefault="00D96458">
            <w:pPr>
              <w:jc w:val="right"/>
              <w:textAlignment w:val="bottom"/>
            </w:pPr>
            <w:r>
              <w:rPr>
                <w:rFonts w:ascii="Arial" w:eastAsia="宋体" w:hAnsi="Arial" w:cs="Arial"/>
                <w:color w:val="0068B5"/>
                <w:sz w:val="18"/>
                <w:szCs w:val="18"/>
              </w:rPr>
              <w:t>16,261 </w:t>
            </w:r>
          </w:p>
        </w:tc>
        <w:tc>
          <w:tcPr>
            <w:tcW w:w="0" w:type="auto"/>
            <w:shd w:val="clear" w:color="auto" w:fill="auto"/>
            <w:tcMar>
              <w:top w:w="40" w:type="dxa"/>
              <w:left w:w="0" w:type="dxa"/>
              <w:bottom w:w="40" w:type="dxa"/>
              <w:right w:w="20" w:type="dxa"/>
            </w:tcMar>
            <w:vAlign w:val="bottom"/>
          </w:tcPr>
          <w:p w14:paraId="39D97CE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E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CE3" w14:textId="77777777" w:rsidR="00996AD7" w:rsidRDefault="00D96458">
            <w:pPr>
              <w:jc w:val="right"/>
              <w:textAlignment w:val="bottom"/>
            </w:pPr>
            <w:r>
              <w:rPr>
                <w:rFonts w:ascii="Arial" w:eastAsia="宋体" w:hAnsi="Arial" w:cs="Arial"/>
                <w:color w:val="262626"/>
                <w:sz w:val="18"/>
                <w:szCs w:val="18"/>
              </w:rPr>
              <w:t>17,759 </w:t>
            </w:r>
          </w:p>
        </w:tc>
        <w:tc>
          <w:tcPr>
            <w:tcW w:w="0" w:type="auto"/>
            <w:shd w:val="clear" w:color="auto" w:fill="auto"/>
            <w:tcMar>
              <w:top w:w="40" w:type="dxa"/>
              <w:left w:w="0" w:type="dxa"/>
              <w:bottom w:w="40" w:type="dxa"/>
              <w:right w:w="20" w:type="dxa"/>
            </w:tcMar>
            <w:vAlign w:val="bottom"/>
          </w:tcPr>
          <w:p w14:paraId="39D97CE4" w14:textId="77777777" w:rsidR="00996AD7" w:rsidRDefault="00996AD7">
            <w:pPr>
              <w:jc w:val="right"/>
              <w:rPr>
                <w:rFonts w:ascii="宋体"/>
              </w:rPr>
            </w:pPr>
          </w:p>
        </w:tc>
      </w:tr>
      <w:tr w:rsidR="00996AD7" w14:paraId="39D97CF3" w14:textId="77777777">
        <w:tc>
          <w:tcPr>
            <w:tcW w:w="0" w:type="auto"/>
            <w:gridSpan w:val="3"/>
            <w:shd w:val="clear" w:color="auto" w:fill="auto"/>
            <w:tcMar>
              <w:top w:w="40" w:type="dxa"/>
              <w:left w:w="305" w:type="dxa"/>
              <w:bottom w:w="40" w:type="dxa"/>
              <w:right w:w="20" w:type="dxa"/>
            </w:tcMar>
            <w:vAlign w:val="bottom"/>
          </w:tcPr>
          <w:p w14:paraId="39D97CE6" w14:textId="77777777" w:rsidR="00996AD7" w:rsidRDefault="00D96458">
            <w:pPr>
              <w:textAlignment w:val="bottom"/>
            </w:pPr>
            <w:r>
              <w:rPr>
                <w:rFonts w:ascii="Arial" w:eastAsia="宋体" w:hAnsi="Arial" w:cs="Arial"/>
                <w:color w:val="262626"/>
                <w:sz w:val="18"/>
                <w:szCs w:val="18"/>
              </w:rPr>
              <w:t>Adjacent</w:t>
            </w:r>
          </w:p>
        </w:tc>
        <w:tc>
          <w:tcPr>
            <w:tcW w:w="0" w:type="auto"/>
            <w:gridSpan w:val="3"/>
            <w:shd w:val="clear" w:color="auto" w:fill="auto"/>
            <w:tcMar>
              <w:top w:w="0" w:type="dxa"/>
              <w:left w:w="20" w:type="dxa"/>
              <w:bottom w:w="0" w:type="dxa"/>
              <w:right w:w="20" w:type="dxa"/>
            </w:tcMar>
            <w:vAlign w:val="bottom"/>
          </w:tcPr>
          <w:p w14:paraId="39D97CE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CE8" w14:textId="77777777" w:rsidR="00996AD7" w:rsidRDefault="00D96458">
            <w:pPr>
              <w:jc w:val="right"/>
              <w:textAlignment w:val="bottom"/>
            </w:pPr>
            <w:r>
              <w:rPr>
                <w:rFonts w:ascii="Arial" w:eastAsia="宋体" w:hAnsi="Arial" w:cs="Arial"/>
                <w:color w:val="0068B5"/>
                <w:sz w:val="18"/>
                <w:szCs w:val="18"/>
              </w:rPr>
              <w:t>749 </w:t>
            </w:r>
          </w:p>
        </w:tc>
        <w:tc>
          <w:tcPr>
            <w:tcW w:w="0" w:type="auto"/>
            <w:shd w:val="clear" w:color="auto" w:fill="auto"/>
            <w:tcMar>
              <w:top w:w="40" w:type="dxa"/>
              <w:left w:w="0" w:type="dxa"/>
              <w:bottom w:w="40" w:type="dxa"/>
              <w:right w:w="20" w:type="dxa"/>
            </w:tcMar>
            <w:vAlign w:val="bottom"/>
          </w:tcPr>
          <w:p w14:paraId="39D97CE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E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CEB" w14:textId="77777777" w:rsidR="00996AD7" w:rsidRDefault="00D96458">
            <w:pPr>
              <w:jc w:val="right"/>
              <w:textAlignment w:val="bottom"/>
            </w:pPr>
            <w:r>
              <w:rPr>
                <w:rFonts w:ascii="Arial" w:eastAsia="宋体" w:hAnsi="Arial" w:cs="Arial"/>
                <w:color w:val="262626"/>
                <w:sz w:val="18"/>
                <w:szCs w:val="18"/>
              </w:rPr>
              <w:t>754 </w:t>
            </w:r>
          </w:p>
        </w:tc>
        <w:tc>
          <w:tcPr>
            <w:tcW w:w="0" w:type="auto"/>
            <w:shd w:val="clear" w:color="auto" w:fill="auto"/>
            <w:tcMar>
              <w:top w:w="40" w:type="dxa"/>
              <w:left w:w="0" w:type="dxa"/>
              <w:bottom w:w="40" w:type="dxa"/>
              <w:right w:w="20" w:type="dxa"/>
            </w:tcMar>
            <w:vAlign w:val="bottom"/>
          </w:tcPr>
          <w:p w14:paraId="39D97CE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E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CEE" w14:textId="77777777" w:rsidR="00996AD7" w:rsidRDefault="00D96458">
            <w:pPr>
              <w:jc w:val="right"/>
              <w:textAlignment w:val="bottom"/>
            </w:pPr>
            <w:r>
              <w:rPr>
                <w:rFonts w:ascii="Arial" w:eastAsia="宋体" w:hAnsi="Arial" w:cs="Arial"/>
                <w:color w:val="0068B5"/>
                <w:sz w:val="18"/>
                <w:szCs w:val="18"/>
              </w:rPr>
              <w:t>2,254 </w:t>
            </w:r>
          </w:p>
        </w:tc>
        <w:tc>
          <w:tcPr>
            <w:tcW w:w="0" w:type="auto"/>
            <w:shd w:val="clear" w:color="auto" w:fill="auto"/>
            <w:tcMar>
              <w:top w:w="40" w:type="dxa"/>
              <w:left w:w="0" w:type="dxa"/>
              <w:bottom w:w="40" w:type="dxa"/>
              <w:right w:w="20" w:type="dxa"/>
            </w:tcMar>
            <w:vAlign w:val="bottom"/>
          </w:tcPr>
          <w:p w14:paraId="39D97CE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F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CF1" w14:textId="77777777" w:rsidR="00996AD7" w:rsidRDefault="00D96458">
            <w:pPr>
              <w:jc w:val="right"/>
              <w:textAlignment w:val="bottom"/>
            </w:pPr>
            <w:r>
              <w:rPr>
                <w:rFonts w:ascii="Arial" w:eastAsia="宋体" w:hAnsi="Arial" w:cs="Arial"/>
                <w:color w:val="262626"/>
                <w:sz w:val="18"/>
                <w:szCs w:val="18"/>
              </w:rPr>
              <w:t>2,256 </w:t>
            </w:r>
          </w:p>
        </w:tc>
        <w:tc>
          <w:tcPr>
            <w:tcW w:w="0" w:type="auto"/>
            <w:shd w:val="clear" w:color="auto" w:fill="auto"/>
            <w:tcMar>
              <w:top w:w="40" w:type="dxa"/>
              <w:left w:w="0" w:type="dxa"/>
              <w:bottom w:w="40" w:type="dxa"/>
              <w:right w:w="20" w:type="dxa"/>
            </w:tcMar>
            <w:vAlign w:val="bottom"/>
          </w:tcPr>
          <w:p w14:paraId="39D97CF2" w14:textId="77777777" w:rsidR="00996AD7" w:rsidRDefault="00996AD7">
            <w:pPr>
              <w:jc w:val="right"/>
              <w:rPr>
                <w:rFonts w:ascii="宋体"/>
              </w:rPr>
            </w:pPr>
          </w:p>
        </w:tc>
      </w:tr>
      <w:tr w:rsidR="00996AD7" w14:paraId="39D97D01" w14:textId="77777777">
        <w:tc>
          <w:tcPr>
            <w:tcW w:w="0" w:type="auto"/>
            <w:gridSpan w:val="3"/>
            <w:shd w:val="clear" w:color="auto" w:fill="auto"/>
            <w:tcMar>
              <w:top w:w="0" w:type="dxa"/>
              <w:left w:w="20" w:type="dxa"/>
              <w:bottom w:w="0" w:type="dxa"/>
              <w:right w:w="20" w:type="dxa"/>
            </w:tcMar>
            <w:vAlign w:val="bottom"/>
          </w:tcPr>
          <w:p w14:paraId="39D97CF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CF5"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CF6" w14:textId="77777777" w:rsidR="00996AD7" w:rsidRDefault="00D96458">
            <w:pPr>
              <w:jc w:val="right"/>
              <w:textAlignment w:val="bottom"/>
            </w:pPr>
            <w:r>
              <w:rPr>
                <w:rFonts w:ascii="Arial" w:eastAsia="宋体" w:hAnsi="Arial" w:cs="Arial"/>
                <w:b/>
                <w:bCs/>
                <w:color w:val="0068B5"/>
                <w:sz w:val="18"/>
                <w:szCs w:val="18"/>
              </w:rPr>
              <w:t>6,496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CF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F8"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CF9" w14:textId="77777777" w:rsidR="00996AD7" w:rsidRDefault="00D96458">
            <w:pPr>
              <w:jc w:val="right"/>
              <w:textAlignment w:val="bottom"/>
            </w:pPr>
            <w:r>
              <w:rPr>
                <w:rFonts w:ascii="Arial" w:eastAsia="宋体" w:hAnsi="Arial" w:cs="Arial"/>
                <w:b/>
                <w:bCs/>
                <w:color w:val="262626"/>
                <w:sz w:val="18"/>
                <w:szCs w:val="18"/>
              </w:rPr>
              <w:t>5,905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CF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FB"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CFC" w14:textId="77777777" w:rsidR="00996AD7" w:rsidRDefault="00D96458">
            <w:pPr>
              <w:jc w:val="right"/>
              <w:textAlignment w:val="bottom"/>
            </w:pPr>
            <w:r>
              <w:rPr>
                <w:rFonts w:ascii="Arial" w:eastAsia="宋体" w:hAnsi="Arial" w:cs="Arial"/>
                <w:b/>
                <w:bCs/>
                <w:color w:val="0068B5"/>
                <w:sz w:val="18"/>
                <w:szCs w:val="18"/>
              </w:rPr>
              <w:t>18,515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CF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CFE"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CFF" w14:textId="77777777" w:rsidR="00996AD7" w:rsidRDefault="00D96458">
            <w:pPr>
              <w:jc w:val="right"/>
              <w:textAlignment w:val="bottom"/>
            </w:pPr>
            <w:r>
              <w:rPr>
                <w:rFonts w:ascii="Arial" w:eastAsia="宋体" w:hAnsi="Arial" w:cs="Arial"/>
                <w:b/>
                <w:bCs/>
                <w:color w:val="262626"/>
                <w:sz w:val="18"/>
                <w:szCs w:val="18"/>
              </w:rPr>
              <w:t>20,015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D00" w14:textId="77777777" w:rsidR="00996AD7" w:rsidRDefault="00996AD7">
            <w:pPr>
              <w:jc w:val="right"/>
              <w:rPr>
                <w:rFonts w:ascii="宋体"/>
              </w:rPr>
            </w:pPr>
          </w:p>
        </w:tc>
      </w:tr>
      <w:tr w:rsidR="00996AD7" w14:paraId="39D97D0B" w14:textId="77777777">
        <w:tc>
          <w:tcPr>
            <w:tcW w:w="0" w:type="auto"/>
            <w:gridSpan w:val="3"/>
            <w:shd w:val="clear" w:color="auto" w:fill="auto"/>
            <w:tcMar>
              <w:top w:w="40" w:type="dxa"/>
              <w:left w:w="215" w:type="dxa"/>
              <w:bottom w:w="40" w:type="dxa"/>
              <w:right w:w="20" w:type="dxa"/>
            </w:tcMar>
            <w:vAlign w:val="bottom"/>
          </w:tcPr>
          <w:p w14:paraId="39D97D02" w14:textId="77777777" w:rsidR="00996AD7" w:rsidRDefault="00D96458">
            <w:pPr>
              <w:textAlignment w:val="bottom"/>
            </w:pPr>
            <w:r>
              <w:rPr>
                <w:rFonts w:ascii="Arial" w:eastAsia="宋体" w:hAnsi="Arial" w:cs="Arial"/>
                <w:b/>
                <w:bCs/>
                <w:color w:val="262626"/>
                <w:sz w:val="18"/>
                <w:szCs w:val="18"/>
              </w:rPr>
              <w:t>Internet of Things</w:t>
            </w:r>
          </w:p>
        </w:tc>
        <w:tc>
          <w:tcPr>
            <w:tcW w:w="0" w:type="auto"/>
            <w:gridSpan w:val="3"/>
            <w:shd w:val="clear" w:color="auto" w:fill="auto"/>
            <w:tcMar>
              <w:top w:w="0" w:type="dxa"/>
              <w:left w:w="20" w:type="dxa"/>
              <w:bottom w:w="0" w:type="dxa"/>
              <w:right w:w="20" w:type="dxa"/>
            </w:tcMar>
            <w:vAlign w:val="bottom"/>
          </w:tcPr>
          <w:p w14:paraId="39D97D0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0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0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0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0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0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0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0A" w14:textId="77777777" w:rsidR="00996AD7" w:rsidRDefault="00996AD7">
            <w:pPr>
              <w:rPr>
                <w:rFonts w:ascii="宋体"/>
              </w:rPr>
            </w:pPr>
          </w:p>
        </w:tc>
      </w:tr>
      <w:tr w:rsidR="00996AD7" w14:paraId="39D97D19" w14:textId="77777777">
        <w:tc>
          <w:tcPr>
            <w:tcW w:w="0" w:type="auto"/>
            <w:gridSpan w:val="3"/>
            <w:shd w:val="clear" w:color="auto" w:fill="auto"/>
            <w:tcMar>
              <w:top w:w="40" w:type="dxa"/>
              <w:left w:w="305" w:type="dxa"/>
              <w:bottom w:w="40" w:type="dxa"/>
              <w:right w:w="20" w:type="dxa"/>
            </w:tcMar>
            <w:vAlign w:val="bottom"/>
          </w:tcPr>
          <w:p w14:paraId="39D97D0C" w14:textId="77777777" w:rsidR="00996AD7" w:rsidRDefault="00D96458">
            <w:pPr>
              <w:textAlignment w:val="bottom"/>
            </w:pPr>
            <w:r>
              <w:rPr>
                <w:rFonts w:ascii="Arial" w:eastAsia="宋体" w:hAnsi="Arial" w:cs="Arial"/>
                <w:color w:val="262626"/>
                <w:sz w:val="18"/>
                <w:szCs w:val="18"/>
              </w:rPr>
              <w:t>IOTG</w:t>
            </w:r>
          </w:p>
        </w:tc>
        <w:tc>
          <w:tcPr>
            <w:tcW w:w="0" w:type="auto"/>
            <w:gridSpan w:val="3"/>
            <w:shd w:val="clear" w:color="auto" w:fill="auto"/>
            <w:tcMar>
              <w:top w:w="0" w:type="dxa"/>
              <w:left w:w="20" w:type="dxa"/>
              <w:bottom w:w="0" w:type="dxa"/>
              <w:right w:w="20" w:type="dxa"/>
            </w:tcMar>
            <w:vAlign w:val="bottom"/>
          </w:tcPr>
          <w:p w14:paraId="39D97D0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0E" w14:textId="77777777" w:rsidR="00996AD7" w:rsidRDefault="00D96458">
            <w:pPr>
              <w:jc w:val="right"/>
              <w:textAlignment w:val="bottom"/>
            </w:pPr>
            <w:r>
              <w:rPr>
                <w:rFonts w:ascii="Arial" w:eastAsia="宋体" w:hAnsi="Arial" w:cs="Arial"/>
                <w:color w:val="0068B5"/>
                <w:sz w:val="18"/>
                <w:szCs w:val="18"/>
              </w:rPr>
              <w:t>1,042 </w:t>
            </w:r>
          </w:p>
        </w:tc>
        <w:tc>
          <w:tcPr>
            <w:tcW w:w="0" w:type="auto"/>
            <w:shd w:val="clear" w:color="auto" w:fill="auto"/>
            <w:tcMar>
              <w:top w:w="40" w:type="dxa"/>
              <w:left w:w="0" w:type="dxa"/>
              <w:bottom w:w="40" w:type="dxa"/>
              <w:right w:w="20" w:type="dxa"/>
            </w:tcMar>
            <w:vAlign w:val="bottom"/>
          </w:tcPr>
          <w:p w14:paraId="39D97D0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1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11" w14:textId="77777777" w:rsidR="00996AD7" w:rsidRDefault="00D96458">
            <w:pPr>
              <w:jc w:val="right"/>
              <w:textAlignment w:val="bottom"/>
            </w:pPr>
            <w:r>
              <w:rPr>
                <w:rFonts w:ascii="Arial" w:eastAsia="宋体" w:hAnsi="Arial" w:cs="Arial"/>
                <w:color w:val="262626"/>
                <w:sz w:val="18"/>
                <w:szCs w:val="18"/>
              </w:rPr>
              <w:t>677 </w:t>
            </w:r>
          </w:p>
        </w:tc>
        <w:tc>
          <w:tcPr>
            <w:tcW w:w="0" w:type="auto"/>
            <w:shd w:val="clear" w:color="auto" w:fill="auto"/>
            <w:tcMar>
              <w:top w:w="40" w:type="dxa"/>
              <w:left w:w="0" w:type="dxa"/>
              <w:bottom w:w="40" w:type="dxa"/>
              <w:right w:w="20" w:type="dxa"/>
            </w:tcMar>
            <w:vAlign w:val="bottom"/>
          </w:tcPr>
          <w:p w14:paraId="39D97D1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1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14" w14:textId="77777777" w:rsidR="00996AD7" w:rsidRDefault="00D96458">
            <w:pPr>
              <w:jc w:val="right"/>
              <w:textAlignment w:val="bottom"/>
            </w:pPr>
            <w:r>
              <w:rPr>
                <w:rFonts w:ascii="Arial" w:eastAsia="宋体" w:hAnsi="Arial" w:cs="Arial"/>
                <w:color w:val="0068B5"/>
                <w:sz w:val="18"/>
                <w:szCs w:val="18"/>
              </w:rPr>
              <w:t>2,940 </w:t>
            </w:r>
          </w:p>
        </w:tc>
        <w:tc>
          <w:tcPr>
            <w:tcW w:w="0" w:type="auto"/>
            <w:shd w:val="clear" w:color="auto" w:fill="auto"/>
            <w:tcMar>
              <w:top w:w="40" w:type="dxa"/>
              <w:left w:w="0" w:type="dxa"/>
              <w:bottom w:w="40" w:type="dxa"/>
              <w:right w:w="20" w:type="dxa"/>
            </w:tcMar>
            <w:vAlign w:val="bottom"/>
          </w:tcPr>
          <w:p w14:paraId="39D97D1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1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17" w14:textId="77777777" w:rsidR="00996AD7" w:rsidRDefault="00D96458">
            <w:pPr>
              <w:jc w:val="right"/>
              <w:textAlignment w:val="bottom"/>
            </w:pPr>
            <w:r>
              <w:rPr>
                <w:rFonts w:ascii="Arial" w:eastAsia="宋体" w:hAnsi="Arial" w:cs="Arial"/>
                <w:color w:val="262626"/>
                <w:sz w:val="18"/>
                <w:szCs w:val="18"/>
              </w:rPr>
              <w:t>2,230 </w:t>
            </w:r>
          </w:p>
        </w:tc>
        <w:tc>
          <w:tcPr>
            <w:tcW w:w="0" w:type="auto"/>
            <w:shd w:val="clear" w:color="auto" w:fill="auto"/>
            <w:tcMar>
              <w:top w:w="40" w:type="dxa"/>
              <w:left w:w="0" w:type="dxa"/>
              <w:bottom w:w="40" w:type="dxa"/>
              <w:right w:w="20" w:type="dxa"/>
            </w:tcMar>
            <w:vAlign w:val="bottom"/>
          </w:tcPr>
          <w:p w14:paraId="39D97D18" w14:textId="77777777" w:rsidR="00996AD7" w:rsidRDefault="00996AD7">
            <w:pPr>
              <w:jc w:val="right"/>
              <w:rPr>
                <w:rFonts w:ascii="宋体"/>
              </w:rPr>
            </w:pPr>
          </w:p>
        </w:tc>
      </w:tr>
      <w:tr w:rsidR="00996AD7" w14:paraId="39D97D27" w14:textId="77777777">
        <w:tc>
          <w:tcPr>
            <w:tcW w:w="0" w:type="auto"/>
            <w:gridSpan w:val="3"/>
            <w:shd w:val="clear" w:color="auto" w:fill="auto"/>
            <w:tcMar>
              <w:top w:w="40" w:type="dxa"/>
              <w:left w:w="305" w:type="dxa"/>
              <w:bottom w:w="40" w:type="dxa"/>
              <w:right w:w="20" w:type="dxa"/>
            </w:tcMar>
            <w:vAlign w:val="bottom"/>
          </w:tcPr>
          <w:p w14:paraId="39D97D1A" w14:textId="77777777" w:rsidR="00996AD7" w:rsidRDefault="00D96458">
            <w:pPr>
              <w:textAlignment w:val="bottom"/>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39D97D1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1C" w14:textId="77777777" w:rsidR="00996AD7" w:rsidRDefault="00D96458">
            <w:pPr>
              <w:jc w:val="right"/>
              <w:textAlignment w:val="bottom"/>
            </w:pPr>
            <w:r>
              <w:rPr>
                <w:rFonts w:ascii="Arial" w:eastAsia="宋体" w:hAnsi="Arial" w:cs="Arial"/>
                <w:color w:val="0068B5"/>
                <w:sz w:val="18"/>
                <w:szCs w:val="18"/>
              </w:rPr>
              <w:t>326 </w:t>
            </w:r>
          </w:p>
        </w:tc>
        <w:tc>
          <w:tcPr>
            <w:tcW w:w="0" w:type="auto"/>
            <w:shd w:val="clear" w:color="auto" w:fill="auto"/>
            <w:tcMar>
              <w:top w:w="40" w:type="dxa"/>
              <w:left w:w="0" w:type="dxa"/>
              <w:bottom w:w="40" w:type="dxa"/>
              <w:right w:w="20" w:type="dxa"/>
            </w:tcMar>
            <w:vAlign w:val="bottom"/>
          </w:tcPr>
          <w:p w14:paraId="39D97D1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1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1F" w14:textId="77777777" w:rsidR="00996AD7" w:rsidRDefault="00D96458">
            <w:pPr>
              <w:jc w:val="right"/>
              <w:textAlignment w:val="bottom"/>
            </w:pPr>
            <w:r>
              <w:rPr>
                <w:rFonts w:ascii="Arial" w:eastAsia="宋体" w:hAnsi="Arial" w:cs="Arial"/>
                <w:color w:val="262626"/>
                <w:sz w:val="18"/>
                <w:szCs w:val="18"/>
              </w:rPr>
              <w:t>234 </w:t>
            </w:r>
          </w:p>
        </w:tc>
        <w:tc>
          <w:tcPr>
            <w:tcW w:w="0" w:type="auto"/>
            <w:shd w:val="clear" w:color="auto" w:fill="auto"/>
            <w:tcMar>
              <w:top w:w="40" w:type="dxa"/>
              <w:left w:w="0" w:type="dxa"/>
              <w:bottom w:w="40" w:type="dxa"/>
              <w:right w:w="20" w:type="dxa"/>
            </w:tcMar>
            <w:vAlign w:val="bottom"/>
          </w:tcPr>
          <w:p w14:paraId="39D97D2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2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22" w14:textId="77777777" w:rsidR="00996AD7" w:rsidRDefault="00D96458">
            <w:pPr>
              <w:jc w:val="right"/>
              <w:textAlignment w:val="bottom"/>
            </w:pPr>
            <w:r>
              <w:rPr>
                <w:rFonts w:ascii="Arial" w:eastAsia="宋体" w:hAnsi="Arial" w:cs="Arial"/>
                <w:color w:val="0068B5"/>
                <w:sz w:val="18"/>
                <w:szCs w:val="18"/>
              </w:rPr>
              <w:t>1,030 </w:t>
            </w:r>
          </w:p>
        </w:tc>
        <w:tc>
          <w:tcPr>
            <w:tcW w:w="0" w:type="auto"/>
            <w:shd w:val="clear" w:color="auto" w:fill="auto"/>
            <w:tcMar>
              <w:top w:w="40" w:type="dxa"/>
              <w:left w:w="0" w:type="dxa"/>
              <w:bottom w:w="40" w:type="dxa"/>
              <w:right w:w="20" w:type="dxa"/>
            </w:tcMar>
            <w:vAlign w:val="bottom"/>
          </w:tcPr>
          <w:p w14:paraId="39D97D2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2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25" w14:textId="77777777" w:rsidR="00996AD7" w:rsidRDefault="00D96458">
            <w:pPr>
              <w:jc w:val="right"/>
              <w:textAlignment w:val="bottom"/>
            </w:pPr>
            <w:r>
              <w:rPr>
                <w:rFonts w:ascii="Arial" w:eastAsia="宋体" w:hAnsi="Arial" w:cs="Arial"/>
                <w:color w:val="262626"/>
                <w:sz w:val="18"/>
                <w:szCs w:val="18"/>
              </w:rPr>
              <w:t>634 </w:t>
            </w:r>
          </w:p>
        </w:tc>
        <w:tc>
          <w:tcPr>
            <w:tcW w:w="0" w:type="auto"/>
            <w:shd w:val="clear" w:color="auto" w:fill="auto"/>
            <w:tcMar>
              <w:top w:w="40" w:type="dxa"/>
              <w:left w:w="0" w:type="dxa"/>
              <w:bottom w:w="40" w:type="dxa"/>
              <w:right w:w="20" w:type="dxa"/>
            </w:tcMar>
            <w:vAlign w:val="bottom"/>
          </w:tcPr>
          <w:p w14:paraId="39D97D26" w14:textId="77777777" w:rsidR="00996AD7" w:rsidRDefault="00996AD7">
            <w:pPr>
              <w:jc w:val="right"/>
              <w:rPr>
                <w:rFonts w:ascii="宋体"/>
              </w:rPr>
            </w:pPr>
          </w:p>
        </w:tc>
      </w:tr>
      <w:tr w:rsidR="00996AD7" w14:paraId="39D97D35" w14:textId="77777777">
        <w:tc>
          <w:tcPr>
            <w:tcW w:w="0" w:type="auto"/>
            <w:gridSpan w:val="3"/>
            <w:shd w:val="clear" w:color="auto" w:fill="auto"/>
            <w:tcMar>
              <w:top w:w="0" w:type="dxa"/>
              <w:left w:w="20" w:type="dxa"/>
              <w:bottom w:w="0" w:type="dxa"/>
              <w:right w:w="20" w:type="dxa"/>
            </w:tcMar>
            <w:vAlign w:val="bottom"/>
          </w:tcPr>
          <w:p w14:paraId="39D97D2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29"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D2A" w14:textId="77777777" w:rsidR="00996AD7" w:rsidRDefault="00D96458">
            <w:pPr>
              <w:jc w:val="right"/>
              <w:textAlignment w:val="bottom"/>
            </w:pPr>
            <w:r>
              <w:rPr>
                <w:rFonts w:ascii="Arial" w:eastAsia="宋体" w:hAnsi="Arial" w:cs="Arial"/>
                <w:b/>
                <w:bCs/>
                <w:color w:val="0068B5"/>
                <w:sz w:val="18"/>
                <w:szCs w:val="18"/>
              </w:rPr>
              <w:t>1,368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D2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2C"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D2D" w14:textId="77777777" w:rsidR="00996AD7" w:rsidRDefault="00D96458">
            <w:pPr>
              <w:jc w:val="right"/>
              <w:textAlignment w:val="bottom"/>
            </w:pPr>
            <w:r>
              <w:rPr>
                <w:rFonts w:ascii="Arial" w:eastAsia="宋体" w:hAnsi="Arial" w:cs="Arial"/>
                <w:b/>
                <w:bCs/>
                <w:color w:val="262626"/>
                <w:sz w:val="18"/>
                <w:szCs w:val="18"/>
              </w:rPr>
              <w:t>911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D2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2F"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D30" w14:textId="77777777" w:rsidR="00996AD7" w:rsidRDefault="00D96458">
            <w:pPr>
              <w:jc w:val="right"/>
              <w:textAlignment w:val="bottom"/>
            </w:pPr>
            <w:r>
              <w:rPr>
                <w:rFonts w:ascii="Arial" w:eastAsia="宋体" w:hAnsi="Arial" w:cs="Arial"/>
                <w:b/>
                <w:bCs/>
                <w:color w:val="0068B5"/>
                <w:sz w:val="18"/>
                <w:szCs w:val="18"/>
              </w:rPr>
              <w:t>3,970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D3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32"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D33" w14:textId="77777777" w:rsidR="00996AD7" w:rsidRDefault="00D96458">
            <w:pPr>
              <w:jc w:val="right"/>
              <w:textAlignment w:val="bottom"/>
            </w:pPr>
            <w:r>
              <w:rPr>
                <w:rFonts w:ascii="Arial" w:eastAsia="宋体" w:hAnsi="Arial" w:cs="Arial"/>
                <w:b/>
                <w:bCs/>
                <w:color w:val="262626"/>
                <w:sz w:val="18"/>
                <w:szCs w:val="18"/>
              </w:rPr>
              <w:t>2,864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D34" w14:textId="77777777" w:rsidR="00996AD7" w:rsidRDefault="00996AD7">
            <w:pPr>
              <w:jc w:val="right"/>
              <w:rPr>
                <w:rFonts w:ascii="宋体"/>
              </w:rPr>
            </w:pPr>
          </w:p>
        </w:tc>
      </w:tr>
      <w:tr w:rsidR="00996AD7" w14:paraId="39D97D3F" w14:textId="77777777">
        <w:trPr>
          <w:hidden/>
        </w:trPr>
        <w:tc>
          <w:tcPr>
            <w:tcW w:w="0" w:type="auto"/>
            <w:gridSpan w:val="3"/>
            <w:shd w:val="clear" w:color="auto" w:fill="auto"/>
            <w:vAlign w:val="bottom"/>
          </w:tcPr>
          <w:p w14:paraId="39D97D36" w14:textId="77777777" w:rsidR="00996AD7" w:rsidRDefault="00996AD7">
            <w:pPr>
              <w:rPr>
                <w:rFonts w:ascii="宋体"/>
                <w:vanish/>
              </w:rPr>
            </w:pPr>
          </w:p>
        </w:tc>
        <w:tc>
          <w:tcPr>
            <w:tcW w:w="0" w:type="auto"/>
            <w:gridSpan w:val="3"/>
            <w:shd w:val="clear" w:color="auto" w:fill="auto"/>
            <w:vAlign w:val="bottom"/>
          </w:tcPr>
          <w:p w14:paraId="39D97D37" w14:textId="77777777" w:rsidR="00996AD7" w:rsidRDefault="00996AD7">
            <w:pPr>
              <w:rPr>
                <w:rFonts w:ascii="宋体"/>
                <w:vanish/>
              </w:rPr>
            </w:pPr>
          </w:p>
        </w:tc>
        <w:tc>
          <w:tcPr>
            <w:tcW w:w="0" w:type="auto"/>
            <w:gridSpan w:val="3"/>
            <w:shd w:val="clear" w:color="auto" w:fill="auto"/>
            <w:vAlign w:val="bottom"/>
          </w:tcPr>
          <w:p w14:paraId="39D97D38" w14:textId="77777777" w:rsidR="00996AD7" w:rsidRDefault="00996AD7">
            <w:pPr>
              <w:rPr>
                <w:rFonts w:ascii="宋体"/>
                <w:vanish/>
              </w:rPr>
            </w:pPr>
          </w:p>
        </w:tc>
        <w:tc>
          <w:tcPr>
            <w:tcW w:w="0" w:type="auto"/>
            <w:gridSpan w:val="3"/>
            <w:shd w:val="clear" w:color="auto" w:fill="auto"/>
            <w:vAlign w:val="bottom"/>
          </w:tcPr>
          <w:p w14:paraId="39D97D39" w14:textId="77777777" w:rsidR="00996AD7" w:rsidRDefault="00996AD7">
            <w:pPr>
              <w:rPr>
                <w:rFonts w:ascii="宋体"/>
                <w:vanish/>
              </w:rPr>
            </w:pPr>
          </w:p>
        </w:tc>
        <w:tc>
          <w:tcPr>
            <w:tcW w:w="0" w:type="auto"/>
            <w:gridSpan w:val="3"/>
            <w:shd w:val="clear" w:color="auto" w:fill="auto"/>
            <w:vAlign w:val="bottom"/>
          </w:tcPr>
          <w:p w14:paraId="39D97D3A" w14:textId="77777777" w:rsidR="00996AD7" w:rsidRDefault="00996AD7">
            <w:pPr>
              <w:rPr>
                <w:rFonts w:ascii="宋体"/>
                <w:vanish/>
              </w:rPr>
            </w:pPr>
          </w:p>
        </w:tc>
        <w:tc>
          <w:tcPr>
            <w:tcW w:w="0" w:type="auto"/>
            <w:gridSpan w:val="3"/>
            <w:shd w:val="clear" w:color="auto" w:fill="auto"/>
            <w:vAlign w:val="bottom"/>
          </w:tcPr>
          <w:p w14:paraId="39D97D3B" w14:textId="77777777" w:rsidR="00996AD7" w:rsidRDefault="00996AD7">
            <w:pPr>
              <w:rPr>
                <w:rFonts w:ascii="宋体"/>
                <w:vanish/>
              </w:rPr>
            </w:pPr>
          </w:p>
        </w:tc>
        <w:tc>
          <w:tcPr>
            <w:tcW w:w="0" w:type="auto"/>
            <w:gridSpan w:val="3"/>
            <w:shd w:val="clear" w:color="auto" w:fill="auto"/>
            <w:vAlign w:val="bottom"/>
          </w:tcPr>
          <w:p w14:paraId="39D97D3C" w14:textId="77777777" w:rsidR="00996AD7" w:rsidRDefault="00996AD7">
            <w:pPr>
              <w:rPr>
                <w:rFonts w:ascii="宋体"/>
                <w:vanish/>
              </w:rPr>
            </w:pPr>
          </w:p>
        </w:tc>
        <w:tc>
          <w:tcPr>
            <w:tcW w:w="0" w:type="auto"/>
            <w:gridSpan w:val="3"/>
            <w:shd w:val="clear" w:color="auto" w:fill="auto"/>
            <w:vAlign w:val="bottom"/>
          </w:tcPr>
          <w:p w14:paraId="39D97D3D" w14:textId="77777777" w:rsidR="00996AD7" w:rsidRDefault="00996AD7">
            <w:pPr>
              <w:rPr>
                <w:rFonts w:ascii="宋体"/>
                <w:vanish/>
              </w:rPr>
            </w:pPr>
          </w:p>
        </w:tc>
        <w:tc>
          <w:tcPr>
            <w:tcW w:w="0" w:type="auto"/>
            <w:gridSpan w:val="3"/>
            <w:shd w:val="clear" w:color="auto" w:fill="auto"/>
            <w:vAlign w:val="bottom"/>
          </w:tcPr>
          <w:p w14:paraId="39D97D3E" w14:textId="77777777" w:rsidR="00996AD7" w:rsidRDefault="00996AD7">
            <w:pPr>
              <w:rPr>
                <w:rFonts w:ascii="宋体"/>
                <w:vanish/>
              </w:rPr>
            </w:pPr>
          </w:p>
        </w:tc>
      </w:tr>
      <w:tr w:rsidR="00996AD7" w14:paraId="39D97D49" w14:textId="77777777">
        <w:trPr>
          <w:hidden/>
        </w:trPr>
        <w:tc>
          <w:tcPr>
            <w:tcW w:w="0" w:type="auto"/>
            <w:gridSpan w:val="3"/>
            <w:shd w:val="clear" w:color="auto" w:fill="auto"/>
            <w:vAlign w:val="bottom"/>
          </w:tcPr>
          <w:p w14:paraId="39D97D40" w14:textId="77777777" w:rsidR="00996AD7" w:rsidRDefault="00996AD7">
            <w:pPr>
              <w:rPr>
                <w:rFonts w:ascii="宋体"/>
                <w:vanish/>
              </w:rPr>
            </w:pPr>
          </w:p>
        </w:tc>
        <w:tc>
          <w:tcPr>
            <w:tcW w:w="0" w:type="auto"/>
            <w:gridSpan w:val="3"/>
            <w:shd w:val="clear" w:color="auto" w:fill="auto"/>
            <w:vAlign w:val="bottom"/>
          </w:tcPr>
          <w:p w14:paraId="39D97D41" w14:textId="77777777" w:rsidR="00996AD7" w:rsidRDefault="00996AD7">
            <w:pPr>
              <w:rPr>
                <w:rFonts w:ascii="宋体"/>
                <w:vanish/>
              </w:rPr>
            </w:pPr>
          </w:p>
        </w:tc>
        <w:tc>
          <w:tcPr>
            <w:tcW w:w="0" w:type="auto"/>
            <w:gridSpan w:val="3"/>
            <w:shd w:val="clear" w:color="auto" w:fill="auto"/>
            <w:vAlign w:val="bottom"/>
          </w:tcPr>
          <w:p w14:paraId="39D97D42" w14:textId="77777777" w:rsidR="00996AD7" w:rsidRDefault="00996AD7">
            <w:pPr>
              <w:rPr>
                <w:rFonts w:ascii="宋体"/>
                <w:vanish/>
              </w:rPr>
            </w:pPr>
          </w:p>
        </w:tc>
        <w:tc>
          <w:tcPr>
            <w:tcW w:w="0" w:type="auto"/>
            <w:gridSpan w:val="3"/>
            <w:shd w:val="clear" w:color="auto" w:fill="auto"/>
            <w:vAlign w:val="bottom"/>
          </w:tcPr>
          <w:p w14:paraId="39D97D43" w14:textId="77777777" w:rsidR="00996AD7" w:rsidRDefault="00996AD7">
            <w:pPr>
              <w:rPr>
                <w:rFonts w:ascii="宋体"/>
                <w:vanish/>
              </w:rPr>
            </w:pPr>
          </w:p>
        </w:tc>
        <w:tc>
          <w:tcPr>
            <w:tcW w:w="0" w:type="auto"/>
            <w:gridSpan w:val="3"/>
            <w:shd w:val="clear" w:color="auto" w:fill="auto"/>
            <w:vAlign w:val="bottom"/>
          </w:tcPr>
          <w:p w14:paraId="39D97D44" w14:textId="77777777" w:rsidR="00996AD7" w:rsidRDefault="00996AD7">
            <w:pPr>
              <w:rPr>
                <w:rFonts w:ascii="宋体"/>
                <w:vanish/>
              </w:rPr>
            </w:pPr>
          </w:p>
        </w:tc>
        <w:tc>
          <w:tcPr>
            <w:tcW w:w="0" w:type="auto"/>
            <w:gridSpan w:val="3"/>
            <w:shd w:val="clear" w:color="auto" w:fill="auto"/>
            <w:vAlign w:val="bottom"/>
          </w:tcPr>
          <w:p w14:paraId="39D97D45" w14:textId="77777777" w:rsidR="00996AD7" w:rsidRDefault="00996AD7">
            <w:pPr>
              <w:rPr>
                <w:rFonts w:ascii="宋体"/>
                <w:vanish/>
              </w:rPr>
            </w:pPr>
          </w:p>
        </w:tc>
        <w:tc>
          <w:tcPr>
            <w:tcW w:w="0" w:type="auto"/>
            <w:gridSpan w:val="3"/>
            <w:shd w:val="clear" w:color="auto" w:fill="auto"/>
            <w:vAlign w:val="bottom"/>
          </w:tcPr>
          <w:p w14:paraId="39D97D46" w14:textId="77777777" w:rsidR="00996AD7" w:rsidRDefault="00996AD7">
            <w:pPr>
              <w:rPr>
                <w:rFonts w:ascii="宋体"/>
                <w:vanish/>
              </w:rPr>
            </w:pPr>
          </w:p>
        </w:tc>
        <w:tc>
          <w:tcPr>
            <w:tcW w:w="0" w:type="auto"/>
            <w:gridSpan w:val="3"/>
            <w:shd w:val="clear" w:color="auto" w:fill="auto"/>
            <w:vAlign w:val="bottom"/>
          </w:tcPr>
          <w:p w14:paraId="39D97D47" w14:textId="77777777" w:rsidR="00996AD7" w:rsidRDefault="00996AD7">
            <w:pPr>
              <w:rPr>
                <w:rFonts w:ascii="宋体"/>
                <w:vanish/>
              </w:rPr>
            </w:pPr>
          </w:p>
        </w:tc>
        <w:tc>
          <w:tcPr>
            <w:tcW w:w="0" w:type="auto"/>
            <w:gridSpan w:val="3"/>
            <w:shd w:val="clear" w:color="auto" w:fill="auto"/>
            <w:vAlign w:val="bottom"/>
          </w:tcPr>
          <w:p w14:paraId="39D97D48" w14:textId="77777777" w:rsidR="00996AD7" w:rsidRDefault="00996AD7">
            <w:pPr>
              <w:rPr>
                <w:rFonts w:ascii="宋体"/>
                <w:vanish/>
              </w:rPr>
            </w:pPr>
          </w:p>
        </w:tc>
      </w:tr>
      <w:tr w:rsidR="00996AD7" w14:paraId="39D97D53" w14:textId="77777777">
        <w:trPr>
          <w:trHeight w:val="280"/>
        </w:trPr>
        <w:tc>
          <w:tcPr>
            <w:tcW w:w="0" w:type="auto"/>
            <w:gridSpan w:val="3"/>
            <w:shd w:val="clear" w:color="auto" w:fill="auto"/>
            <w:tcMar>
              <w:top w:w="0" w:type="dxa"/>
              <w:left w:w="20" w:type="dxa"/>
              <w:bottom w:w="0" w:type="dxa"/>
              <w:right w:w="20" w:type="dxa"/>
            </w:tcMar>
            <w:vAlign w:val="bottom"/>
          </w:tcPr>
          <w:p w14:paraId="39D97D4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4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4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4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4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4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5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5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52" w14:textId="77777777" w:rsidR="00996AD7" w:rsidRDefault="00996AD7">
            <w:pPr>
              <w:rPr>
                <w:rFonts w:ascii="宋体"/>
              </w:rPr>
            </w:pPr>
          </w:p>
        </w:tc>
      </w:tr>
      <w:tr w:rsidR="00996AD7" w14:paraId="39D97D61" w14:textId="77777777">
        <w:tc>
          <w:tcPr>
            <w:tcW w:w="0" w:type="auto"/>
            <w:gridSpan w:val="3"/>
            <w:shd w:val="clear" w:color="auto" w:fill="auto"/>
            <w:tcMar>
              <w:top w:w="40" w:type="dxa"/>
              <w:left w:w="215" w:type="dxa"/>
              <w:bottom w:w="40" w:type="dxa"/>
              <w:right w:w="20" w:type="dxa"/>
            </w:tcMar>
            <w:vAlign w:val="bottom"/>
          </w:tcPr>
          <w:p w14:paraId="39D97D54" w14:textId="77777777" w:rsidR="00996AD7" w:rsidRDefault="00D96458">
            <w:pPr>
              <w:textAlignment w:val="bottom"/>
            </w:pPr>
            <w:r>
              <w:rPr>
                <w:rFonts w:ascii="Arial" w:eastAsia="宋体" w:hAnsi="Arial" w:cs="Arial"/>
                <w:b/>
                <w:bCs/>
                <w:color w:val="262626"/>
                <w:sz w:val="18"/>
                <w:szCs w:val="18"/>
              </w:rPr>
              <w:t>Non-Volatile Memory Solutions Group</w:t>
            </w:r>
          </w:p>
        </w:tc>
        <w:tc>
          <w:tcPr>
            <w:tcW w:w="0" w:type="auto"/>
            <w:gridSpan w:val="3"/>
            <w:shd w:val="clear" w:color="auto" w:fill="auto"/>
            <w:tcMar>
              <w:top w:w="0" w:type="dxa"/>
              <w:left w:w="20" w:type="dxa"/>
              <w:bottom w:w="0" w:type="dxa"/>
              <w:right w:w="20" w:type="dxa"/>
            </w:tcMar>
            <w:vAlign w:val="bottom"/>
          </w:tcPr>
          <w:p w14:paraId="39D97D5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56" w14:textId="77777777" w:rsidR="00996AD7" w:rsidRDefault="00D96458">
            <w:pPr>
              <w:jc w:val="right"/>
              <w:textAlignment w:val="bottom"/>
            </w:pPr>
            <w:r>
              <w:rPr>
                <w:rFonts w:ascii="Arial" w:eastAsia="宋体" w:hAnsi="Arial" w:cs="Arial"/>
                <w:b/>
                <w:bCs/>
                <w:color w:val="0068B5"/>
                <w:sz w:val="18"/>
                <w:szCs w:val="18"/>
              </w:rPr>
              <w:t>1,105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D5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5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59" w14:textId="77777777" w:rsidR="00996AD7" w:rsidRDefault="00D96458">
            <w:pPr>
              <w:jc w:val="right"/>
              <w:textAlignment w:val="bottom"/>
            </w:pPr>
            <w:r>
              <w:rPr>
                <w:rFonts w:ascii="Arial" w:eastAsia="宋体" w:hAnsi="Arial" w:cs="Arial"/>
                <w:b/>
                <w:bCs/>
                <w:color w:val="262626"/>
                <w:sz w:val="18"/>
                <w:szCs w:val="18"/>
              </w:rPr>
              <w:t>1,153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D5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5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5C" w14:textId="77777777" w:rsidR="00996AD7" w:rsidRDefault="00D96458">
            <w:pPr>
              <w:jc w:val="right"/>
              <w:textAlignment w:val="bottom"/>
            </w:pPr>
            <w:r>
              <w:rPr>
                <w:rFonts w:ascii="Arial" w:eastAsia="宋体" w:hAnsi="Arial" w:cs="Arial"/>
                <w:b/>
                <w:bCs/>
                <w:color w:val="0068B5"/>
                <w:sz w:val="18"/>
                <w:szCs w:val="18"/>
              </w:rPr>
              <w:t>3,310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D5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5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5F" w14:textId="77777777" w:rsidR="00996AD7" w:rsidRDefault="00D96458">
            <w:pPr>
              <w:jc w:val="right"/>
              <w:textAlignment w:val="bottom"/>
            </w:pPr>
            <w:r>
              <w:rPr>
                <w:rFonts w:ascii="Arial" w:eastAsia="宋体" w:hAnsi="Arial" w:cs="Arial"/>
                <w:b/>
                <w:bCs/>
                <w:color w:val="262626"/>
                <w:sz w:val="18"/>
                <w:szCs w:val="18"/>
              </w:rPr>
              <w:t>4,150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D60" w14:textId="77777777" w:rsidR="00996AD7" w:rsidRDefault="00996AD7">
            <w:pPr>
              <w:jc w:val="right"/>
              <w:rPr>
                <w:rFonts w:ascii="宋体"/>
              </w:rPr>
            </w:pPr>
          </w:p>
        </w:tc>
      </w:tr>
      <w:tr w:rsidR="00996AD7" w14:paraId="39D97D6F" w14:textId="77777777">
        <w:tc>
          <w:tcPr>
            <w:tcW w:w="0" w:type="auto"/>
            <w:gridSpan w:val="3"/>
            <w:shd w:val="clear" w:color="auto" w:fill="auto"/>
            <w:tcMar>
              <w:top w:w="40" w:type="dxa"/>
              <w:left w:w="215" w:type="dxa"/>
              <w:bottom w:w="40" w:type="dxa"/>
              <w:right w:w="20" w:type="dxa"/>
            </w:tcMar>
            <w:vAlign w:val="bottom"/>
          </w:tcPr>
          <w:p w14:paraId="39D97D62" w14:textId="77777777" w:rsidR="00996AD7" w:rsidRDefault="00D96458">
            <w:pPr>
              <w:textAlignment w:val="bottom"/>
            </w:pPr>
            <w:r>
              <w:rPr>
                <w:rFonts w:ascii="Arial" w:eastAsia="宋体" w:hAnsi="Arial" w:cs="Arial"/>
                <w:b/>
                <w:bCs/>
                <w:color w:val="262626"/>
                <w:sz w:val="18"/>
                <w:szCs w:val="18"/>
              </w:rPr>
              <w:t>Programmable Solutions Group</w:t>
            </w:r>
          </w:p>
        </w:tc>
        <w:tc>
          <w:tcPr>
            <w:tcW w:w="0" w:type="auto"/>
            <w:gridSpan w:val="3"/>
            <w:shd w:val="clear" w:color="auto" w:fill="auto"/>
            <w:tcMar>
              <w:top w:w="0" w:type="dxa"/>
              <w:left w:w="20" w:type="dxa"/>
              <w:bottom w:w="0" w:type="dxa"/>
              <w:right w:w="20" w:type="dxa"/>
            </w:tcMar>
            <w:vAlign w:val="bottom"/>
          </w:tcPr>
          <w:p w14:paraId="39D97D6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64" w14:textId="77777777" w:rsidR="00996AD7" w:rsidRDefault="00D96458">
            <w:pPr>
              <w:jc w:val="right"/>
              <w:textAlignment w:val="bottom"/>
            </w:pPr>
            <w:r>
              <w:rPr>
                <w:rFonts w:ascii="Arial" w:eastAsia="宋体" w:hAnsi="Arial" w:cs="Arial"/>
                <w:b/>
                <w:bCs/>
                <w:color w:val="0068B5"/>
                <w:sz w:val="18"/>
                <w:szCs w:val="18"/>
              </w:rPr>
              <w:t>478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D6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6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67" w14:textId="77777777" w:rsidR="00996AD7" w:rsidRDefault="00D96458">
            <w:pPr>
              <w:jc w:val="right"/>
              <w:textAlignment w:val="bottom"/>
            </w:pPr>
            <w:r>
              <w:rPr>
                <w:rFonts w:ascii="Arial" w:eastAsia="宋体" w:hAnsi="Arial" w:cs="Arial"/>
                <w:b/>
                <w:bCs/>
                <w:color w:val="262626"/>
                <w:sz w:val="18"/>
                <w:szCs w:val="18"/>
              </w:rPr>
              <w:t>411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D6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6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6A" w14:textId="77777777" w:rsidR="00996AD7" w:rsidRDefault="00D96458">
            <w:pPr>
              <w:jc w:val="right"/>
              <w:textAlignment w:val="bottom"/>
            </w:pPr>
            <w:r>
              <w:rPr>
                <w:rFonts w:ascii="Arial" w:eastAsia="宋体" w:hAnsi="Arial" w:cs="Arial"/>
                <w:b/>
                <w:bCs/>
                <w:color w:val="0068B5"/>
                <w:sz w:val="18"/>
                <w:szCs w:val="18"/>
              </w:rPr>
              <w:t>1,450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D6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6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6D" w14:textId="77777777" w:rsidR="00996AD7" w:rsidRDefault="00D96458">
            <w:pPr>
              <w:jc w:val="right"/>
              <w:textAlignment w:val="bottom"/>
            </w:pPr>
            <w:r>
              <w:rPr>
                <w:rFonts w:ascii="Arial" w:eastAsia="宋体" w:hAnsi="Arial" w:cs="Arial"/>
                <w:b/>
                <w:bCs/>
                <w:color w:val="262626"/>
                <w:sz w:val="18"/>
                <w:szCs w:val="18"/>
              </w:rPr>
              <w:t>1,431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D6E" w14:textId="77777777" w:rsidR="00996AD7" w:rsidRDefault="00996AD7">
            <w:pPr>
              <w:jc w:val="right"/>
              <w:rPr>
                <w:rFonts w:ascii="宋体"/>
              </w:rPr>
            </w:pPr>
          </w:p>
        </w:tc>
      </w:tr>
      <w:tr w:rsidR="00996AD7" w14:paraId="39D97D79" w14:textId="77777777">
        <w:trPr>
          <w:hidden/>
        </w:trPr>
        <w:tc>
          <w:tcPr>
            <w:tcW w:w="0" w:type="auto"/>
            <w:gridSpan w:val="3"/>
            <w:shd w:val="clear" w:color="auto" w:fill="auto"/>
            <w:vAlign w:val="bottom"/>
          </w:tcPr>
          <w:p w14:paraId="39D97D70" w14:textId="77777777" w:rsidR="00996AD7" w:rsidRDefault="00996AD7">
            <w:pPr>
              <w:rPr>
                <w:rFonts w:ascii="宋体"/>
                <w:vanish/>
              </w:rPr>
            </w:pPr>
          </w:p>
        </w:tc>
        <w:tc>
          <w:tcPr>
            <w:tcW w:w="0" w:type="auto"/>
            <w:gridSpan w:val="3"/>
            <w:shd w:val="clear" w:color="auto" w:fill="auto"/>
            <w:vAlign w:val="bottom"/>
          </w:tcPr>
          <w:p w14:paraId="39D97D71" w14:textId="77777777" w:rsidR="00996AD7" w:rsidRDefault="00996AD7">
            <w:pPr>
              <w:rPr>
                <w:rFonts w:ascii="宋体"/>
                <w:vanish/>
              </w:rPr>
            </w:pPr>
          </w:p>
        </w:tc>
        <w:tc>
          <w:tcPr>
            <w:tcW w:w="0" w:type="auto"/>
            <w:gridSpan w:val="3"/>
            <w:shd w:val="clear" w:color="auto" w:fill="auto"/>
            <w:vAlign w:val="bottom"/>
          </w:tcPr>
          <w:p w14:paraId="39D97D72" w14:textId="77777777" w:rsidR="00996AD7" w:rsidRDefault="00996AD7">
            <w:pPr>
              <w:rPr>
                <w:rFonts w:ascii="宋体"/>
                <w:vanish/>
              </w:rPr>
            </w:pPr>
          </w:p>
        </w:tc>
        <w:tc>
          <w:tcPr>
            <w:tcW w:w="0" w:type="auto"/>
            <w:gridSpan w:val="3"/>
            <w:shd w:val="clear" w:color="auto" w:fill="auto"/>
            <w:vAlign w:val="bottom"/>
          </w:tcPr>
          <w:p w14:paraId="39D97D73" w14:textId="77777777" w:rsidR="00996AD7" w:rsidRDefault="00996AD7">
            <w:pPr>
              <w:rPr>
                <w:rFonts w:ascii="宋体"/>
                <w:vanish/>
              </w:rPr>
            </w:pPr>
          </w:p>
        </w:tc>
        <w:tc>
          <w:tcPr>
            <w:tcW w:w="0" w:type="auto"/>
            <w:gridSpan w:val="3"/>
            <w:shd w:val="clear" w:color="auto" w:fill="auto"/>
            <w:vAlign w:val="bottom"/>
          </w:tcPr>
          <w:p w14:paraId="39D97D74" w14:textId="77777777" w:rsidR="00996AD7" w:rsidRDefault="00996AD7">
            <w:pPr>
              <w:rPr>
                <w:rFonts w:ascii="宋体"/>
                <w:vanish/>
              </w:rPr>
            </w:pPr>
          </w:p>
        </w:tc>
        <w:tc>
          <w:tcPr>
            <w:tcW w:w="0" w:type="auto"/>
            <w:gridSpan w:val="3"/>
            <w:shd w:val="clear" w:color="auto" w:fill="auto"/>
            <w:vAlign w:val="bottom"/>
          </w:tcPr>
          <w:p w14:paraId="39D97D75" w14:textId="77777777" w:rsidR="00996AD7" w:rsidRDefault="00996AD7">
            <w:pPr>
              <w:rPr>
                <w:rFonts w:ascii="宋体"/>
                <w:vanish/>
              </w:rPr>
            </w:pPr>
          </w:p>
        </w:tc>
        <w:tc>
          <w:tcPr>
            <w:tcW w:w="0" w:type="auto"/>
            <w:gridSpan w:val="3"/>
            <w:shd w:val="clear" w:color="auto" w:fill="auto"/>
            <w:vAlign w:val="bottom"/>
          </w:tcPr>
          <w:p w14:paraId="39D97D76" w14:textId="77777777" w:rsidR="00996AD7" w:rsidRDefault="00996AD7">
            <w:pPr>
              <w:rPr>
                <w:rFonts w:ascii="宋体"/>
                <w:vanish/>
              </w:rPr>
            </w:pPr>
          </w:p>
        </w:tc>
        <w:tc>
          <w:tcPr>
            <w:tcW w:w="0" w:type="auto"/>
            <w:gridSpan w:val="3"/>
            <w:shd w:val="clear" w:color="auto" w:fill="auto"/>
            <w:vAlign w:val="bottom"/>
          </w:tcPr>
          <w:p w14:paraId="39D97D77" w14:textId="77777777" w:rsidR="00996AD7" w:rsidRDefault="00996AD7">
            <w:pPr>
              <w:rPr>
                <w:rFonts w:ascii="宋体"/>
                <w:vanish/>
              </w:rPr>
            </w:pPr>
          </w:p>
        </w:tc>
        <w:tc>
          <w:tcPr>
            <w:tcW w:w="0" w:type="auto"/>
            <w:gridSpan w:val="3"/>
            <w:shd w:val="clear" w:color="auto" w:fill="auto"/>
            <w:vAlign w:val="bottom"/>
          </w:tcPr>
          <w:p w14:paraId="39D97D78" w14:textId="77777777" w:rsidR="00996AD7" w:rsidRDefault="00996AD7">
            <w:pPr>
              <w:rPr>
                <w:rFonts w:ascii="宋体"/>
                <w:vanish/>
              </w:rPr>
            </w:pPr>
          </w:p>
        </w:tc>
      </w:tr>
      <w:tr w:rsidR="00996AD7" w14:paraId="39D97D87" w14:textId="77777777">
        <w:tc>
          <w:tcPr>
            <w:tcW w:w="0" w:type="auto"/>
            <w:gridSpan w:val="3"/>
            <w:shd w:val="clear" w:color="auto" w:fill="auto"/>
            <w:tcMar>
              <w:top w:w="40" w:type="dxa"/>
              <w:left w:w="215" w:type="dxa"/>
              <w:bottom w:w="40" w:type="dxa"/>
              <w:right w:w="20" w:type="dxa"/>
            </w:tcMar>
            <w:vAlign w:val="bottom"/>
          </w:tcPr>
          <w:p w14:paraId="39D97D7A" w14:textId="77777777" w:rsidR="00996AD7" w:rsidRDefault="00D96458">
            <w:pPr>
              <w:textAlignment w:val="bottom"/>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39D97D7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7C" w14:textId="77777777" w:rsidR="00996AD7" w:rsidRDefault="00D96458">
            <w:pPr>
              <w:jc w:val="right"/>
              <w:textAlignment w:val="bottom"/>
            </w:pPr>
            <w:r>
              <w:rPr>
                <w:rFonts w:ascii="Arial" w:eastAsia="宋体" w:hAnsi="Arial" w:cs="Arial"/>
                <w:b/>
                <w:bCs/>
                <w:color w:val="0068B5"/>
                <w:sz w:val="18"/>
                <w:szCs w:val="18"/>
              </w:rPr>
              <w:t>81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D7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7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7F" w14:textId="77777777" w:rsidR="00996AD7" w:rsidRDefault="00D96458">
            <w:pPr>
              <w:jc w:val="right"/>
              <w:textAlignment w:val="bottom"/>
            </w:pPr>
            <w:r>
              <w:rPr>
                <w:rFonts w:ascii="Arial" w:eastAsia="宋体" w:hAnsi="Arial" w:cs="Arial"/>
                <w:b/>
                <w:bCs/>
                <w:color w:val="262626"/>
                <w:sz w:val="18"/>
                <w:szCs w:val="18"/>
              </w:rPr>
              <w:t>106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D8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8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82" w14:textId="77777777" w:rsidR="00996AD7" w:rsidRDefault="00D96458">
            <w:pPr>
              <w:jc w:val="right"/>
              <w:textAlignment w:val="bottom"/>
            </w:pPr>
            <w:r>
              <w:rPr>
                <w:rFonts w:ascii="Arial" w:eastAsia="宋体" w:hAnsi="Arial" w:cs="Arial"/>
                <w:b/>
                <w:bCs/>
                <w:color w:val="0068B5"/>
                <w:sz w:val="18"/>
                <w:szCs w:val="18"/>
              </w:rPr>
              <w:t>873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D8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8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85" w14:textId="77777777" w:rsidR="00996AD7" w:rsidRDefault="00D96458">
            <w:pPr>
              <w:jc w:val="right"/>
              <w:textAlignment w:val="bottom"/>
            </w:pPr>
            <w:r>
              <w:rPr>
                <w:rFonts w:ascii="Arial" w:eastAsia="宋体" w:hAnsi="Arial" w:cs="Arial"/>
                <w:b/>
                <w:bCs/>
                <w:color w:val="262626"/>
                <w:sz w:val="18"/>
                <w:szCs w:val="18"/>
              </w:rPr>
              <w:t>311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D86" w14:textId="77777777" w:rsidR="00996AD7" w:rsidRDefault="00996AD7">
            <w:pPr>
              <w:jc w:val="right"/>
              <w:rPr>
                <w:rFonts w:ascii="宋体"/>
              </w:rPr>
            </w:pPr>
          </w:p>
        </w:tc>
      </w:tr>
      <w:tr w:rsidR="00996AD7" w14:paraId="39D97D99" w14:textId="77777777">
        <w:tc>
          <w:tcPr>
            <w:tcW w:w="0" w:type="auto"/>
            <w:gridSpan w:val="3"/>
            <w:shd w:val="clear" w:color="auto" w:fill="auto"/>
            <w:tcMar>
              <w:top w:w="40" w:type="dxa"/>
              <w:left w:w="20" w:type="dxa"/>
              <w:bottom w:w="40" w:type="dxa"/>
              <w:right w:w="20" w:type="dxa"/>
            </w:tcMar>
            <w:vAlign w:val="bottom"/>
          </w:tcPr>
          <w:p w14:paraId="39D97D88" w14:textId="77777777" w:rsidR="00996AD7" w:rsidRDefault="00D96458">
            <w:pPr>
              <w:textAlignment w:val="bottom"/>
            </w:pPr>
            <w:r>
              <w:rPr>
                <w:rFonts w:ascii="Arial" w:eastAsia="宋体" w:hAnsi="Arial" w:cs="Arial"/>
                <w:b/>
                <w:bCs/>
                <w:color w:val="262626"/>
                <w:sz w:val="18"/>
                <w:szCs w:val="18"/>
              </w:rPr>
              <w:t>Total net revenue</w:t>
            </w:r>
          </w:p>
        </w:tc>
        <w:tc>
          <w:tcPr>
            <w:tcW w:w="0" w:type="auto"/>
            <w:gridSpan w:val="3"/>
            <w:shd w:val="clear" w:color="auto" w:fill="auto"/>
            <w:tcMar>
              <w:top w:w="0" w:type="dxa"/>
              <w:left w:w="20" w:type="dxa"/>
              <w:bottom w:w="0" w:type="dxa"/>
              <w:right w:w="20" w:type="dxa"/>
            </w:tcMar>
            <w:vAlign w:val="bottom"/>
          </w:tcPr>
          <w:p w14:paraId="39D97D89"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D8A"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D8B" w14:textId="77777777" w:rsidR="00996AD7" w:rsidRDefault="00D96458">
            <w:pPr>
              <w:jc w:val="right"/>
              <w:textAlignment w:val="bottom"/>
            </w:pPr>
            <w:r>
              <w:rPr>
                <w:rFonts w:ascii="Arial" w:eastAsia="宋体" w:hAnsi="Arial" w:cs="Arial"/>
                <w:b/>
                <w:bCs/>
                <w:color w:val="0068B5"/>
                <w:sz w:val="18"/>
                <w:szCs w:val="18"/>
              </w:rPr>
              <w:t>19,192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D8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8D"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D8E"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D8F" w14:textId="77777777" w:rsidR="00996AD7" w:rsidRDefault="00D96458">
            <w:pPr>
              <w:jc w:val="right"/>
              <w:textAlignment w:val="bottom"/>
            </w:pPr>
            <w:r>
              <w:rPr>
                <w:rFonts w:ascii="Arial" w:eastAsia="宋体" w:hAnsi="Arial" w:cs="Arial"/>
                <w:b/>
                <w:bCs/>
                <w:color w:val="262626"/>
                <w:sz w:val="18"/>
                <w:szCs w:val="18"/>
              </w:rPr>
              <w:t>18,333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D9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91"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D92"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D93" w14:textId="77777777" w:rsidR="00996AD7" w:rsidRDefault="00D96458">
            <w:pPr>
              <w:jc w:val="right"/>
              <w:textAlignment w:val="bottom"/>
            </w:pPr>
            <w:r>
              <w:rPr>
                <w:rFonts w:ascii="Arial" w:eastAsia="宋体" w:hAnsi="Arial" w:cs="Arial"/>
                <w:b/>
                <w:bCs/>
                <w:color w:val="0068B5"/>
                <w:sz w:val="18"/>
                <w:szCs w:val="18"/>
              </w:rPr>
              <w:t>58,496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D9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95"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7D96"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7D97" w14:textId="77777777" w:rsidR="00996AD7" w:rsidRDefault="00D96458">
            <w:pPr>
              <w:jc w:val="right"/>
              <w:textAlignment w:val="bottom"/>
            </w:pPr>
            <w:r>
              <w:rPr>
                <w:rFonts w:ascii="Arial" w:eastAsia="宋体" w:hAnsi="Arial" w:cs="Arial"/>
                <w:b/>
                <w:bCs/>
                <w:color w:val="262626"/>
                <w:sz w:val="18"/>
                <w:szCs w:val="18"/>
              </w:rPr>
              <w:t>57,889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D98" w14:textId="77777777" w:rsidR="00996AD7" w:rsidRDefault="00996AD7">
            <w:pPr>
              <w:jc w:val="right"/>
              <w:rPr>
                <w:rFonts w:ascii="宋体"/>
              </w:rPr>
            </w:pPr>
          </w:p>
        </w:tc>
      </w:tr>
      <w:tr w:rsidR="00996AD7" w14:paraId="39D97DA3" w14:textId="77777777">
        <w:trPr>
          <w:trHeight w:val="100"/>
        </w:trPr>
        <w:tc>
          <w:tcPr>
            <w:tcW w:w="0" w:type="auto"/>
            <w:gridSpan w:val="3"/>
            <w:shd w:val="clear" w:color="auto" w:fill="auto"/>
            <w:tcMar>
              <w:top w:w="0" w:type="dxa"/>
              <w:left w:w="20" w:type="dxa"/>
              <w:bottom w:w="0" w:type="dxa"/>
              <w:right w:w="20" w:type="dxa"/>
            </w:tcMar>
            <w:vAlign w:val="bottom"/>
          </w:tcPr>
          <w:p w14:paraId="39D97D9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9B"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D9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9D"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D9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9F"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DA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A1"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7DA2" w14:textId="77777777" w:rsidR="00996AD7" w:rsidRDefault="00996AD7">
            <w:pPr>
              <w:rPr>
                <w:rFonts w:ascii="宋体"/>
              </w:rPr>
            </w:pPr>
          </w:p>
        </w:tc>
      </w:tr>
      <w:tr w:rsidR="00996AD7" w14:paraId="39D97DAD" w14:textId="77777777">
        <w:tc>
          <w:tcPr>
            <w:tcW w:w="0" w:type="auto"/>
            <w:gridSpan w:val="3"/>
            <w:shd w:val="clear" w:color="auto" w:fill="auto"/>
            <w:tcMar>
              <w:top w:w="40" w:type="dxa"/>
              <w:left w:w="20" w:type="dxa"/>
              <w:bottom w:w="40" w:type="dxa"/>
              <w:right w:w="20" w:type="dxa"/>
            </w:tcMar>
            <w:vAlign w:val="bottom"/>
          </w:tcPr>
          <w:p w14:paraId="39D97DA4" w14:textId="77777777" w:rsidR="00996AD7" w:rsidRDefault="00D96458">
            <w:pPr>
              <w:textAlignment w:val="bottom"/>
            </w:pPr>
            <w:r>
              <w:rPr>
                <w:rFonts w:ascii="Arial" w:eastAsia="宋体" w:hAnsi="Arial" w:cs="Arial"/>
                <w:b/>
                <w:bCs/>
                <w:color w:val="262626"/>
                <w:sz w:val="18"/>
                <w:szCs w:val="18"/>
              </w:rPr>
              <w:t>Operating income (loss):</w:t>
            </w:r>
          </w:p>
        </w:tc>
        <w:tc>
          <w:tcPr>
            <w:tcW w:w="0" w:type="auto"/>
            <w:gridSpan w:val="3"/>
            <w:shd w:val="clear" w:color="auto" w:fill="auto"/>
            <w:tcMar>
              <w:top w:w="0" w:type="dxa"/>
              <w:left w:w="20" w:type="dxa"/>
              <w:bottom w:w="0" w:type="dxa"/>
              <w:right w:w="20" w:type="dxa"/>
            </w:tcMar>
            <w:vAlign w:val="bottom"/>
          </w:tcPr>
          <w:p w14:paraId="39D97DA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A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A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A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A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A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A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AC" w14:textId="77777777" w:rsidR="00996AD7" w:rsidRDefault="00996AD7">
            <w:pPr>
              <w:rPr>
                <w:rFonts w:ascii="宋体"/>
              </w:rPr>
            </w:pPr>
          </w:p>
        </w:tc>
      </w:tr>
      <w:tr w:rsidR="00996AD7" w14:paraId="39D97DBF" w14:textId="77777777">
        <w:tc>
          <w:tcPr>
            <w:tcW w:w="0" w:type="auto"/>
            <w:gridSpan w:val="3"/>
            <w:shd w:val="clear" w:color="auto" w:fill="auto"/>
            <w:tcMar>
              <w:top w:w="40" w:type="dxa"/>
              <w:left w:w="140" w:type="dxa"/>
              <w:bottom w:w="40" w:type="dxa"/>
              <w:right w:w="20" w:type="dxa"/>
            </w:tcMar>
            <w:vAlign w:val="bottom"/>
          </w:tcPr>
          <w:p w14:paraId="39D97DAE" w14:textId="77777777" w:rsidR="00996AD7" w:rsidRDefault="00D96458">
            <w:pPr>
              <w:textAlignment w:val="bottom"/>
            </w:pPr>
            <w:r>
              <w:rPr>
                <w:rFonts w:ascii="Arial" w:eastAsia="宋体" w:hAnsi="Arial" w:cs="Arial"/>
                <w:b/>
                <w:bCs/>
                <w:color w:val="262626"/>
                <w:sz w:val="18"/>
                <w:szCs w:val="18"/>
              </w:rPr>
              <w:t>Client Computing Group</w:t>
            </w:r>
          </w:p>
        </w:tc>
        <w:tc>
          <w:tcPr>
            <w:tcW w:w="0" w:type="auto"/>
            <w:gridSpan w:val="3"/>
            <w:shd w:val="clear" w:color="auto" w:fill="auto"/>
            <w:tcMar>
              <w:top w:w="0" w:type="dxa"/>
              <w:left w:w="20" w:type="dxa"/>
              <w:bottom w:w="0" w:type="dxa"/>
              <w:right w:w="20" w:type="dxa"/>
            </w:tcMar>
            <w:vAlign w:val="bottom"/>
          </w:tcPr>
          <w:p w14:paraId="39D97DAF"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DB0" w14:textId="77777777" w:rsidR="00996AD7" w:rsidRDefault="00D9645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39D97DB1" w14:textId="77777777" w:rsidR="00996AD7" w:rsidRDefault="00D96458">
            <w:pPr>
              <w:jc w:val="right"/>
              <w:textAlignment w:val="bottom"/>
            </w:pPr>
            <w:r>
              <w:rPr>
                <w:rFonts w:ascii="Arial" w:eastAsia="宋体" w:hAnsi="Arial" w:cs="Arial"/>
                <w:b/>
                <w:bCs/>
                <w:color w:val="0068B5"/>
                <w:sz w:val="18"/>
                <w:szCs w:val="18"/>
              </w:rPr>
              <w:t>3,317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DB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B3"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DB4"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DB5" w14:textId="77777777" w:rsidR="00996AD7" w:rsidRDefault="00D96458">
            <w:pPr>
              <w:jc w:val="right"/>
              <w:textAlignment w:val="bottom"/>
            </w:pPr>
            <w:r>
              <w:rPr>
                <w:rFonts w:ascii="Arial" w:eastAsia="宋体" w:hAnsi="Arial" w:cs="Arial"/>
                <w:b/>
                <w:bCs/>
                <w:color w:val="262626"/>
                <w:sz w:val="18"/>
                <w:szCs w:val="18"/>
              </w:rPr>
              <w:t>3,554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DB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B7"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DB8" w14:textId="77777777" w:rsidR="00996AD7" w:rsidRDefault="00D9645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39D97DB9" w14:textId="77777777" w:rsidR="00996AD7" w:rsidRDefault="00D96458">
            <w:pPr>
              <w:jc w:val="right"/>
              <w:textAlignment w:val="bottom"/>
            </w:pPr>
            <w:r>
              <w:rPr>
                <w:rFonts w:ascii="Arial" w:eastAsia="宋体" w:hAnsi="Arial" w:cs="Arial"/>
                <w:b/>
                <w:bCs/>
                <w:color w:val="0068B5"/>
                <w:sz w:val="18"/>
                <w:szCs w:val="18"/>
              </w:rPr>
              <w:t>11,197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DB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BB"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DBC"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7DBD" w14:textId="77777777" w:rsidR="00996AD7" w:rsidRDefault="00D96458">
            <w:pPr>
              <w:jc w:val="right"/>
              <w:textAlignment w:val="bottom"/>
            </w:pPr>
            <w:r>
              <w:rPr>
                <w:rFonts w:ascii="Arial" w:eastAsia="宋体" w:hAnsi="Arial" w:cs="Arial"/>
                <w:b/>
                <w:bCs/>
                <w:color w:val="262626"/>
                <w:sz w:val="18"/>
                <w:szCs w:val="18"/>
              </w:rPr>
              <w:t>10,621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DBE" w14:textId="77777777" w:rsidR="00996AD7" w:rsidRDefault="00996AD7">
            <w:pPr>
              <w:jc w:val="right"/>
              <w:rPr>
                <w:rFonts w:ascii="宋体"/>
              </w:rPr>
            </w:pPr>
          </w:p>
        </w:tc>
      </w:tr>
      <w:tr w:rsidR="00996AD7" w14:paraId="39D97DCD" w14:textId="77777777">
        <w:tc>
          <w:tcPr>
            <w:tcW w:w="0" w:type="auto"/>
            <w:gridSpan w:val="3"/>
            <w:shd w:val="clear" w:color="auto" w:fill="auto"/>
            <w:tcMar>
              <w:top w:w="40" w:type="dxa"/>
              <w:left w:w="140" w:type="dxa"/>
              <w:bottom w:w="40" w:type="dxa"/>
              <w:right w:w="20" w:type="dxa"/>
            </w:tcMar>
            <w:vAlign w:val="bottom"/>
          </w:tcPr>
          <w:p w14:paraId="39D97DC0" w14:textId="77777777" w:rsidR="00996AD7" w:rsidRDefault="00D96458">
            <w:pPr>
              <w:textAlignment w:val="bottom"/>
            </w:pPr>
            <w:r>
              <w:rPr>
                <w:rFonts w:ascii="Arial" w:eastAsia="宋体" w:hAnsi="Arial" w:cs="Arial"/>
                <w:b/>
                <w:bCs/>
                <w:color w:val="262626"/>
                <w:sz w:val="18"/>
                <w:szCs w:val="18"/>
              </w:rPr>
              <w:t>Data Center Group</w:t>
            </w:r>
          </w:p>
        </w:tc>
        <w:tc>
          <w:tcPr>
            <w:tcW w:w="0" w:type="auto"/>
            <w:gridSpan w:val="3"/>
            <w:shd w:val="clear" w:color="auto" w:fill="auto"/>
            <w:tcMar>
              <w:top w:w="0" w:type="dxa"/>
              <w:left w:w="20" w:type="dxa"/>
              <w:bottom w:w="0" w:type="dxa"/>
              <w:right w:w="20" w:type="dxa"/>
            </w:tcMar>
            <w:vAlign w:val="bottom"/>
          </w:tcPr>
          <w:p w14:paraId="39D97DC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C2" w14:textId="77777777" w:rsidR="00996AD7" w:rsidRDefault="00D96458">
            <w:pPr>
              <w:jc w:val="right"/>
              <w:textAlignment w:val="bottom"/>
            </w:pPr>
            <w:r>
              <w:rPr>
                <w:rFonts w:ascii="Arial" w:eastAsia="宋体" w:hAnsi="Arial" w:cs="Arial"/>
                <w:b/>
                <w:bCs/>
                <w:color w:val="0068B5"/>
                <w:sz w:val="18"/>
                <w:szCs w:val="18"/>
              </w:rPr>
              <w:t>2,057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DC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C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C5" w14:textId="77777777" w:rsidR="00996AD7" w:rsidRDefault="00D96458">
            <w:pPr>
              <w:jc w:val="right"/>
              <w:textAlignment w:val="bottom"/>
            </w:pPr>
            <w:r>
              <w:rPr>
                <w:rFonts w:ascii="Arial" w:eastAsia="宋体" w:hAnsi="Arial" w:cs="Arial"/>
                <w:b/>
                <w:bCs/>
                <w:color w:val="262626"/>
                <w:sz w:val="18"/>
                <w:szCs w:val="18"/>
              </w:rPr>
              <w:t>1,903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DC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C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C8" w14:textId="77777777" w:rsidR="00996AD7" w:rsidRDefault="00D96458">
            <w:pPr>
              <w:jc w:val="right"/>
              <w:textAlignment w:val="bottom"/>
            </w:pPr>
            <w:r>
              <w:rPr>
                <w:rFonts w:ascii="Arial" w:eastAsia="宋体" w:hAnsi="Arial" w:cs="Arial"/>
                <w:b/>
                <w:bCs/>
                <w:color w:val="0068B5"/>
                <w:sz w:val="18"/>
                <w:szCs w:val="18"/>
              </w:rPr>
              <w:t>5,271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DC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C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CB" w14:textId="77777777" w:rsidR="00996AD7" w:rsidRDefault="00D96458">
            <w:pPr>
              <w:jc w:val="right"/>
              <w:textAlignment w:val="bottom"/>
            </w:pPr>
            <w:r>
              <w:rPr>
                <w:rFonts w:ascii="Arial" w:eastAsia="宋体" w:hAnsi="Arial" w:cs="Arial"/>
                <w:b/>
                <w:bCs/>
                <w:color w:val="262626"/>
                <w:sz w:val="18"/>
                <w:szCs w:val="18"/>
              </w:rPr>
              <w:t>8,494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DCC" w14:textId="77777777" w:rsidR="00996AD7" w:rsidRDefault="00996AD7">
            <w:pPr>
              <w:jc w:val="right"/>
              <w:rPr>
                <w:rFonts w:ascii="宋体"/>
              </w:rPr>
            </w:pPr>
          </w:p>
        </w:tc>
      </w:tr>
      <w:tr w:rsidR="00996AD7" w14:paraId="39D97DD7" w14:textId="77777777">
        <w:trPr>
          <w:hidden/>
        </w:trPr>
        <w:tc>
          <w:tcPr>
            <w:tcW w:w="0" w:type="auto"/>
            <w:gridSpan w:val="3"/>
            <w:shd w:val="clear" w:color="auto" w:fill="auto"/>
            <w:vAlign w:val="bottom"/>
          </w:tcPr>
          <w:p w14:paraId="39D97DCE" w14:textId="77777777" w:rsidR="00996AD7" w:rsidRDefault="00996AD7">
            <w:pPr>
              <w:rPr>
                <w:rFonts w:ascii="宋体"/>
                <w:vanish/>
              </w:rPr>
            </w:pPr>
          </w:p>
        </w:tc>
        <w:tc>
          <w:tcPr>
            <w:tcW w:w="0" w:type="auto"/>
            <w:gridSpan w:val="3"/>
            <w:shd w:val="clear" w:color="auto" w:fill="auto"/>
            <w:vAlign w:val="bottom"/>
          </w:tcPr>
          <w:p w14:paraId="39D97DCF" w14:textId="77777777" w:rsidR="00996AD7" w:rsidRDefault="00996AD7">
            <w:pPr>
              <w:rPr>
                <w:rFonts w:ascii="宋体"/>
                <w:vanish/>
              </w:rPr>
            </w:pPr>
          </w:p>
        </w:tc>
        <w:tc>
          <w:tcPr>
            <w:tcW w:w="0" w:type="auto"/>
            <w:gridSpan w:val="3"/>
            <w:shd w:val="clear" w:color="auto" w:fill="auto"/>
            <w:vAlign w:val="bottom"/>
          </w:tcPr>
          <w:p w14:paraId="39D97DD0" w14:textId="77777777" w:rsidR="00996AD7" w:rsidRDefault="00996AD7">
            <w:pPr>
              <w:rPr>
                <w:rFonts w:ascii="宋体"/>
                <w:vanish/>
              </w:rPr>
            </w:pPr>
          </w:p>
        </w:tc>
        <w:tc>
          <w:tcPr>
            <w:tcW w:w="0" w:type="auto"/>
            <w:gridSpan w:val="3"/>
            <w:shd w:val="clear" w:color="auto" w:fill="auto"/>
            <w:vAlign w:val="bottom"/>
          </w:tcPr>
          <w:p w14:paraId="39D97DD1" w14:textId="77777777" w:rsidR="00996AD7" w:rsidRDefault="00996AD7">
            <w:pPr>
              <w:rPr>
                <w:rFonts w:ascii="宋体"/>
                <w:vanish/>
              </w:rPr>
            </w:pPr>
          </w:p>
        </w:tc>
        <w:tc>
          <w:tcPr>
            <w:tcW w:w="0" w:type="auto"/>
            <w:gridSpan w:val="3"/>
            <w:shd w:val="clear" w:color="auto" w:fill="auto"/>
            <w:vAlign w:val="bottom"/>
          </w:tcPr>
          <w:p w14:paraId="39D97DD2" w14:textId="77777777" w:rsidR="00996AD7" w:rsidRDefault="00996AD7">
            <w:pPr>
              <w:rPr>
                <w:rFonts w:ascii="宋体"/>
                <w:vanish/>
              </w:rPr>
            </w:pPr>
          </w:p>
        </w:tc>
        <w:tc>
          <w:tcPr>
            <w:tcW w:w="0" w:type="auto"/>
            <w:gridSpan w:val="3"/>
            <w:shd w:val="clear" w:color="auto" w:fill="auto"/>
            <w:vAlign w:val="bottom"/>
          </w:tcPr>
          <w:p w14:paraId="39D97DD3" w14:textId="77777777" w:rsidR="00996AD7" w:rsidRDefault="00996AD7">
            <w:pPr>
              <w:rPr>
                <w:rFonts w:ascii="宋体"/>
                <w:vanish/>
              </w:rPr>
            </w:pPr>
          </w:p>
        </w:tc>
        <w:tc>
          <w:tcPr>
            <w:tcW w:w="0" w:type="auto"/>
            <w:gridSpan w:val="3"/>
            <w:shd w:val="clear" w:color="auto" w:fill="auto"/>
            <w:vAlign w:val="bottom"/>
          </w:tcPr>
          <w:p w14:paraId="39D97DD4" w14:textId="77777777" w:rsidR="00996AD7" w:rsidRDefault="00996AD7">
            <w:pPr>
              <w:rPr>
                <w:rFonts w:ascii="宋体"/>
                <w:vanish/>
              </w:rPr>
            </w:pPr>
          </w:p>
        </w:tc>
        <w:tc>
          <w:tcPr>
            <w:tcW w:w="0" w:type="auto"/>
            <w:gridSpan w:val="3"/>
            <w:shd w:val="clear" w:color="auto" w:fill="auto"/>
            <w:vAlign w:val="bottom"/>
          </w:tcPr>
          <w:p w14:paraId="39D97DD5" w14:textId="77777777" w:rsidR="00996AD7" w:rsidRDefault="00996AD7">
            <w:pPr>
              <w:rPr>
                <w:rFonts w:ascii="宋体"/>
                <w:vanish/>
              </w:rPr>
            </w:pPr>
          </w:p>
        </w:tc>
        <w:tc>
          <w:tcPr>
            <w:tcW w:w="0" w:type="auto"/>
            <w:gridSpan w:val="3"/>
            <w:shd w:val="clear" w:color="auto" w:fill="auto"/>
            <w:vAlign w:val="bottom"/>
          </w:tcPr>
          <w:p w14:paraId="39D97DD6" w14:textId="77777777" w:rsidR="00996AD7" w:rsidRDefault="00996AD7">
            <w:pPr>
              <w:rPr>
                <w:rFonts w:ascii="宋体"/>
                <w:vanish/>
              </w:rPr>
            </w:pPr>
          </w:p>
        </w:tc>
      </w:tr>
      <w:tr w:rsidR="00996AD7" w14:paraId="39D97DE1" w14:textId="77777777">
        <w:tc>
          <w:tcPr>
            <w:tcW w:w="0" w:type="auto"/>
            <w:gridSpan w:val="3"/>
            <w:shd w:val="clear" w:color="auto" w:fill="auto"/>
            <w:tcMar>
              <w:top w:w="40" w:type="dxa"/>
              <w:left w:w="140" w:type="dxa"/>
              <w:bottom w:w="40" w:type="dxa"/>
              <w:right w:w="20" w:type="dxa"/>
            </w:tcMar>
            <w:vAlign w:val="bottom"/>
          </w:tcPr>
          <w:p w14:paraId="39D97DD8" w14:textId="77777777" w:rsidR="00996AD7" w:rsidRDefault="00D96458">
            <w:pPr>
              <w:textAlignment w:val="bottom"/>
            </w:pPr>
            <w:r>
              <w:rPr>
                <w:rFonts w:ascii="Arial" w:eastAsia="宋体" w:hAnsi="Arial" w:cs="Arial"/>
                <w:b/>
                <w:bCs/>
                <w:color w:val="262626"/>
                <w:sz w:val="18"/>
                <w:szCs w:val="18"/>
              </w:rPr>
              <w:t xml:space="preserve">Internet of Things </w:t>
            </w:r>
          </w:p>
        </w:tc>
        <w:tc>
          <w:tcPr>
            <w:tcW w:w="0" w:type="auto"/>
            <w:gridSpan w:val="3"/>
            <w:shd w:val="clear" w:color="auto" w:fill="auto"/>
            <w:tcMar>
              <w:top w:w="0" w:type="dxa"/>
              <w:left w:w="20" w:type="dxa"/>
              <w:bottom w:w="0" w:type="dxa"/>
              <w:right w:w="20" w:type="dxa"/>
            </w:tcMar>
            <w:vAlign w:val="bottom"/>
          </w:tcPr>
          <w:p w14:paraId="39D97DD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D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D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D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D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D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D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E0" w14:textId="77777777" w:rsidR="00996AD7" w:rsidRDefault="00996AD7">
            <w:pPr>
              <w:rPr>
                <w:rFonts w:ascii="宋体"/>
              </w:rPr>
            </w:pPr>
          </w:p>
        </w:tc>
      </w:tr>
      <w:tr w:rsidR="00996AD7" w14:paraId="39D97DEF" w14:textId="77777777">
        <w:tc>
          <w:tcPr>
            <w:tcW w:w="0" w:type="auto"/>
            <w:gridSpan w:val="3"/>
            <w:shd w:val="clear" w:color="auto" w:fill="auto"/>
            <w:tcMar>
              <w:top w:w="40" w:type="dxa"/>
              <w:left w:w="260" w:type="dxa"/>
              <w:bottom w:w="40" w:type="dxa"/>
              <w:right w:w="20" w:type="dxa"/>
            </w:tcMar>
            <w:vAlign w:val="bottom"/>
          </w:tcPr>
          <w:p w14:paraId="39D97DE2" w14:textId="77777777" w:rsidR="00996AD7" w:rsidRDefault="00D96458">
            <w:pPr>
              <w:textAlignment w:val="bottom"/>
            </w:pPr>
            <w:r>
              <w:rPr>
                <w:rFonts w:ascii="Arial" w:eastAsia="宋体" w:hAnsi="Arial" w:cs="Arial"/>
                <w:color w:val="262626"/>
                <w:sz w:val="18"/>
                <w:szCs w:val="18"/>
              </w:rPr>
              <w:t>IOTG</w:t>
            </w:r>
          </w:p>
        </w:tc>
        <w:tc>
          <w:tcPr>
            <w:tcW w:w="0" w:type="auto"/>
            <w:gridSpan w:val="3"/>
            <w:shd w:val="clear" w:color="auto" w:fill="auto"/>
            <w:tcMar>
              <w:top w:w="0" w:type="dxa"/>
              <w:left w:w="20" w:type="dxa"/>
              <w:bottom w:w="0" w:type="dxa"/>
              <w:right w:w="20" w:type="dxa"/>
            </w:tcMar>
            <w:vAlign w:val="bottom"/>
          </w:tcPr>
          <w:p w14:paraId="39D97DE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E4" w14:textId="77777777" w:rsidR="00996AD7" w:rsidRDefault="00D96458">
            <w:pPr>
              <w:jc w:val="right"/>
              <w:textAlignment w:val="bottom"/>
            </w:pPr>
            <w:r>
              <w:rPr>
                <w:rFonts w:ascii="Arial" w:eastAsia="宋体" w:hAnsi="Arial" w:cs="Arial"/>
                <w:color w:val="0068B5"/>
                <w:sz w:val="18"/>
                <w:szCs w:val="18"/>
              </w:rPr>
              <w:t>276 </w:t>
            </w:r>
          </w:p>
        </w:tc>
        <w:tc>
          <w:tcPr>
            <w:tcW w:w="0" w:type="auto"/>
            <w:shd w:val="clear" w:color="auto" w:fill="auto"/>
            <w:tcMar>
              <w:top w:w="40" w:type="dxa"/>
              <w:left w:w="0" w:type="dxa"/>
              <w:bottom w:w="40" w:type="dxa"/>
              <w:right w:w="20" w:type="dxa"/>
            </w:tcMar>
            <w:vAlign w:val="bottom"/>
          </w:tcPr>
          <w:p w14:paraId="39D97DE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E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E7" w14:textId="77777777" w:rsidR="00996AD7" w:rsidRDefault="00D96458">
            <w:pPr>
              <w:jc w:val="right"/>
              <w:textAlignment w:val="bottom"/>
            </w:pPr>
            <w:r>
              <w:rPr>
                <w:rFonts w:ascii="Arial" w:eastAsia="宋体" w:hAnsi="Arial" w:cs="Arial"/>
                <w:color w:val="262626"/>
                <w:sz w:val="18"/>
                <w:szCs w:val="18"/>
              </w:rPr>
              <w:t>61 </w:t>
            </w:r>
          </w:p>
        </w:tc>
        <w:tc>
          <w:tcPr>
            <w:tcW w:w="0" w:type="auto"/>
            <w:shd w:val="clear" w:color="auto" w:fill="auto"/>
            <w:tcMar>
              <w:top w:w="40" w:type="dxa"/>
              <w:left w:w="0" w:type="dxa"/>
              <w:bottom w:w="40" w:type="dxa"/>
              <w:right w:w="20" w:type="dxa"/>
            </w:tcMar>
            <w:vAlign w:val="bottom"/>
          </w:tcPr>
          <w:p w14:paraId="39D97DE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E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EA" w14:textId="77777777" w:rsidR="00996AD7" w:rsidRDefault="00D96458">
            <w:pPr>
              <w:jc w:val="right"/>
              <w:textAlignment w:val="bottom"/>
            </w:pPr>
            <w:r>
              <w:rPr>
                <w:rFonts w:ascii="Arial" w:eastAsia="宋体" w:hAnsi="Arial" w:cs="Arial"/>
                <w:color w:val="0068B5"/>
                <w:sz w:val="18"/>
                <w:szCs w:val="18"/>
              </w:rPr>
              <w:t>775 </w:t>
            </w:r>
          </w:p>
        </w:tc>
        <w:tc>
          <w:tcPr>
            <w:tcW w:w="0" w:type="auto"/>
            <w:shd w:val="clear" w:color="auto" w:fill="auto"/>
            <w:tcMar>
              <w:top w:w="40" w:type="dxa"/>
              <w:left w:w="0" w:type="dxa"/>
              <w:bottom w:w="40" w:type="dxa"/>
              <w:right w:w="20" w:type="dxa"/>
            </w:tcMar>
            <w:vAlign w:val="bottom"/>
          </w:tcPr>
          <w:p w14:paraId="39D97DE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E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ED" w14:textId="77777777" w:rsidR="00996AD7" w:rsidRDefault="00D96458">
            <w:pPr>
              <w:jc w:val="right"/>
              <w:textAlignment w:val="bottom"/>
            </w:pPr>
            <w:r>
              <w:rPr>
                <w:rFonts w:ascii="Arial" w:eastAsia="宋体" w:hAnsi="Arial" w:cs="Arial"/>
                <w:color w:val="262626"/>
                <w:sz w:val="18"/>
                <w:szCs w:val="18"/>
              </w:rPr>
              <w:t>374 </w:t>
            </w:r>
          </w:p>
        </w:tc>
        <w:tc>
          <w:tcPr>
            <w:tcW w:w="0" w:type="auto"/>
            <w:shd w:val="clear" w:color="auto" w:fill="auto"/>
            <w:tcMar>
              <w:top w:w="40" w:type="dxa"/>
              <w:left w:w="0" w:type="dxa"/>
              <w:bottom w:w="40" w:type="dxa"/>
              <w:right w:w="20" w:type="dxa"/>
            </w:tcMar>
            <w:vAlign w:val="bottom"/>
          </w:tcPr>
          <w:p w14:paraId="39D97DEE" w14:textId="77777777" w:rsidR="00996AD7" w:rsidRDefault="00996AD7">
            <w:pPr>
              <w:jc w:val="right"/>
              <w:rPr>
                <w:rFonts w:ascii="宋体"/>
              </w:rPr>
            </w:pPr>
          </w:p>
        </w:tc>
      </w:tr>
      <w:tr w:rsidR="00996AD7" w14:paraId="39D97DFD" w14:textId="77777777">
        <w:tc>
          <w:tcPr>
            <w:tcW w:w="0" w:type="auto"/>
            <w:gridSpan w:val="3"/>
            <w:shd w:val="clear" w:color="auto" w:fill="auto"/>
            <w:tcMar>
              <w:top w:w="40" w:type="dxa"/>
              <w:left w:w="260" w:type="dxa"/>
              <w:bottom w:w="40" w:type="dxa"/>
              <w:right w:w="20" w:type="dxa"/>
            </w:tcMar>
            <w:vAlign w:val="bottom"/>
          </w:tcPr>
          <w:p w14:paraId="39D97DF0" w14:textId="77777777" w:rsidR="00996AD7" w:rsidRDefault="00D96458">
            <w:pPr>
              <w:textAlignment w:val="bottom"/>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39D97DF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F2" w14:textId="77777777" w:rsidR="00996AD7" w:rsidRDefault="00D96458">
            <w:pPr>
              <w:jc w:val="right"/>
              <w:textAlignment w:val="bottom"/>
            </w:pPr>
            <w:r>
              <w:rPr>
                <w:rFonts w:ascii="Arial" w:eastAsia="宋体" w:hAnsi="Arial" w:cs="Arial"/>
                <w:color w:val="0068B5"/>
                <w:sz w:val="18"/>
                <w:szCs w:val="18"/>
              </w:rPr>
              <w:t>105 </w:t>
            </w:r>
          </w:p>
        </w:tc>
        <w:tc>
          <w:tcPr>
            <w:tcW w:w="0" w:type="auto"/>
            <w:shd w:val="clear" w:color="auto" w:fill="auto"/>
            <w:tcMar>
              <w:top w:w="40" w:type="dxa"/>
              <w:left w:w="0" w:type="dxa"/>
              <w:bottom w:w="40" w:type="dxa"/>
              <w:right w:w="20" w:type="dxa"/>
            </w:tcMar>
            <w:vAlign w:val="bottom"/>
          </w:tcPr>
          <w:p w14:paraId="39D97DF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F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F5" w14:textId="77777777" w:rsidR="00996AD7" w:rsidRDefault="00D96458">
            <w:pPr>
              <w:jc w:val="right"/>
              <w:textAlignment w:val="bottom"/>
            </w:pPr>
            <w:r>
              <w:rPr>
                <w:rFonts w:ascii="Arial" w:eastAsia="宋体" w:hAnsi="Arial" w:cs="Arial"/>
                <w:color w:val="262626"/>
                <w:sz w:val="18"/>
                <w:szCs w:val="18"/>
              </w:rPr>
              <w:t>47 </w:t>
            </w:r>
          </w:p>
        </w:tc>
        <w:tc>
          <w:tcPr>
            <w:tcW w:w="0" w:type="auto"/>
            <w:shd w:val="clear" w:color="auto" w:fill="auto"/>
            <w:tcMar>
              <w:top w:w="40" w:type="dxa"/>
              <w:left w:w="0" w:type="dxa"/>
              <w:bottom w:w="40" w:type="dxa"/>
              <w:right w:w="20" w:type="dxa"/>
            </w:tcMar>
            <w:vAlign w:val="bottom"/>
          </w:tcPr>
          <w:p w14:paraId="39D97DF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F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F8" w14:textId="77777777" w:rsidR="00996AD7" w:rsidRDefault="00D96458">
            <w:pPr>
              <w:jc w:val="right"/>
              <w:textAlignment w:val="bottom"/>
            </w:pPr>
            <w:r>
              <w:rPr>
                <w:rFonts w:ascii="Arial" w:eastAsia="宋体" w:hAnsi="Arial" w:cs="Arial"/>
                <w:color w:val="0068B5"/>
                <w:sz w:val="18"/>
                <w:szCs w:val="18"/>
              </w:rPr>
              <w:t>361 </w:t>
            </w:r>
          </w:p>
        </w:tc>
        <w:tc>
          <w:tcPr>
            <w:tcW w:w="0" w:type="auto"/>
            <w:shd w:val="clear" w:color="auto" w:fill="auto"/>
            <w:tcMar>
              <w:top w:w="40" w:type="dxa"/>
              <w:left w:w="0" w:type="dxa"/>
              <w:bottom w:w="40" w:type="dxa"/>
              <w:right w:w="20" w:type="dxa"/>
            </w:tcMar>
            <w:vAlign w:val="bottom"/>
          </w:tcPr>
          <w:p w14:paraId="39D97DF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DF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DFB" w14:textId="77777777" w:rsidR="00996AD7" w:rsidRDefault="00D96458">
            <w:pPr>
              <w:jc w:val="right"/>
              <w:textAlignment w:val="bottom"/>
            </w:pPr>
            <w:r>
              <w:rPr>
                <w:rFonts w:ascii="Arial" w:eastAsia="宋体" w:hAnsi="Arial" w:cs="Arial"/>
                <w:color w:val="262626"/>
                <w:sz w:val="18"/>
                <w:szCs w:val="18"/>
              </w:rPr>
              <w:t>131 </w:t>
            </w:r>
          </w:p>
        </w:tc>
        <w:tc>
          <w:tcPr>
            <w:tcW w:w="0" w:type="auto"/>
            <w:shd w:val="clear" w:color="auto" w:fill="auto"/>
            <w:tcMar>
              <w:top w:w="40" w:type="dxa"/>
              <w:left w:w="0" w:type="dxa"/>
              <w:bottom w:w="40" w:type="dxa"/>
              <w:right w:w="20" w:type="dxa"/>
            </w:tcMar>
            <w:vAlign w:val="bottom"/>
          </w:tcPr>
          <w:p w14:paraId="39D97DFC" w14:textId="77777777" w:rsidR="00996AD7" w:rsidRDefault="00996AD7">
            <w:pPr>
              <w:jc w:val="right"/>
              <w:rPr>
                <w:rFonts w:ascii="宋体"/>
              </w:rPr>
            </w:pPr>
          </w:p>
        </w:tc>
      </w:tr>
      <w:tr w:rsidR="00996AD7" w14:paraId="39D97E0B" w14:textId="77777777">
        <w:tc>
          <w:tcPr>
            <w:tcW w:w="0" w:type="auto"/>
            <w:gridSpan w:val="3"/>
            <w:shd w:val="clear" w:color="auto" w:fill="auto"/>
            <w:tcMar>
              <w:top w:w="0" w:type="dxa"/>
              <w:left w:w="20" w:type="dxa"/>
              <w:bottom w:w="0" w:type="dxa"/>
              <w:right w:w="20" w:type="dxa"/>
            </w:tcMar>
            <w:vAlign w:val="bottom"/>
          </w:tcPr>
          <w:p w14:paraId="39D97DF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DFF"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E00" w14:textId="77777777" w:rsidR="00996AD7" w:rsidRDefault="00D96458">
            <w:pPr>
              <w:jc w:val="right"/>
              <w:textAlignment w:val="bottom"/>
            </w:pPr>
            <w:r>
              <w:rPr>
                <w:rFonts w:ascii="Arial" w:eastAsia="宋体" w:hAnsi="Arial" w:cs="Arial"/>
                <w:b/>
                <w:bCs/>
                <w:color w:val="0068B5"/>
                <w:sz w:val="18"/>
                <w:szCs w:val="18"/>
              </w:rPr>
              <w:t>381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E0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02"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E03" w14:textId="77777777" w:rsidR="00996AD7" w:rsidRDefault="00D96458">
            <w:pPr>
              <w:jc w:val="right"/>
              <w:textAlignment w:val="bottom"/>
            </w:pPr>
            <w:r>
              <w:rPr>
                <w:rFonts w:ascii="Arial" w:eastAsia="宋体" w:hAnsi="Arial" w:cs="Arial"/>
                <w:b/>
                <w:bCs/>
                <w:color w:val="262626"/>
                <w:sz w:val="18"/>
                <w:szCs w:val="18"/>
              </w:rPr>
              <w:t>108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E0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05"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E06" w14:textId="77777777" w:rsidR="00996AD7" w:rsidRDefault="00D96458">
            <w:pPr>
              <w:jc w:val="right"/>
              <w:textAlignment w:val="bottom"/>
            </w:pPr>
            <w:r>
              <w:rPr>
                <w:rFonts w:ascii="Arial" w:eastAsia="宋体" w:hAnsi="Arial" w:cs="Arial"/>
                <w:b/>
                <w:bCs/>
                <w:color w:val="0068B5"/>
                <w:sz w:val="18"/>
                <w:szCs w:val="18"/>
              </w:rPr>
              <w:t>1,136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E0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08"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7E09" w14:textId="77777777" w:rsidR="00996AD7" w:rsidRDefault="00D96458">
            <w:pPr>
              <w:jc w:val="right"/>
              <w:textAlignment w:val="bottom"/>
            </w:pPr>
            <w:r>
              <w:rPr>
                <w:rFonts w:ascii="Arial" w:eastAsia="宋体" w:hAnsi="Arial" w:cs="Arial"/>
                <w:b/>
                <w:bCs/>
                <w:color w:val="262626"/>
                <w:sz w:val="18"/>
                <w:szCs w:val="18"/>
              </w:rPr>
              <w:t>505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7E0A" w14:textId="77777777" w:rsidR="00996AD7" w:rsidRDefault="00996AD7">
            <w:pPr>
              <w:jc w:val="right"/>
              <w:rPr>
                <w:rFonts w:ascii="宋体"/>
              </w:rPr>
            </w:pPr>
          </w:p>
        </w:tc>
      </w:tr>
      <w:tr w:rsidR="00996AD7" w14:paraId="39D97E15" w14:textId="77777777">
        <w:trPr>
          <w:hidden/>
        </w:trPr>
        <w:tc>
          <w:tcPr>
            <w:tcW w:w="0" w:type="auto"/>
            <w:gridSpan w:val="3"/>
            <w:shd w:val="clear" w:color="auto" w:fill="auto"/>
            <w:vAlign w:val="bottom"/>
          </w:tcPr>
          <w:p w14:paraId="39D97E0C" w14:textId="77777777" w:rsidR="00996AD7" w:rsidRDefault="00996AD7">
            <w:pPr>
              <w:rPr>
                <w:rFonts w:ascii="宋体"/>
                <w:vanish/>
              </w:rPr>
            </w:pPr>
          </w:p>
        </w:tc>
        <w:tc>
          <w:tcPr>
            <w:tcW w:w="0" w:type="auto"/>
            <w:gridSpan w:val="3"/>
            <w:shd w:val="clear" w:color="auto" w:fill="auto"/>
            <w:vAlign w:val="bottom"/>
          </w:tcPr>
          <w:p w14:paraId="39D97E0D" w14:textId="77777777" w:rsidR="00996AD7" w:rsidRDefault="00996AD7">
            <w:pPr>
              <w:rPr>
                <w:rFonts w:ascii="宋体"/>
                <w:vanish/>
              </w:rPr>
            </w:pPr>
          </w:p>
        </w:tc>
        <w:tc>
          <w:tcPr>
            <w:tcW w:w="0" w:type="auto"/>
            <w:gridSpan w:val="3"/>
            <w:shd w:val="clear" w:color="auto" w:fill="auto"/>
            <w:vAlign w:val="bottom"/>
          </w:tcPr>
          <w:p w14:paraId="39D97E0E" w14:textId="77777777" w:rsidR="00996AD7" w:rsidRDefault="00996AD7">
            <w:pPr>
              <w:rPr>
                <w:rFonts w:ascii="宋体"/>
                <w:vanish/>
              </w:rPr>
            </w:pPr>
          </w:p>
        </w:tc>
        <w:tc>
          <w:tcPr>
            <w:tcW w:w="0" w:type="auto"/>
            <w:gridSpan w:val="3"/>
            <w:shd w:val="clear" w:color="auto" w:fill="auto"/>
            <w:vAlign w:val="bottom"/>
          </w:tcPr>
          <w:p w14:paraId="39D97E0F" w14:textId="77777777" w:rsidR="00996AD7" w:rsidRDefault="00996AD7">
            <w:pPr>
              <w:rPr>
                <w:rFonts w:ascii="宋体"/>
                <w:vanish/>
              </w:rPr>
            </w:pPr>
          </w:p>
        </w:tc>
        <w:tc>
          <w:tcPr>
            <w:tcW w:w="0" w:type="auto"/>
            <w:gridSpan w:val="3"/>
            <w:shd w:val="clear" w:color="auto" w:fill="auto"/>
            <w:vAlign w:val="bottom"/>
          </w:tcPr>
          <w:p w14:paraId="39D97E10" w14:textId="77777777" w:rsidR="00996AD7" w:rsidRDefault="00996AD7">
            <w:pPr>
              <w:rPr>
                <w:rFonts w:ascii="宋体"/>
                <w:vanish/>
              </w:rPr>
            </w:pPr>
          </w:p>
        </w:tc>
        <w:tc>
          <w:tcPr>
            <w:tcW w:w="0" w:type="auto"/>
            <w:gridSpan w:val="3"/>
            <w:shd w:val="clear" w:color="auto" w:fill="auto"/>
            <w:vAlign w:val="bottom"/>
          </w:tcPr>
          <w:p w14:paraId="39D97E11" w14:textId="77777777" w:rsidR="00996AD7" w:rsidRDefault="00996AD7">
            <w:pPr>
              <w:rPr>
                <w:rFonts w:ascii="宋体"/>
                <w:vanish/>
              </w:rPr>
            </w:pPr>
          </w:p>
        </w:tc>
        <w:tc>
          <w:tcPr>
            <w:tcW w:w="0" w:type="auto"/>
            <w:gridSpan w:val="3"/>
            <w:shd w:val="clear" w:color="auto" w:fill="auto"/>
            <w:vAlign w:val="bottom"/>
          </w:tcPr>
          <w:p w14:paraId="39D97E12" w14:textId="77777777" w:rsidR="00996AD7" w:rsidRDefault="00996AD7">
            <w:pPr>
              <w:rPr>
                <w:rFonts w:ascii="宋体"/>
                <w:vanish/>
              </w:rPr>
            </w:pPr>
          </w:p>
        </w:tc>
        <w:tc>
          <w:tcPr>
            <w:tcW w:w="0" w:type="auto"/>
            <w:gridSpan w:val="3"/>
            <w:shd w:val="clear" w:color="auto" w:fill="auto"/>
            <w:vAlign w:val="bottom"/>
          </w:tcPr>
          <w:p w14:paraId="39D97E13" w14:textId="77777777" w:rsidR="00996AD7" w:rsidRDefault="00996AD7">
            <w:pPr>
              <w:rPr>
                <w:rFonts w:ascii="宋体"/>
                <w:vanish/>
              </w:rPr>
            </w:pPr>
          </w:p>
        </w:tc>
        <w:tc>
          <w:tcPr>
            <w:tcW w:w="0" w:type="auto"/>
            <w:gridSpan w:val="3"/>
            <w:shd w:val="clear" w:color="auto" w:fill="auto"/>
            <w:vAlign w:val="bottom"/>
          </w:tcPr>
          <w:p w14:paraId="39D97E14" w14:textId="77777777" w:rsidR="00996AD7" w:rsidRDefault="00996AD7">
            <w:pPr>
              <w:rPr>
                <w:rFonts w:ascii="宋体"/>
                <w:vanish/>
              </w:rPr>
            </w:pPr>
          </w:p>
        </w:tc>
      </w:tr>
      <w:tr w:rsidR="00996AD7" w14:paraId="39D97E1F" w14:textId="77777777">
        <w:trPr>
          <w:trHeight w:val="280"/>
        </w:trPr>
        <w:tc>
          <w:tcPr>
            <w:tcW w:w="0" w:type="auto"/>
            <w:gridSpan w:val="3"/>
            <w:shd w:val="clear" w:color="auto" w:fill="auto"/>
            <w:tcMar>
              <w:top w:w="0" w:type="dxa"/>
              <w:left w:w="20" w:type="dxa"/>
              <w:bottom w:w="0" w:type="dxa"/>
              <w:right w:w="20" w:type="dxa"/>
            </w:tcMar>
            <w:vAlign w:val="bottom"/>
          </w:tcPr>
          <w:p w14:paraId="39D97E1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E1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E1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E1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E1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E1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E1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E1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E1E" w14:textId="77777777" w:rsidR="00996AD7" w:rsidRDefault="00996AD7">
            <w:pPr>
              <w:rPr>
                <w:rFonts w:ascii="宋体"/>
              </w:rPr>
            </w:pPr>
          </w:p>
        </w:tc>
      </w:tr>
      <w:tr w:rsidR="00996AD7" w14:paraId="39D97E2D" w14:textId="77777777">
        <w:tc>
          <w:tcPr>
            <w:tcW w:w="0" w:type="auto"/>
            <w:gridSpan w:val="3"/>
            <w:shd w:val="clear" w:color="auto" w:fill="auto"/>
            <w:tcMar>
              <w:top w:w="40" w:type="dxa"/>
              <w:left w:w="140" w:type="dxa"/>
              <w:bottom w:w="40" w:type="dxa"/>
              <w:right w:w="20" w:type="dxa"/>
            </w:tcMar>
            <w:vAlign w:val="bottom"/>
          </w:tcPr>
          <w:p w14:paraId="39D97E20" w14:textId="77777777" w:rsidR="00996AD7" w:rsidRDefault="00D96458">
            <w:pPr>
              <w:textAlignment w:val="bottom"/>
            </w:pPr>
            <w:r>
              <w:rPr>
                <w:rFonts w:ascii="Arial" w:eastAsia="宋体" w:hAnsi="Arial" w:cs="Arial"/>
                <w:b/>
                <w:bCs/>
                <w:color w:val="262626"/>
                <w:sz w:val="18"/>
                <w:szCs w:val="18"/>
              </w:rPr>
              <w:t>Non-Volatile Memory Solutions Group</w:t>
            </w:r>
          </w:p>
        </w:tc>
        <w:tc>
          <w:tcPr>
            <w:tcW w:w="0" w:type="auto"/>
            <w:gridSpan w:val="3"/>
            <w:shd w:val="clear" w:color="auto" w:fill="auto"/>
            <w:tcMar>
              <w:top w:w="0" w:type="dxa"/>
              <w:left w:w="20" w:type="dxa"/>
              <w:bottom w:w="0" w:type="dxa"/>
              <w:right w:w="20" w:type="dxa"/>
            </w:tcMar>
            <w:vAlign w:val="bottom"/>
          </w:tcPr>
          <w:p w14:paraId="39D97E2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22" w14:textId="77777777" w:rsidR="00996AD7" w:rsidRDefault="00D96458">
            <w:pPr>
              <w:jc w:val="right"/>
              <w:textAlignment w:val="bottom"/>
            </w:pPr>
            <w:r>
              <w:rPr>
                <w:rFonts w:ascii="Arial" w:eastAsia="宋体" w:hAnsi="Arial" w:cs="Arial"/>
                <w:b/>
                <w:bCs/>
                <w:color w:val="0068B5"/>
                <w:sz w:val="18"/>
                <w:szCs w:val="18"/>
              </w:rPr>
              <w:t>442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E2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2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25" w14:textId="77777777" w:rsidR="00996AD7" w:rsidRDefault="00D96458">
            <w:pPr>
              <w:jc w:val="right"/>
              <w:textAlignment w:val="bottom"/>
            </w:pPr>
            <w:r>
              <w:rPr>
                <w:rFonts w:ascii="Arial" w:eastAsia="宋体" w:hAnsi="Arial" w:cs="Arial"/>
                <w:b/>
                <w:bCs/>
                <w:color w:val="262626"/>
                <w:sz w:val="18"/>
                <w:szCs w:val="18"/>
              </w:rPr>
              <w:t>29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E2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2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28" w14:textId="77777777" w:rsidR="00996AD7" w:rsidRDefault="00D96458">
            <w:pPr>
              <w:jc w:val="right"/>
              <w:textAlignment w:val="bottom"/>
            </w:pPr>
            <w:r>
              <w:rPr>
                <w:rFonts w:ascii="Arial" w:eastAsia="宋体" w:hAnsi="Arial" w:cs="Arial"/>
                <w:b/>
                <w:bCs/>
                <w:color w:val="0068B5"/>
                <w:sz w:val="18"/>
                <w:szCs w:val="18"/>
              </w:rPr>
              <w:t>1,015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E2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2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2B" w14:textId="77777777" w:rsidR="00996AD7" w:rsidRDefault="00D96458">
            <w:pPr>
              <w:jc w:val="right"/>
              <w:textAlignment w:val="bottom"/>
            </w:pPr>
            <w:r>
              <w:rPr>
                <w:rFonts w:ascii="Arial" w:eastAsia="宋体" w:hAnsi="Arial" w:cs="Arial"/>
                <w:b/>
                <w:bCs/>
                <w:color w:val="262626"/>
                <w:sz w:val="18"/>
                <w:szCs w:val="18"/>
              </w:rPr>
              <w:t>285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E2C" w14:textId="77777777" w:rsidR="00996AD7" w:rsidRDefault="00996AD7">
            <w:pPr>
              <w:jc w:val="right"/>
              <w:rPr>
                <w:rFonts w:ascii="宋体"/>
              </w:rPr>
            </w:pPr>
          </w:p>
        </w:tc>
      </w:tr>
      <w:tr w:rsidR="00996AD7" w14:paraId="39D97E3B" w14:textId="77777777">
        <w:tc>
          <w:tcPr>
            <w:tcW w:w="0" w:type="auto"/>
            <w:gridSpan w:val="3"/>
            <w:shd w:val="clear" w:color="auto" w:fill="auto"/>
            <w:tcMar>
              <w:top w:w="40" w:type="dxa"/>
              <w:left w:w="140" w:type="dxa"/>
              <w:bottom w:w="40" w:type="dxa"/>
              <w:right w:w="20" w:type="dxa"/>
            </w:tcMar>
            <w:vAlign w:val="bottom"/>
          </w:tcPr>
          <w:p w14:paraId="39D97E2E" w14:textId="77777777" w:rsidR="00996AD7" w:rsidRDefault="00D96458">
            <w:pPr>
              <w:textAlignment w:val="bottom"/>
            </w:pPr>
            <w:r>
              <w:rPr>
                <w:rFonts w:ascii="Arial" w:eastAsia="宋体" w:hAnsi="Arial" w:cs="Arial"/>
                <w:b/>
                <w:bCs/>
                <w:color w:val="262626"/>
                <w:sz w:val="18"/>
                <w:szCs w:val="18"/>
              </w:rPr>
              <w:t>Programmable Solutions Group</w:t>
            </w:r>
          </w:p>
        </w:tc>
        <w:tc>
          <w:tcPr>
            <w:tcW w:w="0" w:type="auto"/>
            <w:gridSpan w:val="3"/>
            <w:shd w:val="clear" w:color="auto" w:fill="auto"/>
            <w:tcMar>
              <w:top w:w="0" w:type="dxa"/>
              <w:left w:w="20" w:type="dxa"/>
              <w:bottom w:w="0" w:type="dxa"/>
              <w:right w:w="20" w:type="dxa"/>
            </w:tcMar>
            <w:vAlign w:val="bottom"/>
          </w:tcPr>
          <w:p w14:paraId="39D97E2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30" w14:textId="77777777" w:rsidR="00996AD7" w:rsidRDefault="00D96458">
            <w:pPr>
              <w:jc w:val="right"/>
              <w:textAlignment w:val="bottom"/>
            </w:pPr>
            <w:r>
              <w:rPr>
                <w:rFonts w:ascii="Arial" w:eastAsia="宋体" w:hAnsi="Arial" w:cs="Arial"/>
                <w:b/>
                <w:bCs/>
                <w:color w:val="0068B5"/>
                <w:sz w:val="18"/>
                <w:szCs w:val="18"/>
              </w:rPr>
              <w:t>76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E3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3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33" w14:textId="77777777" w:rsidR="00996AD7" w:rsidRDefault="00D96458">
            <w:pPr>
              <w:jc w:val="right"/>
              <w:textAlignment w:val="bottom"/>
            </w:pPr>
            <w:r>
              <w:rPr>
                <w:rFonts w:ascii="Arial" w:eastAsia="宋体" w:hAnsi="Arial" w:cs="Arial"/>
                <w:b/>
                <w:bCs/>
                <w:color w:val="262626"/>
                <w:sz w:val="18"/>
                <w:szCs w:val="18"/>
              </w:rPr>
              <w:t>40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E3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3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36" w14:textId="77777777" w:rsidR="00996AD7" w:rsidRDefault="00D96458">
            <w:pPr>
              <w:jc w:val="right"/>
              <w:textAlignment w:val="bottom"/>
            </w:pPr>
            <w:r>
              <w:rPr>
                <w:rFonts w:ascii="Arial" w:eastAsia="宋体" w:hAnsi="Arial" w:cs="Arial"/>
                <w:b/>
                <w:bCs/>
                <w:color w:val="0068B5"/>
                <w:sz w:val="18"/>
                <w:szCs w:val="18"/>
              </w:rPr>
              <w:t>246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E3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3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39" w14:textId="77777777" w:rsidR="00996AD7" w:rsidRDefault="00D96458">
            <w:pPr>
              <w:jc w:val="right"/>
              <w:textAlignment w:val="bottom"/>
            </w:pPr>
            <w:r>
              <w:rPr>
                <w:rFonts w:ascii="Arial" w:eastAsia="宋体" w:hAnsi="Arial" w:cs="Arial"/>
                <w:b/>
                <w:bCs/>
                <w:color w:val="262626"/>
                <w:sz w:val="18"/>
                <w:szCs w:val="18"/>
              </w:rPr>
              <w:t>217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E3A" w14:textId="77777777" w:rsidR="00996AD7" w:rsidRDefault="00996AD7">
            <w:pPr>
              <w:jc w:val="right"/>
              <w:rPr>
                <w:rFonts w:ascii="宋体"/>
              </w:rPr>
            </w:pPr>
          </w:p>
        </w:tc>
      </w:tr>
      <w:tr w:rsidR="00996AD7" w14:paraId="39D97E49" w14:textId="77777777">
        <w:tc>
          <w:tcPr>
            <w:tcW w:w="0" w:type="auto"/>
            <w:gridSpan w:val="3"/>
            <w:shd w:val="clear" w:color="auto" w:fill="auto"/>
            <w:tcMar>
              <w:top w:w="40" w:type="dxa"/>
              <w:left w:w="140" w:type="dxa"/>
              <w:bottom w:w="40" w:type="dxa"/>
              <w:right w:w="20" w:type="dxa"/>
            </w:tcMar>
            <w:vAlign w:val="bottom"/>
          </w:tcPr>
          <w:p w14:paraId="39D97E3C" w14:textId="77777777" w:rsidR="00996AD7" w:rsidRDefault="00D96458">
            <w:pPr>
              <w:textAlignment w:val="bottom"/>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39D97E3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3E" w14:textId="77777777" w:rsidR="00996AD7" w:rsidRDefault="00D96458">
            <w:pPr>
              <w:jc w:val="right"/>
              <w:textAlignment w:val="bottom"/>
            </w:pPr>
            <w:r>
              <w:rPr>
                <w:rFonts w:ascii="Arial" w:eastAsia="宋体" w:hAnsi="Arial" w:cs="Arial"/>
                <w:b/>
                <w:bCs/>
                <w:color w:val="0068B5"/>
                <w:sz w:val="18"/>
                <w:szCs w:val="18"/>
              </w:rPr>
              <w:t>(1,046)</w:t>
            </w:r>
          </w:p>
        </w:tc>
        <w:tc>
          <w:tcPr>
            <w:tcW w:w="0" w:type="auto"/>
            <w:shd w:val="clear" w:color="auto" w:fill="auto"/>
            <w:tcMar>
              <w:top w:w="40" w:type="dxa"/>
              <w:left w:w="0" w:type="dxa"/>
              <w:bottom w:w="40" w:type="dxa"/>
              <w:right w:w="20" w:type="dxa"/>
            </w:tcMar>
            <w:vAlign w:val="bottom"/>
          </w:tcPr>
          <w:p w14:paraId="39D97E3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4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41" w14:textId="77777777" w:rsidR="00996AD7" w:rsidRDefault="00D96458">
            <w:pPr>
              <w:jc w:val="right"/>
              <w:textAlignment w:val="bottom"/>
            </w:pPr>
            <w:r>
              <w:rPr>
                <w:rFonts w:ascii="Arial" w:eastAsia="宋体" w:hAnsi="Arial" w:cs="Arial"/>
                <w:b/>
                <w:bCs/>
                <w:color w:val="262626"/>
                <w:sz w:val="18"/>
                <w:szCs w:val="18"/>
              </w:rPr>
              <w:t>(575)</w:t>
            </w:r>
          </w:p>
        </w:tc>
        <w:tc>
          <w:tcPr>
            <w:tcW w:w="0" w:type="auto"/>
            <w:shd w:val="clear" w:color="auto" w:fill="auto"/>
            <w:tcMar>
              <w:top w:w="40" w:type="dxa"/>
              <w:left w:w="0" w:type="dxa"/>
              <w:bottom w:w="40" w:type="dxa"/>
              <w:right w:w="20" w:type="dxa"/>
            </w:tcMar>
            <w:vAlign w:val="bottom"/>
          </w:tcPr>
          <w:p w14:paraId="39D97E4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4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44" w14:textId="77777777" w:rsidR="00996AD7" w:rsidRDefault="00D96458">
            <w:pPr>
              <w:jc w:val="right"/>
              <w:textAlignment w:val="bottom"/>
            </w:pPr>
            <w:r>
              <w:rPr>
                <w:rFonts w:ascii="Arial" w:eastAsia="宋体" w:hAnsi="Arial" w:cs="Arial"/>
                <w:b/>
                <w:bCs/>
                <w:color w:val="0068B5"/>
                <w:sz w:val="18"/>
                <w:szCs w:val="18"/>
              </w:rPr>
              <w:t>(4,398)</w:t>
            </w:r>
          </w:p>
        </w:tc>
        <w:tc>
          <w:tcPr>
            <w:tcW w:w="0" w:type="auto"/>
            <w:shd w:val="clear" w:color="auto" w:fill="auto"/>
            <w:tcMar>
              <w:top w:w="40" w:type="dxa"/>
              <w:left w:w="0" w:type="dxa"/>
              <w:bottom w:w="40" w:type="dxa"/>
              <w:right w:w="20" w:type="dxa"/>
            </w:tcMar>
            <w:vAlign w:val="bottom"/>
          </w:tcPr>
          <w:p w14:paraId="39D97E4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4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47" w14:textId="77777777" w:rsidR="00996AD7" w:rsidRDefault="00D96458">
            <w:pPr>
              <w:jc w:val="right"/>
              <w:textAlignment w:val="bottom"/>
            </w:pPr>
            <w:r>
              <w:rPr>
                <w:rFonts w:ascii="Arial" w:eastAsia="宋体" w:hAnsi="Arial" w:cs="Arial"/>
                <w:b/>
                <w:bCs/>
                <w:color w:val="262626"/>
                <w:sz w:val="18"/>
                <w:szCs w:val="18"/>
              </w:rPr>
              <w:t>(2,328)</w:t>
            </w:r>
          </w:p>
        </w:tc>
        <w:tc>
          <w:tcPr>
            <w:tcW w:w="0" w:type="auto"/>
            <w:shd w:val="clear" w:color="auto" w:fill="auto"/>
            <w:tcMar>
              <w:top w:w="40" w:type="dxa"/>
              <w:left w:w="0" w:type="dxa"/>
              <w:bottom w:w="40" w:type="dxa"/>
              <w:right w:w="20" w:type="dxa"/>
            </w:tcMar>
            <w:vAlign w:val="bottom"/>
          </w:tcPr>
          <w:p w14:paraId="39D97E48" w14:textId="77777777" w:rsidR="00996AD7" w:rsidRDefault="00996AD7">
            <w:pPr>
              <w:jc w:val="right"/>
              <w:rPr>
                <w:rFonts w:ascii="宋体"/>
              </w:rPr>
            </w:pPr>
          </w:p>
        </w:tc>
      </w:tr>
      <w:tr w:rsidR="00996AD7" w14:paraId="39D97E5B" w14:textId="77777777">
        <w:tc>
          <w:tcPr>
            <w:tcW w:w="0" w:type="auto"/>
            <w:gridSpan w:val="3"/>
            <w:shd w:val="clear" w:color="auto" w:fill="auto"/>
            <w:tcMar>
              <w:top w:w="40" w:type="dxa"/>
              <w:left w:w="20" w:type="dxa"/>
              <w:bottom w:w="40" w:type="dxa"/>
              <w:right w:w="20" w:type="dxa"/>
            </w:tcMar>
            <w:vAlign w:val="bottom"/>
          </w:tcPr>
          <w:p w14:paraId="39D97E4A" w14:textId="77777777" w:rsidR="00996AD7" w:rsidRDefault="00D96458">
            <w:pPr>
              <w:textAlignment w:val="bottom"/>
            </w:pPr>
            <w:r>
              <w:rPr>
                <w:rFonts w:ascii="Arial" w:eastAsia="宋体" w:hAnsi="Arial" w:cs="Arial"/>
                <w:b/>
                <w:bCs/>
                <w:color w:val="262626"/>
                <w:sz w:val="18"/>
                <w:szCs w:val="18"/>
              </w:rPr>
              <w:t>Total operating income</w:t>
            </w:r>
          </w:p>
        </w:tc>
        <w:tc>
          <w:tcPr>
            <w:tcW w:w="0" w:type="auto"/>
            <w:gridSpan w:val="3"/>
            <w:shd w:val="clear" w:color="auto" w:fill="auto"/>
            <w:tcMar>
              <w:top w:w="0" w:type="dxa"/>
              <w:left w:w="20" w:type="dxa"/>
              <w:bottom w:w="0" w:type="dxa"/>
              <w:right w:w="20" w:type="dxa"/>
            </w:tcMar>
            <w:vAlign w:val="bottom"/>
          </w:tcPr>
          <w:p w14:paraId="39D97E4B"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E4C"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E4D" w14:textId="77777777" w:rsidR="00996AD7" w:rsidRDefault="00D96458">
            <w:pPr>
              <w:jc w:val="right"/>
              <w:textAlignment w:val="bottom"/>
            </w:pPr>
            <w:r>
              <w:rPr>
                <w:rFonts w:ascii="Arial" w:eastAsia="宋体" w:hAnsi="Arial" w:cs="Arial"/>
                <w:b/>
                <w:bCs/>
                <w:color w:val="0068B5"/>
                <w:sz w:val="18"/>
                <w:szCs w:val="18"/>
              </w:rPr>
              <w:t>5,227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E4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4F"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E50"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E51" w14:textId="77777777" w:rsidR="00996AD7" w:rsidRDefault="00D96458">
            <w:pPr>
              <w:jc w:val="right"/>
              <w:textAlignment w:val="bottom"/>
            </w:pPr>
            <w:r>
              <w:rPr>
                <w:rFonts w:ascii="Arial" w:eastAsia="宋体" w:hAnsi="Arial" w:cs="Arial"/>
                <w:b/>
                <w:bCs/>
                <w:color w:val="262626"/>
                <w:sz w:val="18"/>
                <w:szCs w:val="18"/>
              </w:rPr>
              <w:t>5,059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E5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53"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E54"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E55" w14:textId="77777777" w:rsidR="00996AD7" w:rsidRDefault="00D96458">
            <w:pPr>
              <w:jc w:val="right"/>
              <w:textAlignment w:val="bottom"/>
            </w:pPr>
            <w:r>
              <w:rPr>
                <w:rFonts w:ascii="Arial" w:eastAsia="宋体" w:hAnsi="Arial" w:cs="Arial"/>
                <w:b/>
                <w:bCs/>
                <w:color w:val="0068B5"/>
                <w:sz w:val="18"/>
                <w:szCs w:val="18"/>
              </w:rPr>
              <w:t>14,467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E5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57"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E58"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E59" w14:textId="77777777" w:rsidR="00996AD7" w:rsidRDefault="00D96458">
            <w:pPr>
              <w:jc w:val="right"/>
              <w:textAlignment w:val="bottom"/>
            </w:pPr>
            <w:r>
              <w:rPr>
                <w:rFonts w:ascii="Arial" w:eastAsia="宋体" w:hAnsi="Arial" w:cs="Arial"/>
                <w:b/>
                <w:bCs/>
                <w:color w:val="262626"/>
                <w:sz w:val="18"/>
                <w:szCs w:val="18"/>
              </w:rPr>
              <w:t>17,794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E5A" w14:textId="77777777" w:rsidR="00996AD7" w:rsidRDefault="00996AD7">
            <w:pPr>
              <w:jc w:val="right"/>
              <w:rPr>
                <w:rFonts w:ascii="宋体"/>
              </w:rPr>
            </w:pPr>
          </w:p>
        </w:tc>
      </w:tr>
    </w:tbl>
    <w:p w14:paraId="39D97E5C" w14:textId="77777777" w:rsidR="00996AD7" w:rsidRDefault="00D96458">
      <w:pPr>
        <w:spacing w:after="120"/>
      </w:pPr>
      <w:r>
        <w:rPr>
          <w:rFonts w:ascii="Arial" w:eastAsia="宋体" w:hAnsi="Arial" w:cs="Arial"/>
          <w:color w:val="262626"/>
          <w:sz w:val="18"/>
          <w:szCs w:val="18"/>
        </w:rPr>
        <w:t>Disaggregated net revenue for each period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997"/>
        <w:gridCol w:w="37"/>
        <w:gridCol w:w="36"/>
        <w:gridCol w:w="36"/>
        <w:gridCol w:w="36"/>
        <w:gridCol w:w="121"/>
        <w:gridCol w:w="801"/>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996AD7" w14:paraId="39D97E78" w14:textId="77777777">
        <w:tc>
          <w:tcPr>
            <w:tcW w:w="50" w:type="pct"/>
            <w:shd w:val="clear" w:color="auto" w:fill="auto"/>
            <w:vAlign w:val="bottom"/>
          </w:tcPr>
          <w:p w14:paraId="39D97E5D" w14:textId="77777777" w:rsidR="00996AD7" w:rsidRDefault="00996AD7">
            <w:pPr>
              <w:rPr>
                <w:rFonts w:ascii="宋体"/>
              </w:rPr>
            </w:pPr>
          </w:p>
        </w:tc>
        <w:tc>
          <w:tcPr>
            <w:tcW w:w="2431" w:type="pct"/>
            <w:shd w:val="clear" w:color="auto" w:fill="auto"/>
            <w:vAlign w:val="bottom"/>
          </w:tcPr>
          <w:p w14:paraId="39D97E5E" w14:textId="77777777" w:rsidR="00996AD7" w:rsidRDefault="00996AD7">
            <w:pPr>
              <w:rPr>
                <w:rFonts w:ascii="宋体"/>
              </w:rPr>
            </w:pPr>
          </w:p>
        </w:tc>
        <w:tc>
          <w:tcPr>
            <w:tcW w:w="5" w:type="pct"/>
            <w:shd w:val="clear" w:color="auto" w:fill="auto"/>
            <w:vAlign w:val="bottom"/>
          </w:tcPr>
          <w:p w14:paraId="39D97E5F" w14:textId="77777777" w:rsidR="00996AD7" w:rsidRDefault="00996AD7">
            <w:pPr>
              <w:rPr>
                <w:rFonts w:ascii="宋体"/>
              </w:rPr>
            </w:pPr>
          </w:p>
        </w:tc>
        <w:tc>
          <w:tcPr>
            <w:tcW w:w="5" w:type="pct"/>
            <w:shd w:val="clear" w:color="auto" w:fill="auto"/>
            <w:vAlign w:val="bottom"/>
          </w:tcPr>
          <w:p w14:paraId="39D97E60" w14:textId="77777777" w:rsidR="00996AD7" w:rsidRDefault="00996AD7">
            <w:pPr>
              <w:rPr>
                <w:rFonts w:ascii="宋体"/>
              </w:rPr>
            </w:pPr>
          </w:p>
        </w:tc>
        <w:tc>
          <w:tcPr>
            <w:tcW w:w="24" w:type="pct"/>
            <w:shd w:val="clear" w:color="auto" w:fill="auto"/>
            <w:vAlign w:val="bottom"/>
          </w:tcPr>
          <w:p w14:paraId="39D97E61" w14:textId="77777777" w:rsidR="00996AD7" w:rsidRDefault="00996AD7">
            <w:pPr>
              <w:rPr>
                <w:rFonts w:ascii="宋体"/>
              </w:rPr>
            </w:pPr>
          </w:p>
        </w:tc>
        <w:tc>
          <w:tcPr>
            <w:tcW w:w="5" w:type="pct"/>
            <w:shd w:val="clear" w:color="auto" w:fill="auto"/>
            <w:vAlign w:val="bottom"/>
          </w:tcPr>
          <w:p w14:paraId="39D97E62" w14:textId="77777777" w:rsidR="00996AD7" w:rsidRDefault="00996AD7">
            <w:pPr>
              <w:rPr>
                <w:rFonts w:ascii="宋体"/>
              </w:rPr>
            </w:pPr>
          </w:p>
        </w:tc>
        <w:tc>
          <w:tcPr>
            <w:tcW w:w="50" w:type="pct"/>
            <w:shd w:val="clear" w:color="auto" w:fill="auto"/>
            <w:vAlign w:val="bottom"/>
          </w:tcPr>
          <w:p w14:paraId="39D97E63" w14:textId="77777777" w:rsidR="00996AD7" w:rsidRDefault="00996AD7">
            <w:pPr>
              <w:rPr>
                <w:rFonts w:ascii="宋体"/>
              </w:rPr>
            </w:pPr>
          </w:p>
        </w:tc>
        <w:tc>
          <w:tcPr>
            <w:tcW w:w="539" w:type="pct"/>
            <w:shd w:val="clear" w:color="auto" w:fill="auto"/>
            <w:vAlign w:val="bottom"/>
          </w:tcPr>
          <w:p w14:paraId="39D97E64" w14:textId="77777777" w:rsidR="00996AD7" w:rsidRDefault="00996AD7">
            <w:pPr>
              <w:rPr>
                <w:rFonts w:ascii="宋体"/>
              </w:rPr>
            </w:pPr>
          </w:p>
        </w:tc>
        <w:tc>
          <w:tcPr>
            <w:tcW w:w="5" w:type="pct"/>
            <w:shd w:val="clear" w:color="auto" w:fill="auto"/>
            <w:vAlign w:val="bottom"/>
          </w:tcPr>
          <w:p w14:paraId="39D97E65" w14:textId="77777777" w:rsidR="00996AD7" w:rsidRDefault="00996AD7">
            <w:pPr>
              <w:rPr>
                <w:rFonts w:ascii="宋体"/>
              </w:rPr>
            </w:pPr>
          </w:p>
        </w:tc>
        <w:tc>
          <w:tcPr>
            <w:tcW w:w="5" w:type="pct"/>
            <w:shd w:val="clear" w:color="auto" w:fill="auto"/>
            <w:vAlign w:val="bottom"/>
          </w:tcPr>
          <w:p w14:paraId="39D97E66" w14:textId="77777777" w:rsidR="00996AD7" w:rsidRDefault="00996AD7">
            <w:pPr>
              <w:rPr>
                <w:rFonts w:ascii="宋体"/>
              </w:rPr>
            </w:pPr>
          </w:p>
        </w:tc>
        <w:tc>
          <w:tcPr>
            <w:tcW w:w="24" w:type="pct"/>
            <w:shd w:val="clear" w:color="auto" w:fill="auto"/>
            <w:vAlign w:val="bottom"/>
          </w:tcPr>
          <w:p w14:paraId="39D97E67" w14:textId="77777777" w:rsidR="00996AD7" w:rsidRDefault="00996AD7">
            <w:pPr>
              <w:rPr>
                <w:rFonts w:ascii="宋体"/>
              </w:rPr>
            </w:pPr>
          </w:p>
        </w:tc>
        <w:tc>
          <w:tcPr>
            <w:tcW w:w="5" w:type="pct"/>
            <w:shd w:val="clear" w:color="auto" w:fill="auto"/>
            <w:vAlign w:val="bottom"/>
          </w:tcPr>
          <w:p w14:paraId="39D97E68" w14:textId="77777777" w:rsidR="00996AD7" w:rsidRDefault="00996AD7">
            <w:pPr>
              <w:rPr>
                <w:rFonts w:ascii="宋体"/>
              </w:rPr>
            </w:pPr>
          </w:p>
        </w:tc>
        <w:tc>
          <w:tcPr>
            <w:tcW w:w="50" w:type="pct"/>
            <w:shd w:val="clear" w:color="auto" w:fill="auto"/>
            <w:vAlign w:val="bottom"/>
          </w:tcPr>
          <w:p w14:paraId="39D97E69" w14:textId="77777777" w:rsidR="00996AD7" w:rsidRDefault="00996AD7">
            <w:pPr>
              <w:rPr>
                <w:rFonts w:ascii="宋体"/>
              </w:rPr>
            </w:pPr>
          </w:p>
        </w:tc>
        <w:tc>
          <w:tcPr>
            <w:tcW w:w="539" w:type="pct"/>
            <w:shd w:val="clear" w:color="auto" w:fill="auto"/>
            <w:vAlign w:val="bottom"/>
          </w:tcPr>
          <w:p w14:paraId="39D97E6A" w14:textId="77777777" w:rsidR="00996AD7" w:rsidRDefault="00996AD7">
            <w:pPr>
              <w:rPr>
                <w:rFonts w:ascii="宋体"/>
              </w:rPr>
            </w:pPr>
          </w:p>
        </w:tc>
        <w:tc>
          <w:tcPr>
            <w:tcW w:w="5" w:type="pct"/>
            <w:shd w:val="clear" w:color="auto" w:fill="auto"/>
            <w:vAlign w:val="bottom"/>
          </w:tcPr>
          <w:p w14:paraId="39D97E6B" w14:textId="77777777" w:rsidR="00996AD7" w:rsidRDefault="00996AD7">
            <w:pPr>
              <w:rPr>
                <w:rFonts w:ascii="宋体"/>
              </w:rPr>
            </w:pPr>
          </w:p>
        </w:tc>
        <w:tc>
          <w:tcPr>
            <w:tcW w:w="5" w:type="pct"/>
            <w:shd w:val="clear" w:color="auto" w:fill="auto"/>
            <w:vAlign w:val="bottom"/>
          </w:tcPr>
          <w:p w14:paraId="39D97E6C" w14:textId="77777777" w:rsidR="00996AD7" w:rsidRDefault="00996AD7">
            <w:pPr>
              <w:rPr>
                <w:rFonts w:ascii="宋体"/>
              </w:rPr>
            </w:pPr>
          </w:p>
        </w:tc>
        <w:tc>
          <w:tcPr>
            <w:tcW w:w="24" w:type="pct"/>
            <w:shd w:val="clear" w:color="auto" w:fill="auto"/>
            <w:vAlign w:val="bottom"/>
          </w:tcPr>
          <w:p w14:paraId="39D97E6D" w14:textId="77777777" w:rsidR="00996AD7" w:rsidRDefault="00996AD7">
            <w:pPr>
              <w:rPr>
                <w:rFonts w:ascii="宋体"/>
              </w:rPr>
            </w:pPr>
          </w:p>
        </w:tc>
        <w:tc>
          <w:tcPr>
            <w:tcW w:w="5" w:type="pct"/>
            <w:shd w:val="clear" w:color="auto" w:fill="auto"/>
            <w:vAlign w:val="bottom"/>
          </w:tcPr>
          <w:p w14:paraId="39D97E6E" w14:textId="77777777" w:rsidR="00996AD7" w:rsidRDefault="00996AD7">
            <w:pPr>
              <w:rPr>
                <w:rFonts w:ascii="宋体"/>
              </w:rPr>
            </w:pPr>
          </w:p>
        </w:tc>
        <w:tc>
          <w:tcPr>
            <w:tcW w:w="50" w:type="pct"/>
            <w:shd w:val="clear" w:color="auto" w:fill="auto"/>
            <w:vAlign w:val="bottom"/>
          </w:tcPr>
          <w:p w14:paraId="39D97E6F" w14:textId="77777777" w:rsidR="00996AD7" w:rsidRDefault="00996AD7">
            <w:pPr>
              <w:rPr>
                <w:rFonts w:ascii="宋体"/>
              </w:rPr>
            </w:pPr>
          </w:p>
        </w:tc>
        <w:tc>
          <w:tcPr>
            <w:tcW w:w="539" w:type="pct"/>
            <w:shd w:val="clear" w:color="auto" w:fill="auto"/>
            <w:vAlign w:val="bottom"/>
          </w:tcPr>
          <w:p w14:paraId="39D97E70" w14:textId="77777777" w:rsidR="00996AD7" w:rsidRDefault="00996AD7">
            <w:pPr>
              <w:rPr>
                <w:rFonts w:ascii="宋体"/>
              </w:rPr>
            </w:pPr>
          </w:p>
        </w:tc>
        <w:tc>
          <w:tcPr>
            <w:tcW w:w="5" w:type="pct"/>
            <w:shd w:val="clear" w:color="auto" w:fill="auto"/>
            <w:vAlign w:val="bottom"/>
          </w:tcPr>
          <w:p w14:paraId="39D97E71" w14:textId="77777777" w:rsidR="00996AD7" w:rsidRDefault="00996AD7">
            <w:pPr>
              <w:rPr>
                <w:rFonts w:ascii="宋体"/>
              </w:rPr>
            </w:pPr>
          </w:p>
        </w:tc>
        <w:tc>
          <w:tcPr>
            <w:tcW w:w="5" w:type="pct"/>
            <w:shd w:val="clear" w:color="auto" w:fill="auto"/>
            <w:vAlign w:val="bottom"/>
          </w:tcPr>
          <w:p w14:paraId="39D97E72" w14:textId="77777777" w:rsidR="00996AD7" w:rsidRDefault="00996AD7">
            <w:pPr>
              <w:rPr>
                <w:rFonts w:ascii="宋体"/>
              </w:rPr>
            </w:pPr>
          </w:p>
        </w:tc>
        <w:tc>
          <w:tcPr>
            <w:tcW w:w="24" w:type="pct"/>
            <w:shd w:val="clear" w:color="auto" w:fill="auto"/>
            <w:vAlign w:val="bottom"/>
          </w:tcPr>
          <w:p w14:paraId="39D97E73" w14:textId="77777777" w:rsidR="00996AD7" w:rsidRDefault="00996AD7">
            <w:pPr>
              <w:rPr>
                <w:rFonts w:ascii="宋体"/>
              </w:rPr>
            </w:pPr>
          </w:p>
        </w:tc>
        <w:tc>
          <w:tcPr>
            <w:tcW w:w="5" w:type="pct"/>
            <w:shd w:val="clear" w:color="auto" w:fill="auto"/>
            <w:vAlign w:val="bottom"/>
          </w:tcPr>
          <w:p w14:paraId="39D97E74" w14:textId="77777777" w:rsidR="00996AD7" w:rsidRDefault="00996AD7">
            <w:pPr>
              <w:rPr>
                <w:rFonts w:ascii="宋体"/>
              </w:rPr>
            </w:pPr>
          </w:p>
        </w:tc>
        <w:tc>
          <w:tcPr>
            <w:tcW w:w="50" w:type="pct"/>
            <w:shd w:val="clear" w:color="auto" w:fill="auto"/>
            <w:vAlign w:val="bottom"/>
          </w:tcPr>
          <w:p w14:paraId="39D97E75" w14:textId="77777777" w:rsidR="00996AD7" w:rsidRDefault="00996AD7">
            <w:pPr>
              <w:rPr>
                <w:rFonts w:ascii="宋体"/>
              </w:rPr>
            </w:pPr>
          </w:p>
        </w:tc>
        <w:tc>
          <w:tcPr>
            <w:tcW w:w="539" w:type="pct"/>
            <w:shd w:val="clear" w:color="auto" w:fill="auto"/>
            <w:vAlign w:val="bottom"/>
          </w:tcPr>
          <w:p w14:paraId="39D97E76" w14:textId="77777777" w:rsidR="00996AD7" w:rsidRDefault="00996AD7">
            <w:pPr>
              <w:rPr>
                <w:rFonts w:ascii="宋体"/>
              </w:rPr>
            </w:pPr>
          </w:p>
        </w:tc>
        <w:tc>
          <w:tcPr>
            <w:tcW w:w="5" w:type="pct"/>
            <w:shd w:val="clear" w:color="auto" w:fill="auto"/>
            <w:vAlign w:val="bottom"/>
          </w:tcPr>
          <w:p w14:paraId="39D97E77" w14:textId="77777777" w:rsidR="00996AD7" w:rsidRDefault="00996AD7">
            <w:pPr>
              <w:rPr>
                <w:rFonts w:ascii="宋体"/>
              </w:rPr>
            </w:pPr>
          </w:p>
        </w:tc>
      </w:tr>
      <w:tr w:rsidR="00996AD7" w14:paraId="39D97E7E" w14:textId="77777777">
        <w:tc>
          <w:tcPr>
            <w:tcW w:w="0" w:type="auto"/>
            <w:gridSpan w:val="3"/>
            <w:shd w:val="clear" w:color="auto" w:fill="auto"/>
            <w:tcMar>
              <w:top w:w="0" w:type="dxa"/>
              <w:left w:w="20" w:type="dxa"/>
              <w:bottom w:w="0" w:type="dxa"/>
              <w:right w:w="20" w:type="dxa"/>
            </w:tcMar>
            <w:vAlign w:val="bottom"/>
          </w:tcPr>
          <w:p w14:paraId="39D97E7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E7A"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7E7B" w14:textId="77777777" w:rsidR="00996AD7" w:rsidRDefault="00D964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39D97E7C"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7E7D" w14:textId="77777777" w:rsidR="00996AD7" w:rsidRDefault="00D96458">
            <w:pPr>
              <w:jc w:val="center"/>
              <w:textAlignment w:val="bottom"/>
            </w:pPr>
            <w:r>
              <w:rPr>
                <w:rFonts w:ascii="Arial" w:eastAsia="宋体" w:hAnsi="Arial" w:cs="Arial"/>
                <w:b/>
                <w:bCs/>
                <w:color w:val="262626"/>
                <w:sz w:val="18"/>
                <w:szCs w:val="18"/>
              </w:rPr>
              <w:t>Nine Months Ended</w:t>
            </w:r>
          </w:p>
        </w:tc>
      </w:tr>
      <w:tr w:rsidR="00996AD7" w14:paraId="39D97E88" w14:textId="77777777">
        <w:tc>
          <w:tcPr>
            <w:tcW w:w="0" w:type="auto"/>
            <w:gridSpan w:val="3"/>
            <w:shd w:val="clear" w:color="auto" w:fill="auto"/>
            <w:tcMar>
              <w:top w:w="40" w:type="dxa"/>
              <w:left w:w="20" w:type="dxa"/>
              <w:bottom w:w="40" w:type="dxa"/>
              <w:right w:w="20" w:type="dxa"/>
            </w:tcMar>
            <w:vAlign w:val="bottom"/>
          </w:tcPr>
          <w:p w14:paraId="39D97E7F"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7E80"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E81"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E82"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E83"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gridSpan w:val="3"/>
            <w:shd w:val="clear" w:color="auto" w:fill="auto"/>
            <w:tcMar>
              <w:top w:w="0" w:type="dxa"/>
              <w:left w:w="20" w:type="dxa"/>
              <w:bottom w:w="0" w:type="dxa"/>
              <w:right w:w="20" w:type="dxa"/>
            </w:tcMar>
            <w:vAlign w:val="bottom"/>
          </w:tcPr>
          <w:p w14:paraId="39D97E84"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E85"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E86"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E87" w14:textId="77777777" w:rsidR="00996AD7" w:rsidRDefault="00D96458">
            <w:pPr>
              <w:jc w:val="center"/>
              <w:textAlignment w:val="bottom"/>
            </w:pPr>
            <w:r>
              <w:rPr>
                <w:rFonts w:ascii="Arial" w:eastAsia="宋体" w:hAnsi="Arial" w:cs="Arial"/>
                <w:b/>
                <w:bCs/>
                <w:color w:val="262626"/>
                <w:sz w:val="18"/>
                <w:szCs w:val="18"/>
              </w:rPr>
              <w:t>Sep 26, 2020</w:t>
            </w:r>
          </w:p>
        </w:tc>
      </w:tr>
      <w:tr w:rsidR="00996AD7" w14:paraId="39D97E92"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7E89" w14:textId="77777777" w:rsidR="00996AD7" w:rsidRDefault="00D96458">
            <w:pPr>
              <w:textAlignment w:val="bottom"/>
            </w:pPr>
            <w:r>
              <w:rPr>
                <w:rFonts w:ascii="Arial" w:eastAsia="宋体" w:hAnsi="Arial" w:cs="Arial"/>
                <w:b/>
                <w:bCs/>
                <w:color w:val="262626"/>
                <w:sz w:val="18"/>
                <w:szCs w:val="18"/>
              </w:rPr>
              <w:t>Platform revenue</w:t>
            </w:r>
          </w:p>
        </w:tc>
        <w:tc>
          <w:tcPr>
            <w:tcW w:w="0" w:type="auto"/>
            <w:gridSpan w:val="3"/>
            <w:shd w:val="clear" w:color="auto" w:fill="auto"/>
            <w:tcMar>
              <w:top w:w="0" w:type="dxa"/>
              <w:left w:w="20" w:type="dxa"/>
              <w:bottom w:w="0" w:type="dxa"/>
              <w:right w:w="20" w:type="dxa"/>
            </w:tcMar>
            <w:vAlign w:val="bottom"/>
          </w:tcPr>
          <w:p w14:paraId="39D97E8A"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E8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E8C"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E8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E8E"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E8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E90"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7E91" w14:textId="77777777" w:rsidR="00996AD7" w:rsidRDefault="00996AD7">
            <w:pPr>
              <w:rPr>
                <w:rFonts w:ascii="宋体"/>
              </w:rPr>
            </w:pPr>
          </w:p>
        </w:tc>
      </w:tr>
      <w:tr w:rsidR="00996AD7" w14:paraId="39D97EA4" w14:textId="77777777">
        <w:tc>
          <w:tcPr>
            <w:tcW w:w="0" w:type="auto"/>
            <w:gridSpan w:val="3"/>
            <w:shd w:val="clear" w:color="auto" w:fill="auto"/>
            <w:tcMar>
              <w:top w:w="40" w:type="dxa"/>
              <w:left w:w="140" w:type="dxa"/>
              <w:bottom w:w="40" w:type="dxa"/>
              <w:right w:w="20" w:type="dxa"/>
            </w:tcMar>
            <w:vAlign w:val="bottom"/>
          </w:tcPr>
          <w:p w14:paraId="39D97E93" w14:textId="77777777" w:rsidR="00996AD7" w:rsidRDefault="00D96458">
            <w:pPr>
              <w:textAlignment w:val="bottom"/>
            </w:pPr>
            <w:r>
              <w:rPr>
                <w:rFonts w:ascii="Arial" w:eastAsia="宋体" w:hAnsi="Arial" w:cs="Arial"/>
                <w:color w:val="262626"/>
                <w:sz w:val="18"/>
                <w:szCs w:val="18"/>
              </w:rPr>
              <w:t>CCG desktop platform</w:t>
            </w:r>
          </w:p>
        </w:tc>
        <w:tc>
          <w:tcPr>
            <w:tcW w:w="0" w:type="auto"/>
            <w:gridSpan w:val="3"/>
            <w:shd w:val="clear" w:color="auto" w:fill="auto"/>
            <w:tcMar>
              <w:top w:w="0" w:type="dxa"/>
              <w:left w:w="20" w:type="dxa"/>
              <w:bottom w:w="0" w:type="dxa"/>
              <w:right w:w="20" w:type="dxa"/>
            </w:tcMar>
            <w:vAlign w:val="bottom"/>
          </w:tcPr>
          <w:p w14:paraId="39D97E94"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E95"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7E96" w14:textId="77777777" w:rsidR="00996AD7" w:rsidRDefault="00D96458">
            <w:pPr>
              <w:jc w:val="right"/>
              <w:textAlignment w:val="bottom"/>
            </w:pPr>
            <w:r>
              <w:rPr>
                <w:rFonts w:ascii="Arial" w:eastAsia="宋体" w:hAnsi="Arial" w:cs="Arial"/>
                <w:color w:val="0068B5"/>
                <w:sz w:val="18"/>
                <w:szCs w:val="18"/>
              </w:rPr>
              <w:t>2,983 </w:t>
            </w:r>
          </w:p>
        </w:tc>
        <w:tc>
          <w:tcPr>
            <w:tcW w:w="0" w:type="auto"/>
            <w:shd w:val="clear" w:color="auto" w:fill="auto"/>
            <w:tcMar>
              <w:top w:w="40" w:type="dxa"/>
              <w:left w:w="0" w:type="dxa"/>
              <w:bottom w:w="40" w:type="dxa"/>
              <w:right w:w="20" w:type="dxa"/>
            </w:tcMar>
            <w:vAlign w:val="bottom"/>
          </w:tcPr>
          <w:p w14:paraId="39D97E9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98"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E99"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7E9A" w14:textId="77777777" w:rsidR="00996AD7" w:rsidRDefault="00D96458">
            <w:pPr>
              <w:jc w:val="right"/>
              <w:textAlignment w:val="bottom"/>
            </w:pPr>
            <w:r>
              <w:rPr>
                <w:rFonts w:ascii="Arial" w:eastAsia="宋体" w:hAnsi="Arial" w:cs="Arial"/>
                <w:color w:val="262626"/>
                <w:sz w:val="18"/>
                <w:szCs w:val="18"/>
              </w:rPr>
              <w:t>2,483 </w:t>
            </w:r>
          </w:p>
        </w:tc>
        <w:tc>
          <w:tcPr>
            <w:tcW w:w="0" w:type="auto"/>
            <w:shd w:val="clear" w:color="auto" w:fill="auto"/>
            <w:tcMar>
              <w:top w:w="40" w:type="dxa"/>
              <w:left w:w="0" w:type="dxa"/>
              <w:bottom w:w="40" w:type="dxa"/>
              <w:right w:w="20" w:type="dxa"/>
            </w:tcMar>
            <w:vAlign w:val="bottom"/>
          </w:tcPr>
          <w:p w14:paraId="39D97E9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9C"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E9D"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7E9E" w14:textId="77777777" w:rsidR="00996AD7" w:rsidRDefault="00D96458">
            <w:pPr>
              <w:jc w:val="right"/>
              <w:textAlignment w:val="bottom"/>
            </w:pPr>
            <w:r>
              <w:rPr>
                <w:rFonts w:ascii="Arial" w:eastAsia="宋体" w:hAnsi="Arial" w:cs="Arial"/>
                <w:color w:val="0068B5"/>
                <w:sz w:val="18"/>
                <w:szCs w:val="18"/>
              </w:rPr>
              <w:t>8,262 </w:t>
            </w:r>
          </w:p>
        </w:tc>
        <w:tc>
          <w:tcPr>
            <w:tcW w:w="0" w:type="auto"/>
            <w:shd w:val="clear" w:color="auto" w:fill="auto"/>
            <w:tcMar>
              <w:top w:w="40" w:type="dxa"/>
              <w:left w:w="0" w:type="dxa"/>
              <w:bottom w:w="40" w:type="dxa"/>
              <w:right w:w="20" w:type="dxa"/>
            </w:tcMar>
            <w:vAlign w:val="bottom"/>
          </w:tcPr>
          <w:p w14:paraId="39D97E9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A0"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7EA1"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7EA2" w14:textId="77777777" w:rsidR="00996AD7" w:rsidRDefault="00D96458">
            <w:pPr>
              <w:jc w:val="right"/>
              <w:textAlignment w:val="bottom"/>
            </w:pPr>
            <w:r>
              <w:rPr>
                <w:rFonts w:ascii="Arial" w:eastAsia="宋体" w:hAnsi="Arial" w:cs="Arial"/>
                <w:color w:val="262626"/>
                <w:sz w:val="18"/>
                <w:szCs w:val="18"/>
              </w:rPr>
              <w:t>7,691 </w:t>
            </w:r>
          </w:p>
        </w:tc>
        <w:tc>
          <w:tcPr>
            <w:tcW w:w="0" w:type="auto"/>
            <w:shd w:val="clear" w:color="auto" w:fill="auto"/>
            <w:tcMar>
              <w:top w:w="40" w:type="dxa"/>
              <w:left w:w="0" w:type="dxa"/>
              <w:bottom w:w="40" w:type="dxa"/>
              <w:right w:w="20" w:type="dxa"/>
            </w:tcMar>
            <w:vAlign w:val="bottom"/>
          </w:tcPr>
          <w:p w14:paraId="39D97EA3" w14:textId="77777777" w:rsidR="00996AD7" w:rsidRDefault="00996AD7">
            <w:pPr>
              <w:jc w:val="right"/>
              <w:rPr>
                <w:rFonts w:ascii="宋体"/>
              </w:rPr>
            </w:pPr>
          </w:p>
        </w:tc>
      </w:tr>
      <w:tr w:rsidR="00996AD7" w14:paraId="39D97EB2" w14:textId="77777777">
        <w:tc>
          <w:tcPr>
            <w:tcW w:w="0" w:type="auto"/>
            <w:gridSpan w:val="3"/>
            <w:shd w:val="clear" w:color="auto" w:fill="auto"/>
            <w:tcMar>
              <w:top w:w="40" w:type="dxa"/>
              <w:left w:w="140" w:type="dxa"/>
              <w:bottom w:w="40" w:type="dxa"/>
              <w:right w:w="20" w:type="dxa"/>
            </w:tcMar>
            <w:vAlign w:val="bottom"/>
          </w:tcPr>
          <w:p w14:paraId="39D97EA5" w14:textId="77777777" w:rsidR="00996AD7" w:rsidRDefault="00D96458">
            <w:pPr>
              <w:textAlignment w:val="bottom"/>
            </w:pPr>
            <w:r>
              <w:rPr>
                <w:rFonts w:ascii="Arial" w:eastAsia="宋体" w:hAnsi="Arial" w:cs="Arial"/>
                <w:color w:val="262626"/>
                <w:sz w:val="18"/>
                <w:szCs w:val="18"/>
              </w:rPr>
              <w:t>CCG notebook platform</w:t>
            </w:r>
          </w:p>
        </w:tc>
        <w:tc>
          <w:tcPr>
            <w:tcW w:w="0" w:type="auto"/>
            <w:gridSpan w:val="3"/>
            <w:shd w:val="clear" w:color="auto" w:fill="auto"/>
            <w:tcMar>
              <w:top w:w="0" w:type="dxa"/>
              <w:left w:w="20" w:type="dxa"/>
              <w:bottom w:w="0" w:type="dxa"/>
              <w:right w:w="20" w:type="dxa"/>
            </w:tcMar>
            <w:vAlign w:val="bottom"/>
          </w:tcPr>
          <w:p w14:paraId="39D97EA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A7" w14:textId="77777777" w:rsidR="00996AD7" w:rsidRDefault="00D96458">
            <w:pPr>
              <w:jc w:val="right"/>
              <w:textAlignment w:val="bottom"/>
            </w:pPr>
            <w:r>
              <w:rPr>
                <w:rFonts w:ascii="Arial" w:eastAsia="宋体" w:hAnsi="Arial" w:cs="Arial"/>
                <w:color w:val="0068B5"/>
                <w:sz w:val="18"/>
                <w:szCs w:val="18"/>
              </w:rPr>
              <w:t>5,953 </w:t>
            </w:r>
          </w:p>
        </w:tc>
        <w:tc>
          <w:tcPr>
            <w:tcW w:w="0" w:type="auto"/>
            <w:shd w:val="clear" w:color="auto" w:fill="auto"/>
            <w:tcMar>
              <w:top w:w="40" w:type="dxa"/>
              <w:left w:w="0" w:type="dxa"/>
              <w:bottom w:w="40" w:type="dxa"/>
              <w:right w:w="20" w:type="dxa"/>
            </w:tcMar>
            <w:vAlign w:val="bottom"/>
          </w:tcPr>
          <w:p w14:paraId="39D97EA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A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AA" w14:textId="77777777" w:rsidR="00996AD7" w:rsidRDefault="00D96458">
            <w:pPr>
              <w:jc w:val="right"/>
              <w:textAlignment w:val="bottom"/>
            </w:pPr>
            <w:r>
              <w:rPr>
                <w:rFonts w:ascii="Arial" w:eastAsia="宋体" w:hAnsi="Arial" w:cs="Arial"/>
                <w:color w:val="262626"/>
                <w:sz w:val="18"/>
                <w:szCs w:val="18"/>
              </w:rPr>
              <w:t>6,275 </w:t>
            </w:r>
          </w:p>
        </w:tc>
        <w:tc>
          <w:tcPr>
            <w:tcW w:w="0" w:type="auto"/>
            <w:shd w:val="clear" w:color="auto" w:fill="auto"/>
            <w:tcMar>
              <w:top w:w="40" w:type="dxa"/>
              <w:left w:w="0" w:type="dxa"/>
              <w:bottom w:w="40" w:type="dxa"/>
              <w:right w:w="20" w:type="dxa"/>
            </w:tcMar>
            <w:vAlign w:val="bottom"/>
          </w:tcPr>
          <w:p w14:paraId="39D97EA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A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AD" w14:textId="77777777" w:rsidR="00996AD7" w:rsidRDefault="00D96458">
            <w:pPr>
              <w:jc w:val="right"/>
              <w:textAlignment w:val="bottom"/>
            </w:pPr>
            <w:r>
              <w:rPr>
                <w:rFonts w:ascii="Arial" w:eastAsia="宋体" w:hAnsi="Arial" w:cs="Arial"/>
                <w:color w:val="0068B5"/>
                <w:sz w:val="18"/>
                <w:szCs w:val="18"/>
              </w:rPr>
              <w:t>19,655 </w:t>
            </w:r>
          </w:p>
        </w:tc>
        <w:tc>
          <w:tcPr>
            <w:tcW w:w="0" w:type="auto"/>
            <w:shd w:val="clear" w:color="auto" w:fill="auto"/>
            <w:tcMar>
              <w:top w:w="40" w:type="dxa"/>
              <w:left w:w="0" w:type="dxa"/>
              <w:bottom w:w="40" w:type="dxa"/>
              <w:right w:w="20" w:type="dxa"/>
            </w:tcMar>
            <w:vAlign w:val="bottom"/>
          </w:tcPr>
          <w:p w14:paraId="39D97EA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A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B0" w14:textId="77777777" w:rsidR="00996AD7" w:rsidRDefault="00D96458">
            <w:pPr>
              <w:jc w:val="right"/>
              <w:textAlignment w:val="bottom"/>
            </w:pPr>
            <w:r>
              <w:rPr>
                <w:rFonts w:ascii="Arial" w:eastAsia="宋体" w:hAnsi="Arial" w:cs="Arial"/>
                <w:color w:val="262626"/>
                <w:sz w:val="18"/>
                <w:szCs w:val="18"/>
              </w:rPr>
              <w:t>17,976 </w:t>
            </w:r>
          </w:p>
        </w:tc>
        <w:tc>
          <w:tcPr>
            <w:tcW w:w="0" w:type="auto"/>
            <w:shd w:val="clear" w:color="auto" w:fill="auto"/>
            <w:tcMar>
              <w:top w:w="40" w:type="dxa"/>
              <w:left w:w="0" w:type="dxa"/>
              <w:bottom w:w="40" w:type="dxa"/>
              <w:right w:w="20" w:type="dxa"/>
            </w:tcMar>
            <w:vAlign w:val="bottom"/>
          </w:tcPr>
          <w:p w14:paraId="39D97EB1" w14:textId="77777777" w:rsidR="00996AD7" w:rsidRDefault="00996AD7">
            <w:pPr>
              <w:jc w:val="right"/>
              <w:rPr>
                <w:rFonts w:ascii="宋体"/>
              </w:rPr>
            </w:pPr>
          </w:p>
        </w:tc>
      </w:tr>
      <w:tr w:rsidR="00996AD7" w14:paraId="39D97EC0" w14:textId="77777777">
        <w:tc>
          <w:tcPr>
            <w:tcW w:w="0" w:type="auto"/>
            <w:gridSpan w:val="3"/>
            <w:shd w:val="clear" w:color="auto" w:fill="auto"/>
            <w:tcMar>
              <w:top w:w="40" w:type="dxa"/>
              <w:left w:w="20" w:type="dxa"/>
              <w:bottom w:w="40" w:type="dxa"/>
              <w:right w:w="20" w:type="dxa"/>
            </w:tcMar>
            <w:vAlign w:val="bottom"/>
          </w:tcPr>
          <w:p w14:paraId="39D97EB3" w14:textId="77777777" w:rsidR="00996AD7" w:rsidRDefault="00D96458">
            <w:pPr>
              <w:textAlignment w:val="bottom"/>
            </w:pPr>
            <w:r>
              <w:rPr>
                <w:rFonts w:ascii="Arial" w:eastAsia="宋体" w:hAnsi="Arial" w:cs="Arial"/>
                <w:color w:val="262626"/>
                <w:sz w:val="18"/>
                <w:szCs w:val="18"/>
              </w:rPr>
              <w:t>CCG other platform</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vAlign w:val="bottom"/>
          </w:tcPr>
          <w:p w14:paraId="39D97EB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B5" w14:textId="77777777" w:rsidR="00996AD7" w:rsidRDefault="00D96458">
            <w:pPr>
              <w:jc w:val="right"/>
              <w:textAlignment w:val="bottom"/>
            </w:pPr>
            <w:r>
              <w:rPr>
                <w:rFonts w:ascii="Arial" w:eastAsia="宋体" w:hAnsi="Arial" w:cs="Arial"/>
                <w:color w:val="0068B5"/>
                <w:sz w:val="18"/>
                <w:szCs w:val="18"/>
              </w:rPr>
              <w:t>18 </w:t>
            </w:r>
          </w:p>
        </w:tc>
        <w:tc>
          <w:tcPr>
            <w:tcW w:w="0" w:type="auto"/>
            <w:shd w:val="clear" w:color="auto" w:fill="auto"/>
            <w:tcMar>
              <w:top w:w="40" w:type="dxa"/>
              <w:left w:w="0" w:type="dxa"/>
              <w:bottom w:w="40" w:type="dxa"/>
              <w:right w:w="20" w:type="dxa"/>
            </w:tcMar>
            <w:vAlign w:val="bottom"/>
          </w:tcPr>
          <w:p w14:paraId="39D97EB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B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B8" w14:textId="77777777" w:rsidR="00996AD7" w:rsidRDefault="00D96458">
            <w:pPr>
              <w:jc w:val="right"/>
              <w:textAlignment w:val="bottom"/>
            </w:pPr>
            <w:r>
              <w:rPr>
                <w:rFonts w:ascii="Arial" w:eastAsia="宋体" w:hAnsi="Arial" w:cs="Arial"/>
                <w:color w:val="262626"/>
                <w:sz w:val="18"/>
                <w:szCs w:val="18"/>
              </w:rPr>
              <w:t>4 </w:t>
            </w:r>
          </w:p>
        </w:tc>
        <w:tc>
          <w:tcPr>
            <w:tcW w:w="0" w:type="auto"/>
            <w:shd w:val="clear" w:color="auto" w:fill="auto"/>
            <w:tcMar>
              <w:top w:w="40" w:type="dxa"/>
              <w:left w:w="0" w:type="dxa"/>
              <w:bottom w:w="40" w:type="dxa"/>
              <w:right w:w="20" w:type="dxa"/>
            </w:tcMar>
            <w:vAlign w:val="bottom"/>
          </w:tcPr>
          <w:p w14:paraId="39D97EB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B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BB" w14:textId="77777777" w:rsidR="00996AD7" w:rsidRDefault="00D96458">
            <w:pPr>
              <w:jc w:val="right"/>
              <w:textAlignment w:val="bottom"/>
            </w:pPr>
            <w:r>
              <w:rPr>
                <w:rFonts w:ascii="Arial" w:eastAsia="宋体" w:hAnsi="Arial" w:cs="Arial"/>
                <w:color w:val="0068B5"/>
                <w:sz w:val="18"/>
                <w:szCs w:val="18"/>
              </w:rPr>
              <w:t>51 </w:t>
            </w:r>
          </w:p>
        </w:tc>
        <w:tc>
          <w:tcPr>
            <w:tcW w:w="0" w:type="auto"/>
            <w:shd w:val="clear" w:color="auto" w:fill="auto"/>
            <w:tcMar>
              <w:top w:w="40" w:type="dxa"/>
              <w:left w:w="0" w:type="dxa"/>
              <w:bottom w:w="40" w:type="dxa"/>
              <w:right w:w="20" w:type="dxa"/>
            </w:tcMar>
            <w:vAlign w:val="bottom"/>
          </w:tcPr>
          <w:p w14:paraId="39D97EB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B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BE" w14:textId="77777777" w:rsidR="00996AD7" w:rsidRDefault="00D96458">
            <w:pPr>
              <w:jc w:val="right"/>
              <w:textAlignment w:val="bottom"/>
            </w:pPr>
            <w:r>
              <w:rPr>
                <w:rFonts w:ascii="Arial" w:eastAsia="宋体" w:hAnsi="Arial" w:cs="Arial"/>
                <w:color w:val="262626"/>
                <w:sz w:val="18"/>
                <w:szCs w:val="18"/>
              </w:rPr>
              <w:t>36 </w:t>
            </w:r>
          </w:p>
        </w:tc>
        <w:tc>
          <w:tcPr>
            <w:tcW w:w="0" w:type="auto"/>
            <w:shd w:val="clear" w:color="auto" w:fill="auto"/>
            <w:tcMar>
              <w:top w:w="40" w:type="dxa"/>
              <w:left w:w="0" w:type="dxa"/>
              <w:bottom w:w="40" w:type="dxa"/>
              <w:right w:w="20" w:type="dxa"/>
            </w:tcMar>
            <w:vAlign w:val="bottom"/>
          </w:tcPr>
          <w:p w14:paraId="39D97EBF" w14:textId="77777777" w:rsidR="00996AD7" w:rsidRDefault="00996AD7">
            <w:pPr>
              <w:jc w:val="right"/>
              <w:rPr>
                <w:rFonts w:ascii="宋体"/>
              </w:rPr>
            </w:pPr>
          </w:p>
        </w:tc>
      </w:tr>
      <w:tr w:rsidR="00996AD7" w14:paraId="39D97ECE" w14:textId="77777777">
        <w:tc>
          <w:tcPr>
            <w:tcW w:w="0" w:type="auto"/>
            <w:gridSpan w:val="3"/>
            <w:shd w:val="clear" w:color="auto" w:fill="auto"/>
            <w:tcMar>
              <w:top w:w="40" w:type="dxa"/>
              <w:left w:w="140" w:type="dxa"/>
              <w:bottom w:w="40" w:type="dxa"/>
              <w:right w:w="20" w:type="dxa"/>
            </w:tcMar>
            <w:vAlign w:val="bottom"/>
          </w:tcPr>
          <w:p w14:paraId="39D97EC1" w14:textId="77777777" w:rsidR="00996AD7" w:rsidRDefault="00D96458">
            <w:pPr>
              <w:textAlignment w:val="bottom"/>
            </w:pPr>
            <w:r>
              <w:rPr>
                <w:rFonts w:ascii="Arial" w:eastAsia="宋体" w:hAnsi="Arial" w:cs="Arial"/>
                <w:color w:val="262626"/>
                <w:sz w:val="18"/>
                <w:szCs w:val="18"/>
              </w:rPr>
              <w:t>DCG platform</w:t>
            </w:r>
          </w:p>
        </w:tc>
        <w:tc>
          <w:tcPr>
            <w:tcW w:w="0" w:type="auto"/>
            <w:gridSpan w:val="3"/>
            <w:shd w:val="clear" w:color="auto" w:fill="auto"/>
            <w:tcMar>
              <w:top w:w="0" w:type="dxa"/>
              <w:left w:w="20" w:type="dxa"/>
              <w:bottom w:w="0" w:type="dxa"/>
              <w:right w:w="20" w:type="dxa"/>
            </w:tcMar>
            <w:vAlign w:val="bottom"/>
          </w:tcPr>
          <w:p w14:paraId="39D97EC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C3" w14:textId="77777777" w:rsidR="00996AD7" w:rsidRDefault="00D96458">
            <w:pPr>
              <w:jc w:val="right"/>
              <w:textAlignment w:val="bottom"/>
            </w:pPr>
            <w:r>
              <w:rPr>
                <w:rFonts w:ascii="Arial" w:eastAsia="宋体" w:hAnsi="Arial" w:cs="Arial"/>
                <w:color w:val="0068B5"/>
                <w:sz w:val="18"/>
                <w:szCs w:val="18"/>
              </w:rPr>
              <w:t>5,747 </w:t>
            </w:r>
          </w:p>
        </w:tc>
        <w:tc>
          <w:tcPr>
            <w:tcW w:w="0" w:type="auto"/>
            <w:shd w:val="clear" w:color="auto" w:fill="auto"/>
            <w:tcMar>
              <w:top w:w="40" w:type="dxa"/>
              <w:left w:w="0" w:type="dxa"/>
              <w:bottom w:w="40" w:type="dxa"/>
              <w:right w:w="20" w:type="dxa"/>
            </w:tcMar>
            <w:vAlign w:val="bottom"/>
          </w:tcPr>
          <w:p w14:paraId="39D97EC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C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C6" w14:textId="77777777" w:rsidR="00996AD7" w:rsidRDefault="00D96458">
            <w:pPr>
              <w:jc w:val="right"/>
              <w:textAlignment w:val="bottom"/>
            </w:pPr>
            <w:r>
              <w:rPr>
                <w:rFonts w:ascii="Arial" w:eastAsia="宋体" w:hAnsi="Arial" w:cs="Arial"/>
                <w:color w:val="262626"/>
                <w:sz w:val="18"/>
                <w:szCs w:val="18"/>
              </w:rPr>
              <w:t>5,151 </w:t>
            </w:r>
          </w:p>
        </w:tc>
        <w:tc>
          <w:tcPr>
            <w:tcW w:w="0" w:type="auto"/>
            <w:shd w:val="clear" w:color="auto" w:fill="auto"/>
            <w:tcMar>
              <w:top w:w="40" w:type="dxa"/>
              <w:left w:w="0" w:type="dxa"/>
              <w:bottom w:w="40" w:type="dxa"/>
              <w:right w:w="20" w:type="dxa"/>
            </w:tcMar>
            <w:vAlign w:val="bottom"/>
          </w:tcPr>
          <w:p w14:paraId="39D97EC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C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C9" w14:textId="77777777" w:rsidR="00996AD7" w:rsidRDefault="00D96458">
            <w:pPr>
              <w:jc w:val="right"/>
              <w:textAlignment w:val="bottom"/>
            </w:pPr>
            <w:r>
              <w:rPr>
                <w:rFonts w:ascii="Arial" w:eastAsia="宋体" w:hAnsi="Arial" w:cs="Arial"/>
                <w:color w:val="0068B5"/>
                <w:sz w:val="18"/>
                <w:szCs w:val="18"/>
              </w:rPr>
              <w:t>16,261 </w:t>
            </w:r>
          </w:p>
        </w:tc>
        <w:tc>
          <w:tcPr>
            <w:tcW w:w="0" w:type="auto"/>
            <w:shd w:val="clear" w:color="auto" w:fill="auto"/>
            <w:tcMar>
              <w:top w:w="40" w:type="dxa"/>
              <w:left w:w="0" w:type="dxa"/>
              <w:bottom w:w="40" w:type="dxa"/>
              <w:right w:w="20" w:type="dxa"/>
            </w:tcMar>
            <w:vAlign w:val="bottom"/>
          </w:tcPr>
          <w:p w14:paraId="39D97EC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C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CC" w14:textId="77777777" w:rsidR="00996AD7" w:rsidRDefault="00D96458">
            <w:pPr>
              <w:jc w:val="right"/>
              <w:textAlignment w:val="bottom"/>
            </w:pPr>
            <w:r>
              <w:rPr>
                <w:rFonts w:ascii="Arial" w:eastAsia="宋体" w:hAnsi="Arial" w:cs="Arial"/>
                <w:color w:val="262626"/>
                <w:sz w:val="18"/>
                <w:szCs w:val="18"/>
              </w:rPr>
              <w:t>17,759 </w:t>
            </w:r>
          </w:p>
        </w:tc>
        <w:tc>
          <w:tcPr>
            <w:tcW w:w="0" w:type="auto"/>
            <w:shd w:val="clear" w:color="auto" w:fill="auto"/>
            <w:tcMar>
              <w:top w:w="40" w:type="dxa"/>
              <w:left w:w="0" w:type="dxa"/>
              <w:bottom w:w="40" w:type="dxa"/>
              <w:right w:w="20" w:type="dxa"/>
            </w:tcMar>
            <w:vAlign w:val="bottom"/>
          </w:tcPr>
          <w:p w14:paraId="39D97ECD" w14:textId="77777777" w:rsidR="00996AD7" w:rsidRDefault="00996AD7">
            <w:pPr>
              <w:jc w:val="right"/>
              <w:rPr>
                <w:rFonts w:ascii="宋体"/>
              </w:rPr>
            </w:pPr>
          </w:p>
        </w:tc>
      </w:tr>
      <w:tr w:rsidR="00996AD7" w14:paraId="39D97EDC" w14:textId="77777777">
        <w:tc>
          <w:tcPr>
            <w:tcW w:w="0" w:type="auto"/>
            <w:gridSpan w:val="3"/>
            <w:shd w:val="clear" w:color="auto" w:fill="auto"/>
            <w:tcMar>
              <w:top w:w="40" w:type="dxa"/>
              <w:left w:w="140" w:type="dxa"/>
              <w:bottom w:w="40" w:type="dxa"/>
              <w:right w:w="20" w:type="dxa"/>
            </w:tcMar>
            <w:vAlign w:val="bottom"/>
          </w:tcPr>
          <w:p w14:paraId="39D97ECF" w14:textId="77777777" w:rsidR="00996AD7" w:rsidRDefault="00D96458">
            <w:pPr>
              <w:textAlignment w:val="bottom"/>
            </w:pPr>
            <w:r>
              <w:rPr>
                <w:rFonts w:ascii="Arial" w:eastAsia="宋体" w:hAnsi="Arial" w:cs="Arial"/>
                <w:color w:val="262626"/>
                <w:sz w:val="18"/>
                <w:szCs w:val="18"/>
              </w:rPr>
              <w:t>IOTG platform</w:t>
            </w:r>
          </w:p>
        </w:tc>
        <w:tc>
          <w:tcPr>
            <w:tcW w:w="0" w:type="auto"/>
            <w:gridSpan w:val="3"/>
            <w:shd w:val="clear" w:color="auto" w:fill="auto"/>
            <w:tcMar>
              <w:top w:w="0" w:type="dxa"/>
              <w:left w:w="20" w:type="dxa"/>
              <w:bottom w:w="0" w:type="dxa"/>
              <w:right w:w="20" w:type="dxa"/>
            </w:tcMar>
            <w:vAlign w:val="bottom"/>
          </w:tcPr>
          <w:p w14:paraId="39D97ED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D1" w14:textId="77777777" w:rsidR="00996AD7" w:rsidRDefault="00D96458">
            <w:pPr>
              <w:jc w:val="right"/>
              <w:textAlignment w:val="bottom"/>
            </w:pPr>
            <w:r>
              <w:rPr>
                <w:rFonts w:ascii="Arial" w:eastAsia="宋体" w:hAnsi="Arial" w:cs="Arial"/>
                <w:color w:val="0068B5"/>
                <w:sz w:val="18"/>
                <w:szCs w:val="18"/>
              </w:rPr>
              <w:t>948 </w:t>
            </w:r>
          </w:p>
        </w:tc>
        <w:tc>
          <w:tcPr>
            <w:tcW w:w="0" w:type="auto"/>
            <w:shd w:val="clear" w:color="auto" w:fill="auto"/>
            <w:tcMar>
              <w:top w:w="40" w:type="dxa"/>
              <w:left w:w="0" w:type="dxa"/>
              <w:bottom w:w="40" w:type="dxa"/>
              <w:right w:w="20" w:type="dxa"/>
            </w:tcMar>
            <w:vAlign w:val="bottom"/>
          </w:tcPr>
          <w:p w14:paraId="39D97ED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D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D4" w14:textId="77777777" w:rsidR="00996AD7" w:rsidRDefault="00D96458">
            <w:pPr>
              <w:jc w:val="right"/>
              <w:textAlignment w:val="bottom"/>
            </w:pPr>
            <w:r>
              <w:rPr>
                <w:rFonts w:ascii="Arial" w:eastAsia="宋体" w:hAnsi="Arial" w:cs="Arial"/>
                <w:color w:val="262626"/>
                <w:sz w:val="18"/>
                <w:szCs w:val="18"/>
              </w:rPr>
              <w:t>595 </w:t>
            </w:r>
          </w:p>
        </w:tc>
        <w:tc>
          <w:tcPr>
            <w:tcW w:w="0" w:type="auto"/>
            <w:shd w:val="clear" w:color="auto" w:fill="auto"/>
            <w:tcMar>
              <w:top w:w="40" w:type="dxa"/>
              <w:left w:w="0" w:type="dxa"/>
              <w:bottom w:w="40" w:type="dxa"/>
              <w:right w:w="20" w:type="dxa"/>
            </w:tcMar>
            <w:vAlign w:val="bottom"/>
          </w:tcPr>
          <w:p w14:paraId="39D97ED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D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D7" w14:textId="77777777" w:rsidR="00996AD7" w:rsidRDefault="00D96458">
            <w:pPr>
              <w:jc w:val="right"/>
              <w:textAlignment w:val="bottom"/>
            </w:pPr>
            <w:r>
              <w:rPr>
                <w:rFonts w:ascii="Arial" w:eastAsia="宋体" w:hAnsi="Arial" w:cs="Arial"/>
                <w:color w:val="0068B5"/>
                <w:sz w:val="18"/>
                <w:szCs w:val="18"/>
              </w:rPr>
              <w:t>2,679 </w:t>
            </w:r>
          </w:p>
        </w:tc>
        <w:tc>
          <w:tcPr>
            <w:tcW w:w="0" w:type="auto"/>
            <w:shd w:val="clear" w:color="auto" w:fill="auto"/>
            <w:tcMar>
              <w:top w:w="40" w:type="dxa"/>
              <w:left w:w="0" w:type="dxa"/>
              <w:bottom w:w="40" w:type="dxa"/>
              <w:right w:w="20" w:type="dxa"/>
            </w:tcMar>
            <w:vAlign w:val="bottom"/>
          </w:tcPr>
          <w:p w14:paraId="39D97ED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D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DA" w14:textId="77777777" w:rsidR="00996AD7" w:rsidRDefault="00D96458">
            <w:pPr>
              <w:jc w:val="right"/>
              <w:textAlignment w:val="bottom"/>
            </w:pPr>
            <w:r>
              <w:rPr>
                <w:rFonts w:ascii="Arial" w:eastAsia="宋体" w:hAnsi="Arial" w:cs="Arial"/>
                <w:color w:val="262626"/>
                <w:sz w:val="18"/>
                <w:szCs w:val="18"/>
              </w:rPr>
              <w:t>2,008 </w:t>
            </w:r>
          </w:p>
        </w:tc>
        <w:tc>
          <w:tcPr>
            <w:tcW w:w="0" w:type="auto"/>
            <w:shd w:val="clear" w:color="auto" w:fill="auto"/>
            <w:tcMar>
              <w:top w:w="40" w:type="dxa"/>
              <w:left w:w="0" w:type="dxa"/>
              <w:bottom w:w="40" w:type="dxa"/>
              <w:right w:w="20" w:type="dxa"/>
            </w:tcMar>
            <w:vAlign w:val="bottom"/>
          </w:tcPr>
          <w:p w14:paraId="39D97EDB" w14:textId="77777777" w:rsidR="00996AD7" w:rsidRDefault="00996AD7">
            <w:pPr>
              <w:jc w:val="right"/>
              <w:rPr>
                <w:rFonts w:ascii="宋体"/>
              </w:rPr>
            </w:pPr>
          </w:p>
        </w:tc>
      </w:tr>
      <w:tr w:rsidR="00996AD7" w14:paraId="39D97EEA" w14:textId="77777777">
        <w:tc>
          <w:tcPr>
            <w:tcW w:w="0" w:type="auto"/>
            <w:gridSpan w:val="3"/>
            <w:shd w:val="clear" w:color="auto" w:fill="auto"/>
            <w:tcMar>
              <w:top w:w="0" w:type="dxa"/>
              <w:left w:w="20" w:type="dxa"/>
              <w:bottom w:w="0" w:type="dxa"/>
              <w:right w:w="20" w:type="dxa"/>
            </w:tcMar>
            <w:vAlign w:val="bottom"/>
          </w:tcPr>
          <w:p w14:paraId="39D97ED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EDE" w14:textId="77777777" w:rsidR="00996AD7" w:rsidRDefault="00996AD7">
            <w:pPr>
              <w:rPr>
                <w:rFonts w:ascii="宋体"/>
              </w:rPr>
            </w:pPr>
          </w:p>
        </w:tc>
        <w:tc>
          <w:tcPr>
            <w:tcW w:w="0" w:type="auto"/>
            <w:gridSpan w:val="2"/>
            <w:tcBorders>
              <w:top w:val="single" w:sz="2" w:space="0" w:color="000000"/>
            </w:tcBorders>
            <w:shd w:val="clear" w:color="auto" w:fill="auto"/>
            <w:tcMar>
              <w:top w:w="40" w:type="dxa"/>
              <w:left w:w="20" w:type="dxa"/>
              <w:bottom w:w="40" w:type="dxa"/>
              <w:right w:w="0" w:type="dxa"/>
            </w:tcMar>
            <w:vAlign w:val="bottom"/>
          </w:tcPr>
          <w:p w14:paraId="39D97EDF" w14:textId="77777777" w:rsidR="00996AD7" w:rsidRDefault="00D96458">
            <w:pPr>
              <w:jc w:val="right"/>
              <w:textAlignment w:val="bottom"/>
            </w:pPr>
            <w:r>
              <w:rPr>
                <w:rFonts w:ascii="Arial" w:eastAsia="宋体" w:hAnsi="Arial" w:cs="Arial"/>
                <w:b/>
                <w:bCs/>
                <w:color w:val="0068B5"/>
                <w:sz w:val="18"/>
                <w:szCs w:val="18"/>
              </w:rPr>
              <w:t>15,649</w:t>
            </w:r>
            <w:r>
              <w:rPr>
                <w:rFonts w:ascii="Arial" w:eastAsia="宋体" w:hAnsi="Arial" w:cs="Arial"/>
                <w:color w:val="0068B5"/>
                <w:sz w:val="18"/>
                <w:szCs w:val="18"/>
              </w:rPr>
              <w:t> </w:t>
            </w:r>
          </w:p>
        </w:tc>
        <w:tc>
          <w:tcPr>
            <w:tcW w:w="0" w:type="auto"/>
            <w:tcBorders>
              <w:top w:val="single" w:sz="2" w:space="0" w:color="000000"/>
            </w:tcBorders>
            <w:shd w:val="clear" w:color="auto" w:fill="auto"/>
            <w:tcMar>
              <w:top w:w="40" w:type="dxa"/>
              <w:left w:w="0" w:type="dxa"/>
              <w:bottom w:w="40" w:type="dxa"/>
              <w:right w:w="20" w:type="dxa"/>
            </w:tcMar>
            <w:vAlign w:val="bottom"/>
          </w:tcPr>
          <w:p w14:paraId="39D97EE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E1" w14:textId="77777777" w:rsidR="00996AD7" w:rsidRDefault="00996AD7">
            <w:pPr>
              <w:rPr>
                <w:rFonts w:ascii="宋体"/>
              </w:rPr>
            </w:pPr>
          </w:p>
        </w:tc>
        <w:tc>
          <w:tcPr>
            <w:tcW w:w="0" w:type="auto"/>
            <w:gridSpan w:val="2"/>
            <w:tcBorders>
              <w:top w:val="single" w:sz="2" w:space="0" w:color="000000"/>
            </w:tcBorders>
            <w:shd w:val="clear" w:color="auto" w:fill="auto"/>
            <w:tcMar>
              <w:top w:w="40" w:type="dxa"/>
              <w:left w:w="20" w:type="dxa"/>
              <w:bottom w:w="40" w:type="dxa"/>
              <w:right w:w="0" w:type="dxa"/>
            </w:tcMar>
            <w:vAlign w:val="bottom"/>
          </w:tcPr>
          <w:p w14:paraId="39D97EE2" w14:textId="77777777" w:rsidR="00996AD7" w:rsidRDefault="00D96458">
            <w:pPr>
              <w:jc w:val="right"/>
              <w:textAlignment w:val="bottom"/>
            </w:pPr>
            <w:r>
              <w:rPr>
                <w:rFonts w:ascii="Arial" w:eastAsia="宋体" w:hAnsi="Arial" w:cs="Arial"/>
                <w:b/>
                <w:bCs/>
                <w:color w:val="262626"/>
                <w:sz w:val="18"/>
                <w:szCs w:val="18"/>
              </w:rPr>
              <w:t>14,508</w:t>
            </w:r>
            <w:r>
              <w:rPr>
                <w:rFonts w:ascii="Arial" w:eastAsia="宋体" w:hAnsi="Arial" w:cs="Arial"/>
                <w:color w:val="262626"/>
                <w:sz w:val="18"/>
                <w:szCs w:val="18"/>
              </w:rPr>
              <w:t> </w:t>
            </w:r>
          </w:p>
        </w:tc>
        <w:tc>
          <w:tcPr>
            <w:tcW w:w="0" w:type="auto"/>
            <w:tcBorders>
              <w:top w:val="single" w:sz="2" w:space="0" w:color="000000"/>
            </w:tcBorders>
            <w:shd w:val="clear" w:color="auto" w:fill="auto"/>
            <w:tcMar>
              <w:top w:w="40" w:type="dxa"/>
              <w:left w:w="0" w:type="dxa"/>
              <w:bottom w:w="40" w:type="dxa"/>
              <w:right w:w="20" w:type="dxa"/>
            </w:tcMar>
            <w:vAlign w:val="bottom"/>
          </w:tcPr>
          <w:p w14:paraId="39D97EE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E4" w14:textId="77777777" w:rsidR="00996AD7" w:rsidRDefault="00996AD7">
            <w:pPr>
              <w:rPr>
                <w:rFonts w:ascii="宋体"/>
              </w:rPr>
            </w:pPr>
          </w:p>
        </w:tc>
        <w:tc>
          <w:tcPr>
            <w:tcW w:w="0" w:type="auto"/>
            <w:gridSpan w:val="2"/>
            <w:tcBorders>
              <w:top w:val="single" w:sz="2" w:space="0" w:color="000000"/>
            </w:tcBorders>
            <w:shd w:val="clear" w:color="auto" w:fill="auto"/>
            <w:tcMar>
              <w:top w:w="40" w:type="dxa"/>
              <w:left w:w="20" w:type="dxa"/>
              <w:bottom w:w="40" w:type="dxa"/>
              <w:right w:w="0" w:type="dxa"/>
            </w:tcMar>
            <w:vAlign w:val="bottom"/>
          </w:tcPr>
          <w:p w14:paraId="39D97EE5" w14:textId="77777777" w:rsidR="00996AD7" w:rsidRDefault="00D96458">
            <w:pPr>
              <w:jc w:val="right"/>
              <w:textAlignment w:val="bottom"/>
            </w:pPr>
            <w:r>
              <w:rPr>
                <w:rFonts w:ascii="Arial" w:eastAsia="宋体" w:hAnsi="Arial" w:cs="Arial"/>
                <w:b/>
                <w:bCs/>
                <w:color w:val="0068B5"/>
                <w:sz w:val="18"/>
                <w:szCs w:val="18"/>
              </w:rPr>
              <w:t>46,908</w:t>
            </w:r>
            <w:r>
              <w:rPr>
                <w:rFonts w:ascii="Arial" w:eastAsia="宋体" w:hAnsi="Arial" w:cs="Arial"/>
                <w:color w:val="0068B5"/>
                <w:sz w:val="18"/>
                <w:szCs w:val="18"/>
              </w:rPr>
              <w:t> </w:t>
            </w:r>
          </w:p>
        </w:tc>
        <w:tc>
          <w:tcPr>
            <w:tcW w:w="0" w:type="auto"/>
            <w:tcBorders>
              <w:top w:val="single" w:sz="2" w:space="0" w:color="000000"/>
            </w:tcBorders>
            <w:shd w:val="clear" w:color="auto" w:fill="auto"/>
            <w:tcMar>
              <w:top w:w="40" w:type="dxa"/>
              <w:left w:w="0" w:type="dxa"/>
              <w:bottom w:w="40" w:type="dxa"/>
              <w:right w:w="20" w:type="dxa"/>
            </w:tcMar>
            <w:vAlign w:val="bottom"/>
          </w:tcPr>
          <w:p w14:paraId="39D97EE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E7" w14:textId="77777777" w:rsidR="00996AD7" w:rsidRDefault="00996AD7">
            <w:pPr>
              <w:rPr>
                <w:rFonts w:ascii="宋体"/>
              </w:rPr>
            </w:pPr>
          </w:p>
        </w:tc>
        <w:tc>
          <w:tcPr>
            <w:tcW w:w="0" w:type="auto"/>
            <w:gridSpan w:val="2"/>
            <w:tcBorders>
              <w:top w:val="single" w:sz="2" w:space="0" w:color="000000"/>
            </w:tcBorders>
            <w:shd w:val="clear" w:color="auto" w:fill="auto"/>
            <w:tcMar>
              <w:top w:w="40" w:type="dxa"/>
              <w:left w:w="20" w:type="dxa"/>
              <w:bottom w:w="40" w:type="dxa"/>
              <w:right w:w="0" w:type="dxa"/>
            </w:tcMar>
            <w:vAlign w:val="bottom"/>
          </w:tcPr>
          <w:p w14:paraId="39D97EE8" w14:textId="77777777" w:rsidR="00996AD7" w:rsidRDefault="00D96458">
            <w:pPr>
              <w:jc w:val="right"/>
              <w:textAlignment w:val="bottom"/>
            </w:pPr>
            <w:r>
              <w:rPr>
                <w:rFonts w:ascii="Arial" w:eastAsia="宋体" w:hAnsi="Arial" w:cs="Arial"/>
                <w:b/>
                <w:bCs/>
                <w:color w:val="262626"/>
                <w:sz w:val="18"/>
                <w:szCs w:val="18"/>
              </w:rPr>
              <w:t>45,470</w:t>
            </w:r>
            <w:r>
              <w:rPr>
                <w:rFonts w:ascii="Arial" w:eastAsia="宋体" w:hAnsi="Arial" w:cs="Arial"/>
                <w:color w:val="262626"/>
                <w:sz w:val="18"/>
                <w:szCs w:val="18"/>
              </w:rPr>
              <w:t> </w:t>
            </w:r>
          </w:p>
        </w:tc>
        <w:tc>
          <w:tcPr>
            <w:tcW w:w="0" w:type="auto"/>
            <w:tcBorders>
              <w:top w:val="single" w:sz="2" w:space="0" w:color="000000"/>
            </w:tcBorders>
            <w:shd w:val="clear" w:color="auto" w:fill="auto"/>
            <w:tcMar>
              <w:top w:w="40" w:type="dxa"/>
              <w:left w:w="0" w:type="dxa"/>
              <w:bottom w:w="40" w:type="dxa"/>
              <w:right w:w="20" w:type="dxa"/>
            </w:tcMar>
            <w:vAlign w:val="bottom"/>
          </w:tcPr>
          <w:p w14:paraId="39D97EE9" w14:textId="77777777" w:rsidR="00996AD7" w:rsidRDefault="00996AD7">
            <w:pPr>
              <w:jc w:val="right"/>
              <w:rPr>
                <w:rFonts w:ascii="宋体"/>
              </w:rPr>
            </w:pPr>
          </w:p>
        </w:tc>
      </w:tr>
      <w:tr w:rsidR="00996AD7" w14:paraId="39D97EF4" w14:textId="77777777">
        <w:trPr>
          <w:hidden/>
        </w:trPr>
        <w:tc>
          <w:tcPr>
            <w:tcW w:w="0" w:type="auto"/>
            <w:gridSpan w:val="3"/>
            <w:shd w:val="clear" w:color="auto" w:fill="auto"/>
            <w:vAlign w:val="bottom"/>
          </w:tcPr>
          <w:p w14:paraId="39D97EEB" w14:textId="77777777" w:rsidR="00996AD7" w:rsidRDefault="00996AD7">
            <w:pPr>
              <w:rPr>
                <w:rFonts w:ascii="宋体"/>
                <w:vanish/>
              </w:rPr>
            </w:pPr>
          </w:p>
        </w:tc>
        <w:tc>
          <w:tcPr>
            <w:tcW w:w="0" w:type="auto"/>
            <w:gridSpan w:val="3"/>
            <w:shd w:val="clear" w:color="auto" w:fill="auto"/>
            <w:vAlign w:val="bottom"/>
          </w:tcPr>
          <w:p w14:paraId="39D97EEC" w14:textId="77777777" w:rsidR="00996AD7" w:rsidRDefault="00996AD7">
            <w:pPr>
              <w:rPr>
                <w:rFonts w:ascii="宋体"/>
                <w:vanish/>
              </w:rPr>
            </w:pPr>
          </w:p>
        </w:tc>
        <w:tc>
          <w:tcPr>
            <w:tcW w:w="0" w:type="auto"/>
            <w:gridSpan w:val="3"/>
            <w:shd w:val="clear" w:color="auto" w:fill="auto"/>
            <w:vAlign w:val="bottom"/>
          </w:tcPr>
          <w:p w14:paraId="39D97EED" w14:textId="77777777" w:rsidR="00996AD7" w:rsidRDefault="00996AD7">
            <w:pPr>
              <w:rPr>
                <w:rFonts w:ascii="宋体"/>
                <w:vanish/>
              </w:rPr>
            </w:pPr>
          </w:p>
        </w:tc>
        <w:tc>
          <w:tcPr>
            <w:tcW w:w="0" w:type="auto"/>
            <w:gridSpan w:val="3"/>
            <w:shd w:val="clear" w:color="auto" w:fill="auto"/>
            <w:vAlign w:val="bottom"/>
          </w:tcPr>
          <w:p w14:paraId="39D97EEE" w14:textId="77777777" w:rsidR="00996AD7" w:rsidRDefault="00996AD7">
            <w:pPr>
              <w:rPr>
                <w:rFonts w:ascii="宋体"/>
                <w:vanish/>
              </w:rPr>
            </w:pPr>
          </w:p>
        </w:tc>
        <w:tc>
          <w:tcPr>
            <w:tcW w:w="0" w:type="auto"/>
            <w:gridSpan w:val="3"/>
            <w:shd w:val="clear" w:color="auto" w:fill="auto"/>
            <w:vAlign w:val="bottom"/>
          </w:tcPr>
          <w:p w14:paraId="39D97EEF" w14:textId="77777777" w:rsidR="00996AD7" w:rsidRDefault="00996AD7">
            <w:pPr>
              <w:rPr>
                <w:rFonts w:ascii="宋体"/>
                <w:vanish/>
              </w:rPr>
            </w:pPr>
          </w:p>
        </w:tc>
        <w:tc>
          <w:tcPr>
            <w:tcW w:w="0" w:type="auto"/>
            <w:gridSpan w:val="3"/>
            <w:shd w:val="clear" w:color="auto" w:fill="auto"/>
            <w:vAlign w:val="bottom"/>
          </w:tcPr>
          <w:p w14:paraId="39D97EF0" w14:textId="77777777" w:rsidR="00996AD7" w:rsidRDefault="00996AD7">
            <w:pPr>
              <w:rPr>
                <w:rFonts w:ascii="宋体"/>
                <w:vanish/>
              </w:rPr>
            </w:pPr>
          </w:p>
        </w:tc>
        <w:tc>
          <w:tcPr>
            <w:tcW w:w="0" w:type="auto"/>
            <w:gridSpan w:val="3"/>
            <w:shd w:val="clear" w:color="auto" w:fill="auto"/>
            <w:vAlign w:val="bottom"/>
          </w:tcPr>
          <w:p w14:paraId="39D97EF1" w14:textId="77777777" w:rsidR="00996AD7" w:rsidRDefault="00996AD7">
            <w:pPr>
              <w:rPr>
                <w:rFonts w:ascii="宋体"/>
                <w:vanish/>
              </w:rPr>
            </w:pPr>
          </w:p>
        </w:tc>
        <w:tc>
          <w:tcPr>
            <w:tcW w:w="0" w:type="auto"/>
            <w:gridSpan w:val="3"/>
            <w:shd w:val="clear" w:color="auto" w:fill="auto"/>
            <w:vAlign w:val="bottom"/>
          </w:tcPr>
          <w:p w14:paraId="39D97EF2" w14:textId="77777777" w:rsidR="00996AD7" w:rsidRDefault="00996AD7">
            <w:pPr>
              <w:rPr>
                <w:rFonts w:ascii="宋体"/>
                <w:vanish/>
              </w:rPr>
            </w:pPr>
          </w:p>
        </w:tc>
        <w:tc>
          <w:tcPr>
            <w:tcW w:w="0" w:type="auto"/>
            <w:gridSpan w:val="3"/>
            <w:shd w:val="clear" w:color="auto" w:fill="auto"/>
            <w:vAlign w:val="bottom"/>
          </w:tcPr>
          <w:p w14:paraId="39D97EF3" w14:textId="77777777" w:rsidR="00996AD7" w:rsidRDefault="00996AD7">
            <w:pPr>
              <w:rPr>
                <w:rFonts w:ascii="宋体"/>
                <w:vanish/>
              </w:rPr>
            </w:pPr>
          </w:p>
        </w:tc>
      </w:tr>
      <w:tr w:rsidR="00996AD7" w14:paraId="39D97F02" w14:textId="77777777">
        <w:tc>
          <w:tcPr>
            <w:tcW w:w="0" w:type="auto"/>
            <w:gridSpan w:val="3"/>
            <w:shd w:val="clear" w:color="auto" w:fill="auto"/>
            <w:tcMar>
              <w:top w:w="40" w:type="dxa"/>
              <w:left w:w="20" w:type="dxa"/>
              <w:bottom w:w="40" w:type="dxa"/>
              <w:right w:w="20" w:type="dxa"/>
            </w:tcMar>
            <w:vAlign w:val="bottom"/>
          </w:tcPr>
          <w:p w14:paraId="39D97EF5" w14:textId="77777777" w:rsidR="00996AD7" w:rsidRDefault="00D96458">
            <w:pPr>
              <w:textAlignment w:val="bottom"/>
            </w:pPr>
            <w:r>
              <w:rPr>
                <w:rFonts w:ascii="Arial" w:eastAsia="宋体" w:hAnsi="Arial" w:cs="Arial"/>
                <w:b/>
                <w:bCs/>
                <w:color w:val="262626"/>
                <w:sz w:val="18"/>
                <w:szCs w:val="18"/>
              </w:rPr>
              <w:t>Adjacent revenue</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vAlign w:val="bottom"/>
          </w:tcPr>
          <w:p w14:paraId="39D97EF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F7" w14:textId="77777777" w:rsidR="00996AD7" w:rsidRDefault="00D96458">
            <w:pPr>
              <w:jc w:val="right"/>
              <w:textAlignment w:val="bottom"/>
            </w:pPr>
            <w:r>
              <w:rPr>
                <w:rFonts w:ascii="Arial" w:eastAsia="宋体" w:hAnsi="Arial" w:cs="Arial"/>
                <w:b/>
                <w:bCs/>
                <w:color w:val="0068B5"/>
                <w:sz w:val="18"/>
                <w:szCs w:val="18"/>
              </w:rPr>
              <w:t>3,543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EF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F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FA" w14:textId="77777777" w:rsidR="00996AD7" w:rsidRDefault="00D96458">
            <w:pPr>
              <w:jc w:val="right"/>
              <w:textAlignment w:val="bottom"/>
            </w:pPr>
            <w:r>
              <w:rPr>
                <w:rFonts w:ascii="Arial" w:eastAsia="宋体" w:hAnsi="Arial" w:cs="Arial"/>
                <w:b/>
                <w:bCs/>
                <w:color w:val="262626"/>
                <w:sz w:val="18"/>
                <w:szCs w:val="18"/>
              </w:rPr>
              <w:t>3,825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EF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F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EFD" w14:textId="77777777" w:rsidR="00996AD7" w:rsidRDefault="00D96458">
            <w:pPr>
              <w:jc w:val="right"/>
              <w:textAlignment w:val="bottom"/>
            </w:pPr>
            <w:r>
              <w:rPr>
                <w:rFonts w:ascii="Arial" w:eastAsia="宋体" w:hAnsi="Arial" w:cs="Arial"/>
                <w:b/>
                <w:bCs/>
                <w:color w:val="0068B5"/>
                <w:sz w:val="18"/>
                <w:szCs w:val="18"/>
              </w:rPr>
              <w:t>11,588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EF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EF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F00" w14:textId="77777777" w:rsidR="00996AD7" w:rsidRDefault="00D96458">
            <w:pPr>
              <w:jc w:val="right"/>
              <w:textAlignment w:val="bottom"/>
            </w:pPr>
            <w:r>
              <w:rPr>
                <w:rFonts w:ascii="Arial" w:eastAsia="宋体" w:hAnsi="Arial" w:cs="Arial"/>
                <w:b/>
                <w:bCs/>
                <w:color w:val="262626"/>
                <w:sz w:val="18"/>
                <w:szCs w:val="18"/>
              </w:rPr>
              <w:t>12,419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F01" w14:textId="77777777" w:rsidR="00996AD7" w:rsidRDefault="00996AD7">
            <w:pPr>
              <w:jc w:val="right"/>
              <w:rPr>
                <w:rFonts w:ascii="宋体"/>
              </w:rPr>
            </w:pPr>
          </w:p>
        </w:tc>
      </w:tr>
      <w:tr w:rsidR="00996AD7" w14:paraId="39D97F14" w14:textId="77777777">
        <w:tc>
          <w:tcPr>
            <w:tcW w:w="0" w:type="auto"/>
            <w:gridSpan w:val="3"/>
            <w:shd w:val="clear" w:color="auto" w:fill="auto"/>
            <w:tcMar>
              <w:top w:w="40" w:type="dxa"/>
              <w:left w:w="20" w:type="dxa"/>
              <w:bottom w:w="40" w:type="dxa"/>
              <w:right w:w="20" w:type="dxa"/>
            </w:tcMar>
            <w:vAlign w:val="bottom"/>
          </w:tcPr>
          <w:p w14:paraId="39D97F03" w14:textId="77777777" w:rsidR="00996AD7" w:rsidRDefault="00D96458">
            <w:pPr>
              <w:textAlignment w:val="bottom"/>
            </w:pPr>
            <w:r>
              <w:rPr>
                <w:rFonts w:ascii="Arial" w:eastAsia="宋体" w:hAnsi="Arial" w:cs="Arial"/>
                <w:b/>
                <w:bCs/>
                <w:color w:val="262626"/>
                <w:sz w:val="18"/>
                <w:szCs w:val="18"/>
              </w:rPr>
              <w:t>Total revenue</w:t>
            </w:r>
          </w:p>
        </w:tc>
        <w:tc>
          <w:tcPr>
            <w:tcW w:w="0" w:type="auto"/>
            <w:gridSpan w:val="3"/>
            <w:shd w:val="clear" w:color="auto" w:fill="auto"/>
            <w:tcMar>
              <w:top w:w="0" w:type="dxa"/>
              <w:left w:w="20" w:type="dxa"/>
              <w:bottom w:w="0" w:type="dxa"/>
              <w:right w:w="20" w:type="dxa"/>
            </w:tcMar>
            <w:vAlign w:val="bottom"/>
          </w:tcPr>
          <w:p w14:paraId="39D97F04"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F05"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F06" w14:textId="77777777" w:rsidR="00996AD7" w:rsidRDefault="00D96458">
            <w:pPr>
              <w:jc w:val="right"/>
              <w:textAlignment w:val="bottom"/>
            </w:pPr>
            <w:r>
              <w:rPr>
                <w:rFonts w:ascii="Arial" w:eastAsia="宋体" w:hAnsi="Arial" w:cs="Arial"/>
                <w:b/>
                <w:bCs/>
                <w:color w:val="0068B5"/>
                <w:sz w:val="18"/>
                <w:szCs w:val="18"/>
              </w:rPr>
              <w:t>19,192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F0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08"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F09"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F0A" w14:textId="77777777" w:rsidR="00996AD7" w:rsidRDefault="00D96458">
            <w:pPr>
              <w:jc w:val="right"/>
              <w:textAlignment w:val="bottom"/>
            </w:pPr>
            <w:r>
              <w:rPr>
                <w:rFonts w:ascii="Arial" w:eastAsia="宋体" w:hAnsi="Arial" w:cs="Arial"/>
                <w:b/>
                <w:bCs/>
                <w:color w:val="262626"/>
                <w:sz w:val="18"/>
                <w:szCs w:val="18"/>
              </w:rPr>
              <w:t>18,333</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F0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0C"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F0D"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F0E" w14:textId="77777777" w:rsidR="00996AD7" w:rsidRDefault="00D96458">
            <w:pPr>
              <w:jc w:val="right"/>
              <w:textAlignment w:val="bottom"/>
            </w:pPr>
            <w:r>
              <w:rPr>
                <w:rFonts w:ascii="Arial" w:eastAsia="宋体" w:hAnsi="Arial" w:cs="Arial"/>
                <w:b/>
                <w:bCs/>
                <w:color w:val="0068B5"/>
                <w:sz w:val="18"/>
                <w:szCs w:val="18"/>
              </w:rPr>
              <w:t>58,496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F0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10"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7F11"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7F12" w14:textId="77777777" w:rsidR="00996AD7" w:rsidRDefault="00D96458">
            <w:pPr>
              <w:jc w:val="right"/>
              <w:textAlignment w:val="bottom"/>
            </w:pPr>
            <w:r>
              <w:rPr>
                <w:rFonts w:ascii="Arial" w:eastAsia="宋体" w:hAnsi="Arial" w:cs="Arial"/>
                <w:b/>
                <w:bCs/>
                <w:color w:val="262626"/>
                <w:sz w:val="18"/>
                <w:szCs w:val="18"/>
              </w:rPr>
              <w:t>57,889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7F13" w14:textId="77777777" w:rsidR="00996AD7" w:rsidRDefault="00996AD7">
            <w:pPr>
              <w:jc w:val="right"/>
              <w:rPr>
                <w:rFonts w:ascii="宋体"/>
              </w:rPr>
            </w:pPr>
          </w:p>
        </w:tc>
      </w:tr>
    </w:tbl>
    <w:p w14:paraId="39D97F15" w14:textId="77777777" w:rsidR="00996AD7" w:rsidRDefault="00D96458">
      <w:pPr>
        <w:ind w:hanging="180"/>
      </w:pPr>
      <w:r>
        <w:rPr>
          <w:rFonts w:ascii="Arial" w:eastAsia="宋体" w:hAnsi="Arial" w:cs="Arial"/>
          <w:i/>
          <w:iCs/>
          <w:color w:val="262626"/>
          <w:sz w:val="10"/>
          <w:szCs w:val="10"/>
        </w:rPr>
        <w:t>1    </w:t>
      </w:r>
      <w:r>
        <w:rPr>
          <w:rFonts w:ascii="Arial" w:eastAsia="宋体" w:hAnsi="Arial" w:cs="Arial"/>
          <w:i/>
          <w:iCs/>
          <w:color w:val="262626"/>
          <w:sz w:val="16"/>
          <w:szCs w:val="16"/>
        </w:rPr>
        <w:t>Includes our tablet and service provider revenue.</w:t>
      </w:r>
    </w:p>
    <w:p w14:paraId="39D97F16" w14:textId="77777777" w:rsidR="00996AD7" w:rsidRDefault="00D96458">
      <w:pPr>
        <w:spacing w:after="180"/>
        <w:ind w:hanging="180"/>
      </w:pPr>
      <w:r>
        <w:rPr>
          <w:rFonts w:ascii="Arial" w:eastAsia="宋体" w:hAnsi="Arial" w:cs="Arial"/>
          <w:i/>
          <w:iCs/>
          <w:color w:val="262626"/>
          <w:sz w:val="10"/>
          <w:szCs w:val="10"/>
        </w:rPr>
        <w:t>2    </w:t>
      </w:r>
      <w:r>
        <w:rPr>
          <w:rFonts w:ascii="Arial" w:eastAsia="宋体" w:hAnsi="Arial" w:cs="Arial"/>
          <w:i/>
          <w:iCs/>
          <w:color w:val="262626"/>
          <w:sz w:val="16"/>
          <w:szCs w:val="16"/>
        </w:rPr>
        <w:t xml:space="preserve">Includes all of our </w:t>
      </w:r>
      <w:r>
        <w:rPr>
          <w:rFonts w:ascii="Arial" w:eastAsia="宋体" w:hAnsi="Arial" w:cs="Arial"/>
          <w:i/>
          <w:iCs/>
          <w:color w:val="262626"/>
          <w:sz w:val="16"/>
          <w:szCs w:val="16"/>
        </w:rPr>
        <w:t>non-platform products for CCG, DCG, and IOTG such as modem, Ethernet, and silicon photonics, as well as Mobileye, NSG, and PSG products, as well as revenue included in our "all other" category.</w:t>
      </w:r>
    </w:p>
    <w:p w14:paraId="39D97F17" w14:textId="77777777" w:rsidR="00996AD7" w:rsidRDefault="00996AD7">
      <w:pPr>
        <w:spacing w:after="180"/>
      </w:pPr>
    </w:p>
    <w:p w14:paraId="39D97F18" w14:textId="77777777" w:rsidR="00996AD7" w:rsidRDefault="00996AD7">
      <w:pPr>
        <w:spacing w:after="180"/>
      </w:pPr>
    </w:p>
    <w:p w14:paraId="39D97F19" w14:textId="77777777" w:rsidR="00996AD7" w:rsidRDefault="00996AD7">
      <w:pPr>
        <w:spacing w:after="180"/>
      </w:pPr>
    </w:p>
    <w:p w14:paraId="39D97F1A" w14:textId="77777777" w:rsidR="00996AD7" w:rsidRDefault="00996AD7">
      <w:pPr>
        <w:spacing w:after="180"/>
      </w:pPr>
    </w:p>
    <w:p w14:paraId="39D97F1B" w14:textId="77777777" w:rsidR="00996AD7" w:rsidRDefault="00996AD7">
      <w:pPr>
        <w:spacing w:after="180"/>
      </w:pPr>
    </w:p>
    <w:p w14:paraId="39D97F1C" w14:textId="77777777" w:rsidR="00996AD7" w:rsidRDefault="00996AD7">
      <w:pPr>
        <w:spacing w:after="180"/>
      </w:pPr>
    </w:p>
    <w:p w14:paraId="39D97F1D"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7F2A" w14:textId="77777777">
        <w:tc>
          <w:tcPr>
            <w:tcW w:w="50" w:type="pct"/>
            <w:shd w:val="clear" w:color="auto" w:fill="auto"/>
            <w:vAlign w:val="bottom"/>
          </w:tcPr>
          <w:p w14:paraId="39D97F1E" w14:textId="77777777" w:rsidR="00996AD7" w:rsidRDefault="00996AD7">
            <w:pPr>
              <w:rPr>
                <w:rFonts w:ascii="宋体"/>
              </w:rPr>
            </w:pPr>
          </w:p>
        </w:tc>
        <w:tc>
          <w:tcPr>
            <w:tcW w:w="238" w:type="pct"/>
            <w:shd w:val="clear" w:color="auto" w:fill="auto"/>
            <w:vAlign w:val="bottom"/>
          </w:tcPr>
          <w:p w14:paraId="39D97F1F" w14:textId="77777777" w:rsidR="00996AD7" w:rsidRDefault="00996AD7">
            <w:pPr>
              <w:rPr>
                <w:rFonts w:ascii="宋体"/>
              </w:rPr>
            </w:pPr>
          </w:p>
        </w:tc>
        <w:tc>
          <w:tcPr>
            <w:tcW w:w="5" w:type="pct"/>
            <w:shd w:val="clear" w:color="auto" w:fill="auto"/>
            <w:vAlign w:val="bottom"/>
          </w:tcPr>
          <w:p w14:paraId="39D97F20" w14:textId="77777777" w:rsidR="00996AD7" w:rsidRDefault="00996AD7">
            <w:pPr>
              <w:rPr>
                <w:rFonts w:ascii="宋体"/>
              </w:rPr>
            </w:pPr>
          </w:p>
        </w:tc>
        <w:tc>
          <w:tcPr>
            <w:tcW w:w="50" w:type="pct"/>
            <w:shd w:val="clear" w:color="auto" w:fill="auto"/>
            <w:vAlign w:val="bottom"/>
          </w:tcPr>
          <w:p w14:paraId="39D97F21" w14:textId="77777777" w:rsidR="00996AD7" w:rsidRDefault="00996AD7">
            <w:pPr>
              <w:rPr>
                <w:rFonts w:ascii="宋体"/>
              </w:rPr>
            </w:pPr>
          </w:p>
        </w:tc>
        <w:tc>
          <w:tcPr>
            <w:tcW w:w="983" w:type="pct"/>
            <w:shd w:val="clear" w:color="auto" w:fill="auto"/>
            <w:vAlign w:val="bottom"/>
          </w:tcPr>
          <w:p w14:paraId="39D97F22" w14:textId="77777777" w:rsidR="00996AD7" w:rsidRDefault="00996AD7">
            <w:pPr>
              <w:rPr>
                <w:rFonts w:ascii="宋体"/>
              </w:rPr>
            </w:pPr>
          </w:p>
        </w:tc>
        <w:tc>
          <w:tcPr>
            <w:tcW w:w="5" w:type="pct"/>
            <w:shd w:val="clear" w:color="auto" w:fill="auto"/>
            <w:vAlign w:val="bottom"/>
          </w:tcPr>
          <w:p w14:paraId="39D97F23" w14:textId="77777777" w:rsidR="00996AD7" w:rsidRDefault="00996AD7">
            <w:pPr>
              <w:rPr>
                <w:rFonts w:ascii="宋体"/>
              </w:rPr>
            </w:pPr>
          </w:p>
        </w:tc>
        <w:tc>
          <w:tcPr>
            <w:tcW w:w="50" w:type="pct"/>
            <w:shd w:val="clear" w:color="auto" w:fill="auto"/>
            <w:vAlign w:val="bottom"/>
          </w:tcPr>
          <w:p w14:paraId="39D97F24" w14:textId="77777777" w:rsidR="00996AD7" w:rsidRDefault="00996AD7">
            <w:pPr>
              <w:rPr>
                <w:rFonts w:ascii="宋体"/>
              </w:rPr>
            </w:pPr>
          </w:p>
        </w:tc>
        <w:tc>
          <w:tcPr>
            <w:tcW w:w="2035" w:type="pct"/>
            <w:shd w:val="clear" w:color="auto" w:fill="auto"/>
            <w:vAlign w:val="bottom"/>
          </w:tcPr>
          <w:p w14:paraId="39D97F25" w14:textId="77777777" w:rsidR="00996AD7" w:rsidRDefault="00996AD7">
            <w:pPr>
              <w:rPr>
                <w:rFonts w:ascii="宋体"/>
              </w:rPr>
            </w:pPr>
          </w:p>
        </w:tc>
        <w:tc>
          <w:tcPr>
            <w:tcW w:w="5" w:type="pct"/>
            <w:shd w:val="clear" w:color="auto" w:fill="auto"/>
            <w:vAlign w:val="bottom"/>
          </w:tcPr>
          <w:p w14:paraId="39D97F26" w14:textId="77777777" w:rsidR="00996AD7" w:rsidRDefault="00996AD7">
            <w:pPr>
              <w:rPr>
                <w:rFonts w:ascii="宋体"/>
              </w:rPr>
            </w:pPr>
          </w:p>
        </w:tc>
        <w:tc>
          <w:tcPr>
            <w:tcW w:w="50" w:type="pct"/>
            <w:shd w:val="clear" w:color="auto" w:fill="auto"/>
            <w:vAlign w:val="bottom"/>
          </w:tcPr>
          <w:p w14:paraId="39D97F27" w14:textId="77777777" w:rsidR="00996AD7" w:rsidRDefault="00996AD7">
            <w:pPr>
              <w:rPr>
                <w:rFonts w:ascii="宋体"/>
              </w:rPr>
            </w:pPr>
          </w:p>
        </w:tc>
        <w:tc>
          <w:tcPr>
            <w:tcW w:w="1522" w:type="pct"/>
            <w:shd w:val="clear" w:color="auto" w:fill="auto"/>
            <w:vAlign w:val="bottom"/>
          </w:tcPr>
          <w:p w14:paraId="39D97F28" w14:textId="77777777" w:rsidR="00996AD7" w:rsidRDefault="00996AD7">
            <w:pPr>
              <w:rPr>
                <w:rFonts w:ascii="宋体"/>
              </w:rPr>
            </w:pPr>
          </w:p>
        </w:tc>
        <w:tc>
          <w:tcPr>
            <w:tcW w:w="5" w:type="pct"/>
            <w:shd w:val="clear" w:color="auto" w:fill="auto"/>
            <w:vAlign w:val="bottom"/>
          </w:tcPr>
          <w:p w14:paraId="39D97F29" w14:textId="77777777" w:rsidR="00996AD7" w:rsidRDefault="00996AD7">
            <w:pPr>
              <w:rPr>
                <w:rFonts w:ascii="宋体"/>
              </w:rPr>
            </w:pPr>
          </w:p>
        </w:tc>
      </w:tr>
      <w:tr w:rsidR="00996AD7" w14:paraId="39D97F2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F2B"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AE" wp14:editId="39D9A3AF">
                  <wp:extent cx="304800" cy="304800"/>
                  <wp:effectExtent l="0" t="0" r="0" b="0"/>
                  <wp:docPr id="76" name="图片 5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7"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F2C"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7F2D"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7F2E" w14:textId="77777777" w:rsidR="00996AD7" w:rsidRDefault="00D96458">
            <w:pPr>
              <w:jc w:val="right"/>
              <w:textAlignment w:val="center"/>
            </w:pPr>
            <w:r>
              <w:rPr>
                <w:rFonts w:ascii="Arial" w:eastAsia="宋体" w:hAnsi="Arial" w:cs="Arial"/>
                <w:color w:val="262626"/>
                <w:sz w:val="16"/>
                <w:szCs w:val="16"/>
              </w:rPr>
              <w:t>9</w:t>
            </w:r>
          </w:p>
        </w:tc>
      </w:tr>
    </w:tbl>
    <w:p w14:paraId="39D97F30" w14:textId="77777777" w:rsidR="00996AD7" w:rsidRDefault="00D96458">
      <w:r>
        <w:pict w14:anchorId="39D9A3B0">
          <v:rect id="_x0000_i1035" style="width:415.3pt;height:1.5pt" o:hralign="center" o:hrstd="t" o:hr="t" fillcolor="#a0a0a0" stroked="f"/>
        </w:pict>
      </w:r>
    </w:p>
    <w:p w14:paraId="39D97F31" w14:textId="77777777" w:rsidR="00996AD7" w:rsidRDefault="00D96458">
      <w:pPr>
        <w:spacing w:after="180"/>
        <w:jc w:val="right"/>
      </w:pPr>
      <w:hyperlink r:id="rId36" w:anchor="i94e6cc3aa83643b8b968bd5bab038338_7" w:history="1">
        <w:r>
          <w:rPr>
            <w:rStyle w:val="a5"/>
            <w:rFonts w:ascii="Arial" w:eastAsia="宋体" w:hAnsi="Arial" w:cs="Arial"/>
            <w:b/>
            <w:bCs/>
            <w:color w:val="0068B5"/>
            <w:sz w:val="16"/>
            <w:szCs w:val="16"/>
          </w:rPr>
          <w:t>Table of Contents</w:t>
        </w:r>
      </w:hyperlink>
    </w:p>
    <w:p w14:paraId="39D97F32"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996AD7" w14:paraId="39D97F39" w14:textId="77777777">
        <w:tc>
          <w:tcPr>
            <w:tcW w:w="50" w:type="pct"/>
            <w:shd w:val="clear" w:color="auto" w:fill="auto"/>
            <w:vAlign w:val="bottom"/>
          </w:tcPr>
          <w:p w14:paraId="39D97F33" w14:textId="77777777" w:rsidR="00996AD7" w:rsidRDefault="00996AD7">
            <w:pPr>
              <w:rPr>
                <w:rFonts w:ascii="宋体"/>
              </w:rPr>
            </w:pPr>
          </w:p>
        </w:tc>
        <w:tc>
          <w:tcPr>
            <w:tcW w:w="511" w:type="pct"/>
            <w:shd w:val="clear" w:color="auto" w:fill="auto"/>
            <w:vAlign w:val="bottom"/>
          </w:tcPr>
          <w:p w14:paraId="39D97F34" w14:textId="77777777" w:rsidR="00996AD7" w:rsidRDefault="00996AD7">
            <w:pPr>
              <w:rPr>
                <w:rFonts w:ascii="宋体"/>
              </w:rPr>
            </w:pPr>
          </w:p>
        </w:tc>
        <w:tc>
          <w:tcPr>
            <w:tcW w:w="5" w:type="pct"/>
            <w:shd w:val="clear" w:color="auto" w:fill="auto"/>
            <w:vAlign w:val="bottom"/>
          </w:tcPr>
          <w:p w14:paraId="39D97F35" w14:textId="77777777" w:rsidR="00996AD7" w:rsidRDefault="00996AD7">
            <w:pPr>
              <w:rPr>
                <w:rFonts w:ascii="宋体"/>
              </w:rPr>
            </w:pPr>
          </w:p>
        </w:tc>
        <w:tc>
          <w:tcPr>
            <w:tcW w:w="50" w:type="pct"/>
            <w:shd w:val="clear" w:color="auto" w:fill="auto"/>
            <w:vAlign w:val="bottom"/>
          </w:tcPr>
          <w:p w14:paraId="39D97F36" w14:textId="77777777" w:rsidR="00996AD7" w:rsidRDefault="00996AD7">
            <w:pPr>
              <w:rPr>
                <w:rFonts w:ascii="宋体"/>
              </w:rPr>
            </w:pPr>
          </w:p>
        </w:tc>
        <w:tc>
          <w:tcPr>
            <w:tcW w:w="4378" w:type="pct"/>
            <w:shd w:val="clear" w:color="auto" w:fill="auto"/>
            <w:vAlign w:val="bottom"/>
          </w:tcPr>
          <w:p w14:paraId="39D97F37" w14:textId="77777777" w:rsidR="00996AD7" w:rsidRDefault="00996AD7">
            <w:pPr>
              <w:rPr>
                <w:rFonts w:ascii="宋体"/>
              </w:rPr>
            </w:pPr>
          </w:p>
        </w:tc>
        <w:tc>
          <w:tcPr>
            <w:tcW w:w="5" w:type="pct"/>
            <w:shd w:val="clear" w:color="auto" w:fill="auto"/>
            <w:vAlign w:val="bottom"/>
          </w:tcPr>
          <w:p w14:paraId="39D97F38" w14:textId="77777777" w:rsidR="00996AD7" w:rsidRDefault="00996AD7">
            <w:pPr>
              <w:rPr>
                <w:rFonts w:ascii="宋体"/>
              </w:rPr>
            </w:pPr>
          </w:p>
        </w:tc>
      </w:tr>
      <w:tr w:rsidR="00996AD7" w14:paraId="39D97F3C"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39D97F3A" w14:textId="77777777" w:rsidR="00996AD7" w:rsidRDefault="00D96458">
            <w:pPr>
              <w:textAlignment w:val="bottom"/>
            </w:pPr>
            <w:r>
              <w:rPr>
                <w:rFonts w:ascii="Arial" w:eastAsia="宋体" w:hAnsi="Arial" w:cs="Arial"/>
                <w:color w:val="FFFFFF"/>
                <w:sz w:val="28"/>
                <w:szCs w:val="28"/>
              </w:rPr>
              <w:t xml:space="preserve">Note 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7F3B" w14:textId="77777777" w:rsidR="00996AD7" w:rsidRDefault="00D96458">
            <w:pPr>
              <w:textAlignment w:val="bottom"/>
            </w:pPr>
            <w:r>
              <w:rPr>
                <w:rFonts w:ascii="Arial" w:eastAsia="宋体" w:hAnsi="Arial" w:cs="Arial"/>
                <w:color w:val="0068B5"/>
                <w:sz w:val="28"/>
                <w:szCs w:val="28"/>
              </w:rPr>
              <w:t>Earnings Per Share</w:t>
            </w:r>
          </w:p>
        </w:tc>
      </w:tr>
    </w:tbl>
    <w:p w14:paraId="39D97F3D" w14:textId="77777777" w:rsidR="00996AD7" w:rsidRDefault="00D96458">
      <w:pPr>
        <w:spacing w:before="180" w:after="180"/>
      </w:pPr>
      <w:r>
        <w:rPr>
          <w:rFonts w:ascii="Arial" w:eastAsia="宋体" w:hAnsi="Arial" w:cs="Arial"/>
          <w:color w:val="262626"/>
          <w:sz w:val="18"/>
          <w:szCs w:val="18"/>
        </w:rPr>
        <w:t>We computed basic earnings per share of common stock based on the weighted average number of shares of common stock outstanding during the period. We computed diluted earnings per share of common stock based on the weighted average number of shares of comm</w:t>
      </w:r>
      <w:r>
        <w:rPr>
          <w:rFonts w:ascii="Arial" w:eastAsia="宋体" w:hAnsi="Arial" w:cs="Arial"/>
          <w:color w:val="262626"/>
          <w:sz w:val="18"/>
          <w:szCs w:val="18"/>
        </w:rPr>
        <w:t xml:space="preserve">on stock outstanding plus potentially dilutive shares of common stock outstanding during the period. </w:t>
      </w:r>
    </w:p>
    <w:tbl>
      <w:tblPr>
        <w:tblW w:w="4945" w:type="pct"/>
        <w:tblCellMar>
          <w:top w:w="15" w:type="dxa"/>
          <w:left w:w="15" w:type="dxa"/>
          <w:bottom w:w="15" w:type="dxa"/>
          <w:right w:w="15" w:type="dxa"/>
        </w:tblCellMar>
        <w:tblLook w:val="04A0" w:firstRow="1" w:lastRow="0" w:firstColumn="1" w:lastColumn="0" w:noHBand="0" w:noVBand="1"/>
      </w:tblPr>
      <w:tblGrid>
        <w:gridCol w:w="41"/>
        <w:gridCol w:w="4222"/>
        <w:gridCol w:w="39"/>
        <w:gridCol w:w="36"/>
        <w:gridCol w:w="36"/>
        <w:gridCol w:w="36"/>
        <w:gridCol w:w="121"/>
        <w:gridCol w:w="719"/>
        <w:gridCol w:w="36"/>
        <w:gridCol w:w="36"/>
        <w:gridCol w:w="36"/>
        <w:gridCol w:w="36"/>
        <w:gridCol w:w="121"/>
        <w:gridCol w:w="721"/>
        <w:gridCol w:w="36"/>
        <w:gridCol w:w="36"/>
        <w:gridCol w:w="36"/>
        <w:gridCol w:w="36"/>
        <w:gridCol w:w="121"/>
        <w:gridCol w:w="721"/>
        <w:gridCol w:w="36"/>
        <w:gridCol w:w="36"/>
        <w:gridCol w:w="36"/>
        <w:gridCol w:w="36"/>
        <w:gridCol w:w="121"/>
        <w:gridCol w:w="721"/>
        <w:gridCol w:w="36"/>
      </w:tblGrid>
      <w:tr w:rsidR="00996AD7" w14:paraId="39D97F59" w14:textId="77777777">
        <w:tc>
          <w:tcPr>
            <w:tcW w:w="50" w:type="pct"/>
            <w:shd w:val="clear" w:color="auto" w:fill="auto"/>
            <w:vAlign w:val="bottom"/>
          </w:tcPr>
          <w:p w14:paraId="39D97F3E" w14:textId="77777777" w:rsidR="00996AD7" w:rsidRDefault="00996AD7">
            <w:pPr>
              <w:rPr>
                <w:rFonts w:ascii="宋体"/>
              </w:rPr>
            </w:pPr>
          </w:p>
        </w:tc>
        <w:tc>
          <w:tcPr>
            <w:tcW w:w="2596" w:type="pct"/>
            <w:shd w:val="clear" w:color="auto" w:fill="auto"/>
            <w:vAlign w:val="bottom"/>
          </w:tcPr>
          <w:p w14:paraId="39D97F3F" w14:textId="77777777" w:rsidR="00996AD7" w:rsidRDefault="00996AD7">
            <w:pPr>
              <w:rPr>
                <w:rFonts w:ascii="宋体"/>
              </w:rPr>
            </w:pPr>
          </w:p>
        </w:tc>
        <w:tc>
          <w:tcPr>
            <w:tcW w:w="5" w:type="pct"/>
            <w:shd w:val="clear" w:color="auto" w:fill="auto"/>
            <w:vAlign w:val="bottom"/>
          </w:tcPr>
          <w:p w14:paraId="39D97F40" w14:textId="77777777" w:rsidR="00996AD7" w:rsidRDefault="00996AD7">
            <w:pPr>
              <w:rPr>
                <w:rFonts w:ascii="宋体"/>
              </w:rPr>
            </w:pPr>
          </w:p>
        </w:tc>
        <w:tc>
          <w:tcPr>
            <w:tcW w:w="5" w:type="pct"/>
            <w:shd w:val="clear" w:color="auto" w:fill="auto"/>
            <w:vAlign w:val="bottom"/>
          </w:tcPr>
          <w:p w14:paraId="39D97F41" w14:textId="77777777" w:rsidR="00996AD7" w:rsidRDefault="00996AD7">
            <w:pPr>
              <w:rPr>
                <w:rFonts w:ascii="宋体"/>
              </w:rPr>
            </w:pPr>
          </w:p>
        </w:tc>
        <w:tc>
          <w:tcPr>
            <w:tcW w:w="24" w:type="pct"/>
            <w:shd w:val="clear" w:color="auto" w:fill="auto"/>
            <w:vAlign w:val="bottom"/>
          </w:tcPr>
          <w:p w14:paraId="39D97F42" w14:textId="77777777" w:rsidR="00996AD7" w:rsidRDefault="00996AD7">
            <w:pPr>
              <w:rPr>
                <w:rFonts w:ascii="宋体"/>
              </w:rPr>
            </w:pPr>
          </w:p>
        </w:tc>
        <w:tc>
          <w:tcPr>
            <w:tcW w:w="5" w:type="pct"/>
            <w:shd w:val="clear" w:color="auto" w:fill="auto"/>
            <w:vAlign w:val="bottom"/>
          </w:tcPr>
          <w:p w14:paraId="39D97F43" w14:textId="77777777" w:rsidR="00996AD7" w:rsidRDefault="00996AD7">
            <w:pPr>
              <w:rPr>
                <w:rFonts w:ascii="宋体"/>
              </w:rPr>
            </w:pPr>
          </w:p>
        </w:tc>
        <w:tc>
          <w:tcPr>
            <w:tcW w:w="50" w:type="pct"/>
            <w:shd w:val="clear" w:color="auto" w:fill="auto"/>
            <w:vAlign w:val="bottom"/>
          </w:tcPr>
          <w:p w14:paraId="39D97F44" w14:textId="77777777" w:rsidR="00996AD7" w:rsidRDefault="00996AD7">
            <w:pPr>
              <w:rPr>
                <w:rFonts w:ascii="宋体"/>
              </w:rPr>
            </w:pPr>
          </w:p>
        </w:tc>
        <w:tc>
          <w:tcPr>
            <w:tcW w:w="497" w:type="pct"/>
            <w:shd w:val="clear" w:color="auto" w:fill="auto"/>
            <w:vAlign w:val="bottom"/>
          </w:tcPr>
          <w:p w14:paraId="39D97F45" w14:textId="77777777" w:rsidR="00996AD7" w:rsidRDefault="00996AD7">
            <w:pPr>
              <w:rPr>
                <w:rFonts w:ascii="宋体"/>
              </w:rPr>
            </w:pPr>
          </w:p>
        </w:tc>
        <w:tc>
          <w:tcPr>
            <w:tcW w:w="5" w:type="pct"/>
            <w:shd w:val="clear" w:color="auto" w:fill="auto"/>
            <w:vAlign w:val="bottom"/>
          </w:tcPr>
          <w:p w14:paraId="39D97F46" w14:textId="77777777" w:rsidR="00996AD7" w:rsidRDefault="00996AD7">
            <w:pPr>
              <w:rPr>
                <w:rFonts w:ascii="宋体"/>
              </w:rPr>
            </w:pPr>
          </w:p>
        </w:tc>
        <w:tc>
          <w:tcPr>
            <w:tcW w:w="5" w:type="pct"/>
            <w:shd w:val="clear" w:color="auto" w:fill="auto"/>
            <w:vAlign w:val="bottom"/>
          </w:tcPr>
          <w:p w14:paraId="39D97F47" w14:textId="77777777" w:rsidR="00996AD7" w:rsidRDefault="00996AD7">
            <w:pPr>
              <w:rPr>
                <w:rFonts w:ascii="宋体"/>
              </w:rPr>
            </w:pPr>
          </w:p>
        </w:tc>
        <w:tc>
          <w:tcPr>
            <w:tcW w:w="24" w:type="pct"/>
            <w:shd w:val="clear" w:color="auto" w:fill="auto"/>
            <w:vAlign w:val="bottom"/>
          </w:tcPr>
          <w:p w14:paraId="39D97F48" w14:textId="77777777" w:rsidR="00996AD7" w:rsidRDefault="00996AD7">
            <w:pPr>
              <w:rPr>
                <w:rFonts w:ascii="宋体"/>
              </w:rPr>
            </w:pPr>
          </w:p>
        </w:tc>
        <w:tc>
          <w:tcPr>
            <w:tcW w:w="5" w:type="pct"/>
            <w:shd w:val="clear" w:color="auto" w:fill="auto"/>
            <w:vAlign w:val="bottom"/>
          </w:tcPr>
          <w:p w14:paraId="39D97F49" w14:textId="77777777" w:rsidR="00996AD7" w:rsidRDefault="00996AD7">
            <w:pPr>
              <w:rPr>
                <w:rFonts w:ascii="宋体"/>
              </w:rPr>
            </w:pPr>
          </w:p>
        </w:tc>
        <w:tc>
          <w:tcPr>
            <w:tcW w:w="50" w:type="pct"/>
            <w:shd w:val="clear" w:color="auto" w:fill="auto"/>
            <w:vAlign w:val="bottom"/>
          </w:tcPr>
          <w:p w14:paraId="39D97F4A" w14:textId="77777777" w:rsidR="00996AD7" w:rsidRDefault="00996AD7">
            <w:pPr>
              <w:rPr>
                <w:rFonts w:ascii="宋体"/>
              </w:rPr>
            </w:pPr>
          </w:p>
        </w:tc>
        <w:tc>
          <w:tcPr>
            <w:tcW w:w="497" w:type="pct"/>
            <w:shd w:val="clear" w:color="auto" w:fill="auto"/>
            <w:vAlign w:val="bottom"/>
          </w:tcPr>
          <w:p w14:paraId="39D97F4B" w14:textId="77777777" w:rsidR="00996AD7" w:rsidRDefault="00996AD7">
            <w:pPr>
              <w:rPr>
                <w:rFonts w:ascii="宋体"/>
              </w:rPr>
            </w:pPr>
          </w:p>
        </w:tc>
        <w:tc>
          <w:tcPr>
            <w:tcW w:w="5" w:type="pct"/>
            <w:shd w:val="clear" w:color="auto" w:fill="auto"/>
            <w:vAlign w:val="bottom"/>
          </w:tcPr>
          <w:p w14:paraId="39D97F4C" w14:textId="77777777" w:rsidR="00996AD7" w:rsidRDefault="00996AD7">
            <w:pPr>
              <w:rPr>
                <w:rFonts w:ascii="宋体"/>
              </w:rPr>
            </w:pPr>
          </w:p>
        </w:tc>
        <w:tc>
          <w:tcPr>
            <w:tcW w:w="5" w:type="pct"/>
            <w:shd w:val="clear" w:color="auto" w:fill="auto"/>
            <w:vAlign w:val="bottom"/>
          </w:tcPr>
          <w:p w14:paraId="39D97F4D" w14:textId="77777777" w:rsidR="00996AD7" w:rsidRDefault="00996AD7">
            <w:pPr>
              <w:rPr>
                <w:rFonts w:ascii="宋体"/>
              </w:rPr>
            </w:pPr>
          </w:p>
        </w:tc>
        <w:tc>
          <w:tcPr>
            <w:tcW w:w="24" w:type="pct"/>
            <w:shd w:val="clear" w:color="auto" w:fill="auto"/>
            <w:vAlign w:val="bottom"/>
          </w:tcPr>
          <w:p w14:paraId="39D97F4E" w14:textId="77777777" w:rsidR="00996AD7" w:rsidRDefault="00996AD7">
            <w:pPr>
              <w:rPr>
                <w:rFonts w:ascii="宋体"/>
              </w:rPr>
            </w:pPr>
          </w:p>
        </w:tc>
        <w:tc>
          <w:tcPr>
            <w:tcW w:w="5" w:type="pct"/>
            <w:shd w:val="clear" w:color="auto" w:fill="auto"/>
            <w:vAlign w:val="bottom"/>
          </w:tcPr>
          <w:p w14:paraId="39D97F4F" w14:textId="77777777" w:rsidR="00996AD7" w:rsidRDefault="00996AD7">
            <w:pPr>
              <w:rPr>
                <w:rFonts w:ascii="宋体"/>
              </w:rPr>
            </w:pPr>
          </w:p>
        </w:tc>
        <w:tc>
          <w:tcPr>
            <w:tcW w:w="50" w:type="pct"/>
            <w:shd w:val="clear" w:color="auto" w:fill="auto"/>
            <w:vAlign w:val="bottom"/>
          </w:tcPr>
          <w:p w14:paraId="39D97F50" w14:textId="77777777" w:rsidR="00996AD7" w:rsidRDefault="00996AD7">
            <w:pPr>
              <w:rPr>
                <w:rFonts w:ascii="宋体"/>
              </w:rPr>
            </w:pPr>
          </w:p>
        </w:tc>
        <w:tc>
          <w:tcPr>
            <w:tcW w:w="497" w:type="pct"/>
            <w:shd w:val="clear" w:color="auto" w:fill="auto"/>
            <w:vAlign w:val="bottom"/>
          </w:tcPr>
          <w:p w14:paraId="39D97F51" w14:textId="77777777" w:rsidR="00996AD7" w:rsidRDefault="00996AD7">
            <w:pPr>
              <w:rPr>
                <w:rFonts w:ascii="宋体"/>
              </w:rPr>
            </w:pPr>
          </w:p>
        </w:tc>
        <w:tc>
          <w:tcPr>
            <w:tcW w:w="5" w:type="pct"/>
            <w:shd w:val="clear" w:color="auto" w:fill="auto"/>
            <w:vAlign w:val="bottom"/>
          </w:tcPr>
          <w:p w14:paraId="39D97F52" w14:textId="77777777" w:rsidR="00996AD7" w:rsidRDefault="00996AD7">
            <w:pPr>
              <w:rPr>
                <w:rFonts w:ascii="宋体"/>
              </w:rPr>
            </w:pPr>
          </w:p>
        </w:tc>
        <w:tc>
          <w:tcPr>
            <w:tcW w:w="5" w:type="pct"/>
            <w:shd w:val="clear" w:color="auto" w:fill="auto"/>
            <w:vAlign w:val="bottom"/>
          </w:tcPr>
          <w:p w14:paraId="39D97F53" w14:textId="77777777" w:rsidR="00996AD7" w:rsidRDefault="00996AD7">
            <w:pPr>
              <w:rPr>
                <w:rFonts w:ascii="宋体"/>
              </w:rPr>
            </w:pPr>
          </w:p>
        </w:tc>
        <w:tc>
          <w:tcPr>
            <w:tcW w:w="24" w:type="pct"/>
            <w:shd w:val="clear" w:color="auto" w:fill="auto"/>
            <w:vAlign w:val="bottom"/>
          </w:tcPr>
          <w:p w14:paraId="39D97F54" w14:textId="77777777" w:rsidR="00996AD7" w:rsidRDefault="00996AD7">
            <w:pPr>
              <w:rPr>
                <w:rFonts w:ascii="宋体"/>
              </w:rPr>
            </w:pPr>
          </w:p>
        </w:tc>
        <w:tc>
          <w:tcPr>
            <w:tcW w:w="5" w:type="pct"/>
            <w:shd w:val="clear" w:color="auto" w:fill="auto"/>
            <w:vAlign w:val="bottom"/>
          </w:tcPr>
          <w:p w14:paraId="39D97F55" w14:textId="77777777" w:rsidR="00996AD7" w:rsidRDefault="00996AD7">
            <w:pPr>
              <w:rPr>
                <w:rFonts w:ascii="宋体"/>
              </w:rPr>
            </w:pPr>
          </w:p>
        </w:tc>
        <w:tc>
          <w:tcPr>
            <w:tcW w:w="50" w:type="pct"/>
            <w:shd w:val="clear" w:color="auto" w:fill="auto"/>
            <w:vAlign w:val="bottom"/>
          </w:tcPr>
          <w:p w14:paraId="39D97F56" w14:textId="77777777" w:rsidR="00996AD7" w:rsidRDefault="00996AD7">
            <w:pPr>
              <w:rPr>
                <w:rFonts w:ascii="宋体"/>
              </w:rPr>
            </w:pPr>
          </w:p>
        </w:tc>
        <w:tc>
          <w:tcPr>
            <w:tcW w:w="497" w:type="pct"/>
            <w:shd w:val="clear" w:color="auto" w:fill="auto"/>
            <w:vAlign w:val="bottom"/>
          </w:tcPr>
          <w:p w14:paraId="39D97F57" w14:textId="77777777" w:rsidR="00996AD7" w:rsidRDefault="00996AD7">
            <w:pPr>
              <w:rPr>
                <w:rFonts w:ascii="宋体"/>
              </w:rPr>
            </w:pPr>
          </w:p>
        </w:tc>
        <w:tc>
          <w:tcPr>
            <w:tcW w:w="5" w:type="pct"/>
            <w:shd w:val="clear" w:color="auto" w:fill="auto"/>
            <w:vAlign w:val="bottom"/>
          </w:tcPr>
          <w:p w14:paraId="39D97F58" w14:textId="77777777" w:rsidR="00996AD7" w:rsidRDefault="00996AD7">
            <w:pPr>
              <w:rPr>
                <w:rFonts w:ascii="宋体"/>
              </w:rPr>
            </w:pPr>
          </w:p>
        </w:tc>
      </w:tr>
      <w:tr w:rsidR="00996AD7" w14:paraId="39D97F5F" w14:textId="77777777">
        <w:tc>
          <w:tcPr>
            <w:tcW w:w="0" w:type="auto"/>
            <w:gridSpan w:val="3"/>
            <w:shd w:val="clear" w:color="auto" w:fill="auto"/>
            <w:tcMar>
              <w:top w:w="40" w:type="dxa"/>
              <w:left w:w="200" w:type="dxa"/>
              <w:bottom w:w="40" w:type="dxa"/>
              <w:right w:w="20" w:type="dxa"/>
            </w:tcMar>
            <w:vAlign w:val="bottom"/>
          </w:tcPr>
          <w:p w14:paraId="39D97F5A" w14:textId="77777777" w:rsidR="00996AD7" w:rsidRDefault="00D96458">
            <w:pPr>
              <w:textAlignment w:val="bottom"/>
            </w:pPr>
            <w:r>
              <w:rPr>
                <w:rFonts w:ascii="Arial" w:eastAsia="宋体" w:hAnsi="Arial" w:cs="Arial"/>
                <w:b/>
                <w:bCs/>
                <w:color w:val="262626"/>
                <w:sz w:val="16"/>
                <w:szCs w:val="16"/>
              </w:rPr>
              <w:t> </w:t>
            </w:r>
          </w:p>
        </w:tc>
        <w:tc>
          <w:tcPr>
            <w:tcW w:w="0" w:type="auto"/>
            <w:gridSpan w:val="3"/>
            <w:shd w:val="clear" w:color="auto" w:fill="auto"/>
            <w:tcMar>
              <w:top w:w="0" w:type="dxa"/>
              <w:left w:w="20" w:type="dxa"/>
              <w:bottom w:w="0" w:type="dxa"/>
              <w:right w:w="20" w:type="dxa"/>
            </w:tcMar>
            <w:vAlign w:val="bottom"/>
          </w:tcPr>
          <w:p w14:paraId="39D97F5B"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7F5C" w14:textId="77777777" w:rsidR="00996AD7" w:rsidRDefault="00D964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39D97F5D"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7F5E" w14:textId="77777777" w:rsidR="00996AD7" w:rsidRDefault="00D96458">
            <w:pPr>
              <w:jc w:val="center"/>
              <w:textAlignment w:val="bottom"/>
            </w:pPr>
            <w:r>
              <w:rPr>
                <w:rFonts w:ascii="Arial" w:eastAsia="宋体" w:hAnsi="Arial" w:cs="Arial"/>
                <w:b/>
                <w:bCs/>
                <w:color w:val="262626"/>
                <w:sz w:val="18"/>
                <w:szCs w:val="18"/>
              </w:rPr>
              <w:t>Nine Months Ended</w:t>
            </w:r>
          </w:p>
        </w:tc>
      </w:tr>
      <w:tr w:rsidR="00996AD7" w14:paraId="39D97F69" w14:textId="77777777">
        <w:tc>
          <w:tcPr>
            <w:tcW w:w="0" w:type="auto"/>
            <w:gridSpan w:val="3"/>
            <w:shd w:val="clear" w:color="auto" w:fill="auto"/>
            <w:tcMar>
              <w:top w:w="40" w:type="dxa"/>
              <w:left w:w="20" w:type="dxa"/>
              <w:bottom w:w="40" w:type="dxa"/>
              <w:right w:w="20" w:type="dxa"/>
            </w:tcMar>
            <w:vAlign w:val="bottom"/>
          </w:tcPr>
          <w:p w14:paraId="39D97F60" w14:textId="77777777" w:rsidR="00996AD7" w:rsidRDefault="00D96458">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39D97F61"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F62"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F63"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F64"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gridSpan w:val="3"/>
            <w:shd w:val="clear" w:color="auto" w:fill="auto"/>
            <w:tcMar>
              <w:top w:w="0" w:type="dxa"/>
              <w:left w:w="20" w:type="dxa"/>
              <w:bottom w:w="0" w:type="dxa"/>
              <w:right w:w="20" w:type="dxa"/>
            </w:tcMar>
            <w:vAlign w:val="bottom"/>
          </w:tcPr>
          <w:p w14:paraId="39D97F65"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F66"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7F67"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7F68" w14:textId="77777777" w:rsidR="00996AD7" w:rsidRDefault="00D96458">
            <w:pPr>
              <w:jc w:val="center"/>
              <w:textAlignment w:val="bottom"/>
            </w:pPr>
            <w:r>
              <w:rPr>
                <w:rFonts w:ascii="Arial" w:eastAsia="宋体" w:hAnsi="Arial" w:cs="Arial"/>
                <w:b/>
                <w:bCs/>
                <w:color w:val="262626"/>
                <w:sz w:val="18"/>
                <w:szCs w:val="18"/>
              </w:rPr>
              <w:t>Sep 26, 2020</w:t>
            </w:r>
          </w:p>
        </w:tc>
      </w:tr>
      <w:tr w:rsidR="00996AD7" w14:paraId="39D97F7B"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7F6A" w14:textId="77777777" w:rsidR="00996AD7" w:rsidRDefault="00D96458">
            <w:pPr>
              <w:textAlignment w:val="top"/>
            </w:pPr>
            <w:r>
              <w:rPr>
                <w:rFonts w:ascii="Arial" w:eastAsia="宋体" w:hAnsi="Arial" w:cs="Arial"/>
                <w:b/>
                <w:bCs/>
                <w:color w:val="262626"/>
                <w:sz w:val="18"/>
                <w:szCs w:val="18"/>
              </w:rPr>
              <w:t>Net income available to common stockholders</w:t>
            </w:r>
          </w:p>
        </w:tc>
        <w:tc>
          <w:tcPr>
            <w:tcW w:w="0" w:type="auto"/>
            <w:gridSpan w:val="3"/>
            <w:shd w:val="clear" w:color="auto" w:fill="auto"/>
            <w:tcMar>
              <w:top w:w="0" w:type="dxa"/>
              <w:left w:w="20" w:type="dxa"/>
              <w:bottom w:w="0" w:type="dxa"/>
              <w:right w:w="20" w:type="dxa"/>
            </w:tcMar>
            <w:vAlign w:val="bottom"/>
          </w:tcPr>
          <w:p w14:paraId="39D97F6B"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F6C"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F6D" w14:textId="77777777" w:rsidR="00996AD7" w:rsidRDefault="00D96458">
            <w:pPr>
              <w:jc w:val="right"/>
              <w:textAlignment w:val="bottom"/>
            </w:pPr>
            <w:r>
              <w:rPr>
                <w:rFonts w:ascii="Arial" w:eastAsia="宋体" w:hAnsi="Arial" w:cs="Arial"/>
                <w:b/>
                <w:bCs/>
                <w:color w:val="0068B5"/>
                <w:sz w:val="18"/>
                <w:szCs w:val="18"/>
              </w:rPr>
              <w:t>6,823</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F6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6F"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F70"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F71" w14:textId="77777777" w:rsidR="00996AD7" w:rsidRDefault="00D96458">
            <w:pPr>
              <w:jc w:val="right"/>
              <w:textAlignment w:val="bottom"/>
            </w:pPr>
            <w:r>
              <w:rPr>
                <w:rFonts w:ascii="Arial" w:eastAsia="宋体" w:hAnsi="Arial" w:cs="Arial"/>
                <w:b/>
                <w:bCs/>
                <w:color w:val="262626"/>
                <w:sz w:val="18"/>
                <w:szCs w:val="18"/>
              </w:rPr>
              <w:t>4,276</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F7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73"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F74"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F75" w14:textId="77777777" w:rsidR="00996AD7" w:rsidRDefault="00D96458">
            <w:pPr>
              <w:jc w:val="right"/>
              <w:textAlignment w:val="bottom"/>
            </w:pPr>
            <w:r>
              <w:rPr>
                <w:rFonts w:ascii="Arial" w:eastAsia="宋体" w:hAnsi="Arial" w:cs="Arial"/>
                <w:b/>
                <w:bCs/>
                <w:color w:val="0068B5"/>
                <w:sz w:val="18"/>
                <w:szCs w:val="18"/>
              </w:rPr>
              <w:t>15,245</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F7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77"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F78"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F79" w14:textId="77777777" w:rsidR="00996AD7" w:rsidRDefault="00D96458">
            <w:pPr>
              <w:jc w:val="right"/>
              <w:textAlignment w:val="bottom"/>
            </w:pPr>
            <w:r>
              <w:rPr>
                <w:rFonts w:ascii="Arial" w:eastAsia="宋体" w:hAnsi="Arial" w:cs="Arial"/>
                <w:b/>
                <w:bCs/>
                <w:color w:val="262626"/>
                <w:sz w:val="18"/>
                <w:szCs w:val="18"/>
              </w:rPr>
              <w:t>15,042</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F7A" w14:textId="77777777" w:rsidR="00996AD7" w:rsidRDefault="00996AD7">
            <w:pPr>
              <w:jc w:val="right"/>
              <w:rPr>
                <w:rFonts w:ascii="宋体"/>
              </w:rPr>
            </w:pPr>
          </w:p>
        </w:tc>
      </w:tr>
      <w:tr w:rsidR="00996AD7" w14:paraId="39D97F89" w14:textId="77777777">
        <w:tc>
          <w:tcPr>
            <w:tcW w:w="0" w:type="auto"/>
            <w:gridSpan w:val="3"/>
            <w:shd w:val="clear" w:color="auto" w:fill="auto"/>
            <w:tcMar>
              <w:top w:w="40" w:type="dxa"/>
              <w:left w:w="20" w:type="dxa"/>
              <w:bottom w:w="40" w:type="dxa"/>
              <w:right w:w="20" w:type="dxa"/>
            </w:tcMar>
          </w:tcPr>
          <w:p w14:paraId="39D97F7C" w14:textId="77777777" w:rsidR="00996AD7" w:rsidRDefault="00D96458">
            <w:pPr>
              <w:textAlignment w:val="top"/>
            </w:pPr>
            <w:r>
              <w:rPr>
                <w:rFonts w:ascii="Arial" w:eastAsia="宋体" w:hAnsi="Arial" w:cs="Arial"/>
                <w:b/>
                <w:bCs/>
                <w:color w:val="262626"/>
                <w:sz w:val="18"/>
                <w:szCs w:val="18"/>
              </w:rPr>
              <w:t>Weighted average shares of common stock outstanding—basic</w:t>
            </w:r>
          </w:p>
        </w:tc>
        <w:tc>
          <w:tcPr>
            <w:tcW w:w="0" w:type="auto"/>
            <w:gridSpan w:val="3"/>
            <w:shd w:val="clear" w:color="auto" w:fill="auto"/>
            <w:tcMar>
              <w:top w:w="0" w:type="dxa"/>
              <w:left w:w="20" w:type="dxa"/>
              <w:bottom w:w="0" w:type="dxa"/>
              <w:right w:w="20" w:type="dxa"/>
            </w:tcMar>
            <w:vAlign w:val="bottom"/>
          </w:tcPr>
          <w:p w14:paraId="39D97F7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F7E" w14:textId="77777777" w:rsidR="00996AD7" w:rsidRDefault="00D96458">
            <w:pPr>
              <w:jc w:val="right"/>
              <w:textAlignment w:val="bottom"/>
            </w:pPr>
            <w:r>
              <w:rPr>
                <w:rFonts w:ascii="Arial" w:eastAsia="宋体" w:hAnsi="Arial" w:cs="Arial"/>
                <w:b/>
                <w:bCs/>
                <w:color w:val="0068B5"/>
                <w:sz w:val="18"/>
                <w:szCs w:val="18"/>
              </w:rPr>
              <w:t>4,061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F7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8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F81" w14:textId="77777777" w:rsidR="00996AD7" w:rsidRDefault="00D96458">
            <w:pPr>
              <w:jc w:val="right"/>
              <w:textAlignment w:val="bottom"/>
            </w:pPr>
            <w:r>
              <w:rPr>
                <w:rFonts w:ascii="Arial" w:eastAsia="宋体" w:hAnsi="Arial" w:cs="Arial"/>
                <w:b/>
                <w:bCs/>
                <w:color w:val="262626"/>
                <w:sz w:val="18"/>
                <w:szCs w:val="18"/>
              </w:rPr>
              <w:t>4,188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F8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8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F84" w14:textId="77777777" w:rsidR="00996AD7" w:rsidRDefault="00D96458">
            <w:pPr>
              <w:jc w:val="right"/>
              <w:textAlignment w:val="bottom"/>
            </w:pPr>
            <w:r>
              <w:rPr>
                <w:rFonts w:ascii="Arial" w:eastAsia="宋体" w:hAnsi="Arial" w:cs="Arial"/>
                <w:b/>
                <w:bCs/>
                <w:color w:val="0068B5"/>
                <w:sz w:val="18"/>
                <w:szCs w:val="18"/>
              </w:rPr>
              <w:t>4,055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7F8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8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F87" w14:textId="77777777" w:rsidR="00996AD7" w:rsidRDefault="00D96458">
            <w:pPr>
              <w:jc w:val="right"/>
              <w:textAlignment w:val="bottom"/>
            </w:pPr>
            <w:r>
              <w:rPr>
                <w:rFonts w:ascii="Arial" w:eastAsia="宋体" w:hAnsi="Arial" w:cs="Arial"/>
                <w:b/>
                <w:bCs/>
                <w:color w:val="262626"/>
                <w:sz w:val="18"/>
                <w:szCs w:val="18"/>
              </w:rPr>
              <w:t>4,233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7F88" w14:textId="77777777" w:rsidR="00996AD7" w:rsidRDefault="00996AD7">
            <w:pPr>
              <w:jc w:val="right"/>
              <w:rPr>
                <w:rFonts w:ascii="宋体"/>
              </w:rPr>
            </w:pPr>
          </w:p>
        </w:tc>
      </w:tr>
      <w:tr w:rsidR="00996AD7" w14:paraId="39D97F97" w14:textId="77777777">
        <w:tc>
          <w:tcPr>
            <w:tcW w:w="0" w:type="auto"/>
            <w:gridSpan w:val="3"/>
            <w:shd w:val="clear" w:color="auto" w:fill="auto"/>
            <w:tcMar>
              <w:top w:w="40" w:type="dxa"/>
              <w:left w:w="20" w:type="dxa"/>
              <w:bottom w:w="40" w:type="dxa"/>
              <w:right w:w="20" w:type="dxa"/>
            </w:tcMar>
          </w:tcPr>
          <w:p w14:paraId="39D97F8A" w14:textId="77777777" w:rsidR="00996AD7" w:rsidRDefault="00D96458">
            <w:pPr>
              <w:textAlignment w:val="top"/>
            </w:pPr>
            <w:r>
              <w:rPr>
                <w:rFonts w:ascii="Arial" w:eastAsia="宋体" w:hAnsi="Arial" w:cs="Arial"/>
                <w:color w:val="262626"/>
                <w:sz w:val="18"/>
                <w:szCs w:val="18"/>
              </w:rPr>
              <w:t>Dilutive effect of employee equity incentive plans</w:t>
            </w:r>
          </w:p>
        </w:tc>
        <w:tc>
          <w:tcPr>
            <w:tcW w:w="0" w:type="auto"/>
            <w:gridSpan w:val="3"/>
            <w:shd w:val="clear" w:color="auto" w:fill="auto"/>
            <w:tcMar>
              <w:top w:w="0" w:type="dxa"/>
              <w:left w:w="20" w:type="dxa"/>
              <w:bottom w:w="0" w:type="dxa"/>
              <w:right w:w="20" w:type="dxa"/>
            </w:tcMar>
            <w:vAlign w:val="bottom"/>
          </w:tcPr>
          <w:p w14:paraId="39D97F8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F8C" w14:textId="77777777" w:rsidR="00996AD7" w:rsidRDefault="00D96458">
            <w:pPr>
              <w:jc w:val="right"/>
              <w:textAlignment w:val="bottom"/>
            </w:pPr>
            <w:r>
              <w:rPr>
                <w:rFonts w:ascii="Arial" w:eastAsia="宋体" w:hAnsi="Arial" w:cs="Arial"/>
                <w:color w:val="0068B5"/>
                <w:sz w:val="18"/>
                <w:szCs w:val="18"/>
              </w:rPr>
              <w:t>25 </w:t>
            </w:r>
          </w:p>
        </w:tc>
        <w:tc>
          <w:tcPr>
            <w:tcW w:w="0" w:type="auto"/>
            <w:shd w:val="clear" w:color="auto" w:fill="auto"/>
            <w:tcMar>
              <w:top w:w="40" w:type="dxa"/>
              <w:left w:w="0" w:type="dxa"/>
              <w:bottom w:w="40" w:type="dxa"/>
              <w:right w:w="20" w:type="dxa"/>
            </w:tcMar>
            <w:vAlign w:val="bottom"/>
          </w:tcPr>
          <w:p w14:paraId="39D97F8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8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F8F" w14:textId="77777777" w:rsidR="00996AD7" w:rsidRDefault="00D96458">
            <w:pPr>
              <w:jc w:val="right"/>
              <w:textAlignment w:val="bottom"/>
            </w:pPr>
            <w:r>
              <w:rPr>
                <w:rFonts w:ascii="Arial" w:eastAsia="宋体" w:hAnsi="Arial" w:cs="Arial"/>
                <w:color w:val="000000"/>
                <w:sz w:val="18"/>
                <w:szCs w:val="18"/>
              </w:rPr>
              <w:t>23 </w:t>
            </w:r>
          </w:p>
        </w:tc>
        <w:tc>
          <w:tcPr>
            <w:tcW w:w="0" w:type="auto"/>
            <w:shd w:val="clear" w:color="auto" w:fill="auto"/>
            <w:tcMar>
              <w:top w:w="40" w:type="dxa"/>
              <w:left w:w="0" w:type="dxa"/>
              <w:bottom w:w="40" w:type="dxa"/>
              <w:right w:w="20" w:type="dxa"/>
            </w:tcMar>
            <w:vAlign w:val="bottom"/>
          </w:tcPr>
          <w:p w14:paraId="39D97F9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9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F92" w14:textId="77777777" w:rsidR="00996AD7" w:rsidRDefault="00D96458">
            <w:pPr>
              <w:jc w:val="right"/>
              <w:textAlignment w:val="bottom"/>
            </w:pPr>
            <w:r>
              <w:rPr>
                <w:rFonts w:ascii="Arial" w:eastAsia="宋体" w:hAnsi="Arial" w:cs="Arial"/>
                <w:color w:val="0068B5"/>
                <w:sz w:val="18"/>
                <w:szCs w:val="18"/>
              </w:rPr>
              <w:t>34 </w:t>
            </w:r>
          </w:p>
        </w:tc>
        <w:tc>
          <w:tcPr>
            <w:tcW w:w="0" w:type="auto"/>
            <w:shd w:val="clear" w:color="auto" w:fill="auto"/>
            <w:tcMar>
              <w:top w:w="40" w:type="dxa"/>
              <w:left w:w="0" w:type="dxa"/>
              <w:bottom w:w="40" w:type="dxa"/>
              <w:right w:w="20" w:type="dxa"/>
            </w:tcMar>
            <w:vAlign w:val="bottom"/>
          </w:tcPr>
          <w:p w14:paraId="39D97F9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9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F95" w14:textId="77777777" w:rsidR="00996AD7" w:rsidRDefault="00D96458">
            <w:pPr>
              <w:jc w:val="right"/>
              <w:textAlignment w:val="bottom"/>
            </w:pPr>
            <w:r>
              <w:rPr>
                <w:rFonts w:ascii="Arial" w:eastAsia="宋体" w:hAnsi="Arial" w:cs="Arial"/>
                <w:color w:val="000000"/>
                <w:sz w:val="18"/>
                <w:szCs w:val="18"/>
              </w:rPr>
              <w:t>36 </w:t>
            </w:r>
          </w:p>
        </w:tc>
        <w:tc>
          <w:tcPr>
            <w:tcW w:w="0" w:type="auto"/>
            <w:shd w:val="clear" w:color="auto" w:fill="auto"/>
            <w:tcMar>
              <w:top w:w="40" w:type="dxa"/>
              <w:left w:w="0" w:type="dxa"/>
              <w:bottom w:w="40" w:type="dxa"/>
              <w:right w:w="20" w:type="dxa"/>
            </w:tcMar>
            <w:vAlign w:val="bottom"/>
          </w:tcPr>
          <w:p w14:paraId="39D97F96" w14:textId="77777777" w:rsidR="00996AD7" w:rsidRDefault="00996AD7">
            <w:pPr>
              <w:jc w:val="right"/>
              <w:rPr>
                <w:rFonts w:ascii="宋体"/>
              </w:rPr>
            </w:pPr>
          </w:p>
        </w:tc>
      </w:tr>
      <w:tr w:rsidR="00996AD7" w14:paraId="39D97FA1" w14:textId="77777777">
        <w:trPr>
          <w:hidden/>
        </w:trPr>
        <w:tc>
          <w:tcPr>
            <w:tcW w:w="0" w:type="auto"/>
            <w:gridSpan w:val="3"/>
            <w:shd w:val="clear" w:color="auto" w:fill="auto"/>
            <w:vAlign w:val="bottom"/>
          </w:tcPr>
          <w:p w14:paraId="39D97F98" w14:textId="77777777" w:rsidR="00996AD7" w:rsidRDefault="00996AD7">
            <w:pPr>
              <w:rPr>
                <w:rFonts w:ascii="宋体"/>
                <w:vanish/>
              </w:rPr>
            </w:pPr>
          </w:p>
        </w:tc>
        <w:tc>
          <w:tcPr>
            <w:tcW w:w="0" w:type="auto"/>
            <w:gridSpan w:val="3"/>
            <w:shd w:val="clear" w:color="auto" w:fill="auto"/>
            <w:vAlign w:val="bottom"/>
          </w:tcPr>
          <w:p w14:paraId="39D97F99" w14:textId="77777777" w:rsidR="00996AD7" w:rsidRDefault="00996AD7">
            <w:pPr>
              <w:rPr>
                <w:rFonts w:ascii="宋体"/>
                <w:vanish/>
              </w:rPr>
            </w:pPr>
          </w:p>
        </w:tc>
        <w:tc>
          <w:tcPr>
            <w:tcW w:w="0" w:type="auto"/>
            <w:gridSpan w:val="3"/>
            <w:shd w:val="clear" w:color="auto" w:fill="auto"/>
            <w:vAlign w:val="bottom"/>
          </w:tcPr>
          <w:p w14:paraId="39D97F9A" w14:textId="77777777" w:rsidR="00996AD7" w:rsidRDefault="00996AD7">
            <w:pPr>
              <w:rPr>
                <w:rFonts w:ascii="宋体"/>
                <w:vanish/>
              </w:rPr>
            </w:pPr>
          </w:p>
        </w:tc>
        <w:tc>
          <w:tcPr>
            <w:tcW w:w="0" w:type="auto"/>
            <w:gridSpan w:val="3"/>
            <w:shd w:val="clear" w:color="auto" w:fill="auto"/>
            <w:vAlign w:val="bottom"/>
          </w:tcPr>
          <w:p w14:paraId="39D97F9B" w14:textId="77777777" w:rsidR="00996AD7" w:rsidRDefault="00996AD7">
            <w:pPr>
              <w:rPr>
                <w:rFonts w:ascii="宋体"/>
                <w:vanish/>
              </w:rPr>
            </w:pPr>
          </w:p>
        </w:tc>
        <w:tc>
          <w:tcPr>
            <w:tcW w:w="0" w:type="auto"/>
            <w:gridSpan w:val="3"/>
            <w:shd w:val="clear" w:color="auto" w:fill="auto"/>
            <w:vAlign w:val="bottom"/>
          </w:tcPr>
          <w:p w14:paraId="39D97F9C" w14:textId="77777777" w:rsidR="00996AD7" w:rsidRDefault="00996AD7">
            <w:pPr>
              <w:rPr>
                <w:rFonts w:ascii="宋体"/>
                <w:vanish/>
              </w:rPr>
            </w:pPr>
          </w:p>
        </w:tc>
        <w:tc>
          <w:tcPr>
            <w:tcW w:w="0" w:type="auto"/>
            <w:gridSpan w:val="3"/>
            <w:shd w:val="clear" w:color="auto" w:fill="auto"/>
            <w:vAlign w:val="bottom"/>
          </w:tcPr>
          <w:p w14:paraId="39D97F9D" w14:textId="77777777" w:rsidR="00996AD7" w:rsidRDefault="00996AD7">
            <w:pPr>
              <w:rPr>
                <w:rFonts w:ascii="宋体"/>
                <w:vanish/>
              </w:rPr>
            </w:pPr>
          </w:p>
        </w:tc>
        <w:tc>
          <w:tcPr>
            <w:tcW w:w="0" w:type="auto"/>
            <w:gridSpan w:val="3"/>
            <w:shd w:val="clear" w:color="auto" w:fill="auto"/>
            <w:vAlign w:val="bottom"/>
          </w:tcPr>
          <w:p w14:paraId="39D97F9E" w14:textId="77777777" w:rsidR="00996AD7" w:rsidRDefault="00996AD7">
            <w:pPr>
              <w:rPr>
                <w:rFonts w:ascii="宋体"/>
                <w:vanish/>
              </w:rPr>
            </w:pPr>
          </w:p>
        </w:tc>
        <w:tc>
          <w:tcPr>
            <w:tcW w:w="0" w:type="auto"/>
            <w:gridSpan w:val="3"/>
            <w:shd w:val="clear" w:color="auto" w:fill="auto"/>
            <w:vAlign w:val="bottom"/>
          </w:tcPr>
          <w:p w14:paraId="39D97F9F" w14:textId="77777777" w:rsidR="00996AD7" w:rsidRDefault="00996AD7">
            <w:pPr>
              <w:rPr>
                <w:rFonts w:ascii="宋体"/>
                <w:vanish/>
              </w:rPr>
            </w:pPr>
          </w:p>
        </w:tc>
        <w:tc>
          <w:tcPr>
            <w:tcW w:w="0" w:type="auto"/>
            <w:gridSpan w:val="3"/>
            <w:shd w:val="clear" w:color="auto" w:fill="auto"/>
            <w:vAlign w:val="bottom"/>
          </w:tcPr>
          <w:p w14:paraId="39D97FA0" w14:textId="77777777" w:rsidR="00996AD7" w:rsidRDefault="00996AD7">
            <w:pPr>
              <w:rPr>
                <w:rFonts w:ascii="宋体"/>
                <w:vanish/>
              </w:rPr>
            </w:pPr>
          </w:p>
        </w:tc>
      </w:tr>
      <w:tr w:rsidR="00996AD7" w14:paraId="39D97FAF" w14:textId="77777777">
        <w:tc>
          <w:tcPr>
            <w:tcW w:w="0" w:type="auto"/>
            <w:gridSpan w:val="3"/>
            <w:shd w:val="clear" w:color="auto" w:fill="auto"/>
            <w:tcMar>
              <w:top w:w="40" w:type="dxa"/>
              <w:left w:w="20" w:type="dxa"/>
              <w:bottom w:w="40" w:type="dxa"/>
              <w:right w:w="20" w:type="dxa"/>
            </w:tcMar>
          </w:tcPr>
          <w:p w14:paraId="39D97FA2" w14:textId="77777777" w:rsidR="00996AD7" w:rsidRDefault="00D96458">
            <w:pPr>
              <w:textAlignment w:val="top"/>
            </w:pPr>
            <w:r>
              <w:rPr>
                <w:rFonts w:ascii="Arial" w:eastAsia="宋体" w:hAnsi="Arial" w:cs="Arial"/>
                <w:b/>
                <w:bCs/>
                <w:color w:val="262626"/>
                <w:sz w:val="18"/>
                <w:szCs w:val="18"/>
              </w:rPr>
              <w:t>Weighted average shares of common stock outstanding—diluted</w:t>
            </w:r>
          </w:p>
        </w:tc>
        <w:tc>
          <w:tcPr>
            <w:tcW w:w="0" w:type="auto"/>
            <w:gridSpan w:val="3"/>
            <w:shd w:val="clear" w:color="auto" w:fill="auto"/>
            <w:tcMar>
              <w:top w:w="0" w:type="dxa"/>
              <w:left w:w="20" w:type="dxa"/>
              <w:bottom w:w="0" w:type="dxa"/>
              <w:right w:w="20" w:type="dxa"/>
            </w:tcMar>
            <w:vAlign w:val="bottom"/>
          </w:tcPr>
          <w:p w14:paraId="39D97FA3" w14:textId="77777777" w:rsidR="00996AD7" w:rsidRDefault="00996AD7">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39D97FA4" w14:textId="77777777" w:rsidR="00996AD7" w:rsidRDefault="00D96458">
            <w:pPr>
              <w:jc w:val="right"/>
              <w:textAlignment w:val="bottom"/>
            </w:pPr>
            <w:r>
              <w:rPr>
                <w:rFonts w:ascii="Arial" w:eastAsia="宋体" w:hAnsi="Arial" w:cs="Arial"/>
                <w:b/>
                <w:bCs/>
                <w:color w:val="0068B5"/>
                <w:sz w:val="18"/>
                <w:szCs w:val="18"/>
              </w:rPr>
              <w:t>4,086</w:t>
            </w:r>
            <w:r>
              <w:rPr>
                <w:rFonts w:ascii="Arial" w:eastAsia="宋体" w:hAnsi="Arial" w:cs="Arial"/>
                <w:color w:val="0068B5"/>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39D97FA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A6" w14:textId="77777777" w:rsidR="00996AD7" w:rsidRDefault="00996AD7">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39D97FA7" w14:textId="77777777" w:rsidR="00996AD7" w:rsidRDefault="00D96458">
            <w:pPr>
              <w:jc w:val="right"/>
              <w:textAlignment w:val="bottom"/>
            </w:pPr>
            <w:r>
              <w:rPr>
                <w:rFonts w:ascii="Arial" w:eastAsia="宋体" w:hAnsi="Arial" w:cs="Arial"/>
                <w:b/>
                <w:bCs/>
                <w:color w:val="262626"/>
                <w:sz w:val="18"/>
                <w:szCs w:val="18"/>
              </w:rPr>
              <w:t>4,211</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39D97FA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A9" w14:textId="77777777" w:rsidR="00996AD7" w:rsidRDefault="00996AD7">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39D97FAA" w14:textId="77777777" w:rsidR="00996AD7" w:rsidRDefault="00D96458">
            <w:pPr>
              <w:jc w:val="right"/>
              <w:textAlignment w:val="bottom"/>
            </w:pPr>
            <w:r>
              <w:rPr>
                <w:rFonts w:ascii="Arial" w:eastAsia="宋体" w:hAnsi="Arial" w:cs="Arial"/>
                <w:b/>
                <w:bCs/>
                <w:color w:val="0068B5"/>
                <w:sz w:val="18"/>
                <w:szCs w:val="18"/>
              </w:rPr>
              <w:t>4,089</w:t>
            </w:r>
            <w:r>
              <w:rPr>
                <w:rFonts w:ascii="Arial" w:eastAsia="宋体" w:hAnsi="Arial" w:cs="Arial"/>
                <w:color w:val="0068B5"/>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39D97FA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AC" w14:textId="77777777" w:rsidR="00996AD7" w:rsidRDefault="00996AD7">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39D97FAD" w14:textId="77777777" w:rsidR="00996AD7" w:rsidRDefault="00D96458">
            <w:pPr>
              <w:jc w:val="right"/>
              <w:textAlignment w:val="bottom"/>
            </w:pPr>
            <w:r>
              <w:rPr>
                <w:rFonts w:ascii="Arial" w:eastAsia="宋体" w:hAnsi="Arial" w:cs="Arial"/>
                <w:b/>
                <w:bCs/>
                <w:color w:val="262626"/>
                <w:sz w:val="18"/>
                <w:szCs w:val="18"/>
              </w:rPr>
              <w:t>4,269</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39D97FAE" w14:textId="77777777" w:rsidR="00996AD7" w:rsidRDefault="00996AD7">
            <w:pPr>
              <w:jc w:val="right"/>
              <w:rPr>
                <w:rFonts w:ascii="宋体"/>
              </w:rPr>
            </w:pPr>
          </w:p>
        </w:tc>
      </w:tr>
      <w:tr w:rsidR="00996AD7" w14:paraId="39D97FC1" w14:textId="77777777">
        <w:tc>
          <w:tcPr>
            <w:tcW w:w="0" w:type="auto"/>
            <w:gridSpan w:val="3"/>
            <w:shd w:val="clear" w:color="auto" w:fill="auto"/>
            <w:tcMar>
              <w:top w:w="40" w:type="dxa"/>
              <w:left w:w="20" w:type="dxa"/>
              <w:bottom w:w="40" w:type="dxa"/>
              <w:right w:w="20" w:type="dxa"/>
            </w:tcMar>
          </w:tcPr>
          <w:p w14:paraId="39D97FB0" w14:textId="77777777" w:rsidR="00996AD7" w:rsidRDefault="00D96458">
            <w:pPr>
              <w:textAlignment w:val="top"/>
            </w:pPr>
            <w:r>
              <w:rPr>
                <w:rFonts w:ascii="Arial" w:eastAsia="宋体" w:hAnsi="Arial" w:cs="Arial"/>
                <w:b/>
                <w:bCs/>
                <w:color w:val="262626"/>
                <w:sz w:val="18"/>
                <w:szCs w:val="18"/>
              </w:rPr>
              <w:t>Earnings per share—basic</w:t>
            </w:r>
          </w:p>
        </w:tc>
        <w:tc>
          <w:tcPr>
            <w:tcW w:w="0" w:type="auto"/>
            <w:gridSpan w:val="3"/>
            <w:shd w:val="clear" w:color="auto" w:fill="auto"/>
            <w:tcMar>
              <w:top w:w="0" w:type="dxa"/>
              <w:left w:w="20" w:type="dxa"/>
              <w:bottom w:w="0" w:type="dxa"/>
              <w:right w:w="20" w:type="dxa"/>
            </w:tcMar>
            <w:vAlign w:val="bottom"/>
          </w:tcPr>
          <w:p w14:paraId="39D97FB1"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7FB2" w14:textId="77777777" w:rsidR="00996AD7" w:rsidRDefault="00D964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7FB3" w14:textId="77777777" w:rsidR="00996AD7" w:rsidRDefault="00D96458">
            <w:pPr>
              <w:jc w:val="right"/>
              <w:textAlignment w:val="bottom"/>
            </w:pPr>
            <w:r>
              <w:rPr>
                <w:rFonts w:ascii="Arial" w:eastAsia="宋体" w:hAnsi="Arial" w:cs="Arial"/>
                <w:b/>
                <w:bCs/>
                <w:color w:val="0068B5"/>
                <w:sz w:val="18"/>
                <w:szCs w:val="18"/>
              </w:rPr>
              <w:t>1.68</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7FB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B5"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7FB6" w14:textId="77777777" w:rsidR="00996AD7" w:rsidRDefault="00D964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7FB7" w14:textId="77777777" w:rsidR="00996AD7" w:rsidRDefault="00D96458">
            <w:pPr>
              <w:jc w:val="right"/>
              <w:textAlignment w:val="bottom"/>
            </w:pPr>
            <w:r>
              <w:rPr>
                <w:rFonts w:ascii="Arial" w:eastAsia="宋体" w:hAnsi="Arial" w:cs="Arial"/>
                <w:b/>
                <w:bCs/>
                <w:color w:val="262626"/>
                <w:sz w:val="18"/>
                <w:szCs w:val="18"/>
              </w:rPr>
              <w:t>1.02</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7FB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B9"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7FBA" w14:textId="77777777" w:rsidR="00996AD7" w:rsidRDefault="00D964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7FBB" w14:textId="77777777" w:rsidR="00996AD7" w:rsidRDefault="00D96458">
            <w:pPr>
              <w:jc w:val="right"/>
              <w:textAlignment w:val="bottom"/>
            </w:pPr>
            <w:r>
              <w:rPr>
                <w:rFonts w:ascii="Arial" w:eastAsia="宋体" w:hAnsi="Arial" w:cs="Arial"/>
                <w:b/>
                <w:bCs/>
                <w:color w:val="0068B5"/>
                <w:sz w:val="18"/>
                <w:szCs w:val="18"/>
              </w:rPr>
              <w:t>3.76</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7FB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BD"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7FBE" w14:textId="77777777" w:rsidR="00996AD7" w:rsidRDefault="00D964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7FBF" w14:textId="77777777" w:rsidR="00996AD7" w:rsidRDefault="00D96458">
            <w:pPr>
              <w:jc w:val="right"/>
              <w:textAlignment w:val="bottom"/>
            </w:pPr>
            <w:r>
              <w:rPr>
                <w:rFonts w:ascii="Arial" w:eastAsia="宋体" w:hAnsi="Arial" w:cs="Arial"/>
                <w:b/>
                <w:bCs/>
                <w:color w:val="262626"/>
                <w:sz w:val="18"/>
                <w:szCs w:val="18"/>
              </w:rPr>
              <w:t>3.55</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7FC0" w14:textId="77777777" w:rsidR="00996AD7" w:rsidRDefault="00996AD7">
            <w:pPr>
              <w:jc w:val="right"/>
              <w:rPr>
                <w:rFonts w:ascii="宋体"/>
              </w:rPr>
            </w:pPr>
          </w:p>
        </w:tc>
      </w:tr>
      <w:tr w:rsidR="00996AD7" w14:paraId="39D97FD3" w14:textId="77777777">
        <w:tc>
          <w:tcPr>
            <w:tcW w:w="0" w:type="auto"/>
            <w:gridSpan w:val="3"/>
            <w:shd w:val="clear" w:color="auto" w:fill="auto"/>
            <w:tcMar>
              <w:top w:w="40" w:type="dxa"/>
              <w:left w:w="20" w:type="dxa"/>
              <w:bottom w:w="40" w:type="dxa"/>
              <w:right w:w="20" w:type="dxa"/>
            </w:tcMar>
          </w:tcPr>
          <w:p w14:paraId="39D97FC2" w14:textId="77777777" w:rsidR="00996AD7" w:rsidRDefault="00D96458">
            <w:pPr>
              <w:textAlignment w:val="top"/>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39D97FC3" w14:textId="77777777" w:rsidR="00996AD7" w:rsidRDefault="00996AD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39D97FC4" w14:textId="77777777" w:rsidR="00996AD7" w:rsidRDefault="00D96458">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39D97FC5" w14:textId="77777777" w:rsidR="00996AD7" w:rsidRDefault="00D96458">
            <w:pPr>
              <w:jc w:val="right"/>
              <w:textAlignment w:val="bottom"/>
            </w:pPr>
            <w:r>
              <w:rPr>
                <w:rFonts w:ascii="Arial" w:eastAsia="宋体" w:hAnsi="Arial" w:cs="Arial"/>
                <w:b/>
                <w:bCs/>
                <w:color w:val="0068B5"/>
                <w:sz w:val="18"/>
                <w:szCs w:val="18"/>
              </w:rPr>
              <w:t>1.67</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39D97FC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C7" w14:textId="77777777" w:rsidR="00996AD7" w:rsidRDefault="00996AD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39D97FC8" w14:textId="77777777" w:rsidR="00996AD7" w:rsidRDefault="00D96458">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39D97FC9" w14:textId="77777777" w:rsidR="00996AD7" w:rsidRDefault="00D96458">
            <w:pPr>
              <w:jc w:val="right"/>
              <w:textAlignment w:val="bottom"/>
            </w:pPr>
            <w:r>
              <w:rPr>
                <w:rFonts w:ascii="Arial" w:eastAsia="宋体" w:hAnsi="Arial" w:cs="Arial"/>
                <w:b/>
                <w:bCs/>
                <w:color w:val="262626"/>
                <w:sz w:val="18"/>
                <w:szCs w:val="18"/>
              </w:rPr>
              <w:t>1.02</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39D97FC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CB" w14:textId="77777777" w:rsidR="00996AD7" w:rsidRDefault="00996AD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39D97FCC" w14:textId="77777777" w:rsidR="00996AD7" w:rsidRDefault="00D96458">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39D97FCD" w14:textId="77777777" w:rsidR="00996AD7" w:rsidRDefault="00D96458">
            <w:pPr>
              <w:jc w:val="right"/>
              <w:textAlignment w:val="bottom"/>
            </w:pPr>
            <w:r>
              <w:rPr>
                <w:rFonts w:ascii="Arial" w:eastAsia="宋体" w:hAnsi="Arial" w:cs="Arial"/>
                <w:b/>
                <w:bCs/>
                <w:color w:val="0068B5"/>
                <w:sz w:val="18"/>
                <w:szCs w:val="18"/>
              </w:rPr>
              <w:t>3.73</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39D97FC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7FCF" w14:textId="77777777" w:rsidR="00996AD7" w:rsidRDefault="00996AD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39D97FD0" w14:textId="77777777" w:rsidR="00996AD7" w:rsidRDefault="00D96458">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39D97FD1" w14:textId="77777777" w:rsidR="00996AD7" w:rsidRDefault="00D96458">
            <w:pPr>
              <w:jc w:val="right"/>
              <w:textAlignment w:val="bottom"/>
            </w:pPr>
            <w:r>
              <w:rPr>
                <w:rFonts w:ascii="Arial" w:eastAsia="宋体" w:hAnsi="Arial" w:cs="Arial"/>
                <w:b/>
                <w:bCs/>
                <w:color w:val="262626"/>
                <w:sz w:val="18"/>
                <w:szCs w:val="18"/>
              </w:rPr>
              <w:t>3.52</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39D97FD2" w14:textId="77777777" w:rsidR="00996AD7" w:rsidRDefault="00996AD7">
            <w:pPr>
              <w:jc w:val="right"/>
              <w:rPr>
                <w:rFonts w:ascii="宋体"/>
              </w:rPr>
            </w:pPr>
          </w:p>
        </w:tc>
      </w:tr>
    </w:tbl>
    <w:p w14:paraId="39D97FD4" w14:textId="77777777" w:rsidR="00996AD7" w:rsidRDefault="00D96458">
      <w:pPr>
        <w:spacing w:before="80" w:after="180"/>
      </w:pPr>
      <w:r>
        <w:rPr>
          <w:rFonts w:ascii="Arial" w:eastAsia="宋体" w:hAnsi="Arial" w:cs="Arial"/>
          <w:color w:val="262626"/>
          <w:sz w:val="18"/>
          <w:szCs w:val="18"/>
        </w:rPr>
        <w:t>Potentially dilutive shares of common stock from employee equity incentive plans are determined by applying the treasury s</w:t>
      </w:r>
      <w:r>
        <w:rPr>
          <w:rFonts w:ascii="Arial" w:eastAsia="宋体" w:hAnsi="Arial" w:cs="Arial"/>
          <w:color w:val="262626"/>
          <w:sz w:val="18"/>
          <w:szCs w:val="18"/>
        </w:rPr>
        <w:t>tock method to the assumed exercise of outstanding stock options, the assumed vesting of outstanding RSUs, and the assumed issuance of common stock under the stock purchase plan.</w:t>
      </w:r>
    </w:p>
    <w:p w14:paraId="39D97FD5" w14:textId="77777777" w:rsidR="00996AD7" w:rsidRDefault="00D96458">
      <w:pPr>
        <w:spacing w:after="180"/>
      </w:pPr>
      <w:r>
        <w:rPr>
          <w:rFonts w:ascii="Arial" w:eastAsia="宋体" w:hAnsi="Arial" w:cs="Arial"/>
          <w:color w:val="262626"/>
          <w:sz w:val="18"/>
          <w:szCs w:val="18"/>
        </w:rPr>
        <w:t>Securities which would have been anti-dilutive are insignificant and are excl</w:t>
      </w:r>
      <w:r>
        <w:rPr>
          <w:rFonts w:ascii="Arial" w:eastAsia="宋体" w:hAnsi="Arial" w:cs="Arial"/>
          <w:color w:val="262626"/>
          <w:sz w:val="18"/>
          <w:szCs w:val="18"/>
        </w:rPr>
        <w:t xml:space="preserve">uded from the computation of diluted earnings per share in all periods presented.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996AD7" w14:paraId="39D97FDC" w14:textId="77777777">
        <w:tc>
          <w:tcPr>
            <w:tcW w:w="50" w:type="pct"/>
            <w:shd w:val="clear" w:color="auto" w:fill="auto"/>
            <w:vAlign w:val="bottom"/>
          </w:tcPr>
          <w:p w14:paraId="39D97FD6" w14:textId="77777777" w:rsidR="00996AD7" w:rsidRDefault="00996AD7">
            <w:pPr>
              <w:rPr>
                <w:rFonts w:ascii="宋体"/>
              </w:rPr>
            </w:pPr>
          </w:p>
        </w:tc>
        <w:tc>
          <w:tcPr>
            <w:tcW w:w="511" w:type="pct"/>
            <w:shd w:val="clear" w:color="auto" w:fill="auto"/>
            <w:vAlign w:val="bottom"/>
          </w:tcPr>
          <w:p w14:paraId="39D97FD7" w14:textId="77777777" w:rsidR="00996AD7" w:rsidRDefault="00996AD7">
            <w:pPr>
              <w:rPr>
                <w:rFonts w:ascii="宋体"/>
              </w:rPr>
            </w:pPr>
          </w:p>
        </w:tc>
        <w:tc>
          <w:tcPr>
            <w:tcW w:w="5" w:type="pct"/>
            <w:shd w:val="clear" w:color="auto" w:fill="auto"/>
            <w:vAlign w:val="bottom"/>
          </w:tcPr>
          <w:p w14:paraId="39D97FD8" w14:textId="77777777" w:rsidR="00996AD7" w:rsidRDefault="00996AD7">
            <w:pPr>
              <w:rPr>
                <w:rFonts w:ascii="宋体"/>
              </w:rPr>
            </w:pPr>
          </w:p>
        </w:tc>
        <w:tc>
          <w:tcPr>
            <w:tcW w:w="50" w:type="pct"/>
            <w:shd w:val="clear" w:color="auto" w:fill="auto"/>
            <w:vAlign w:val="bottom"/>
          </w:tcPr>
          <w:p w14:paraId="39D97FD9" w14:textId="77777777" w:rsidR="00996AD7" w:rsidRDefault="00996AD7">
            <w:pPr>
              <w:rPr>
                <w:rFonts w:ascii="宋体"/>
              </w:rPr>
            </w:pPr>
          </w:p>
        </w:tc>
        <w:tc>
          <w:tcPr>
            <w:tcW w:w="4378" w:type="pct"/>
            <w:shd w:val="clear" w:color="auto" w:fill="auto"/>
            <w:vAlign w:val="bottom"/>
          </w:tcPr>
          <w:p w14:paraId="39D97FDA" w14:textId="77777777" w:rsidR="00996AD7" w:rsidRDefault="00996AD7">
            <w:pPr>
              <w:rPr>
                <w:rFonts w:ascii="宋体"/>
              </w:rPr>
            </w:pPr>
          </w:p>
        </w:tc>
        <w:tc>
          <w:tcPr>
            <w:tcW w:w="5" w:type="pct"/>
            <w:shd w:val="clear" w:color="auto" w:fill="auto"/>
            <w:vAlign w:val="bottom"/>
          </w:tcPr>
          <w:p w14:paraId="39D97FDB" w14:textId="77777777" w:rsidR="00996AD7" w:rsidRDefault="00996AD7">
            <w:pPr>
              <w:rPr>
                <w:rFonts w:ascii="宋体"/>
              </w:rPr>
            </w:pPr>
          </w:p>
        </w:tc>
      </w:tr>
      <w:tr w:rsidR="00996AD7" w14:paraId="39D97FD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39D97FDD" w14:textId="77777777" w:rsidR="00996AD7" w:rsidRDefault="00D96458">
            <w:pPr>
              <w:textAlignment w:val="bottom"/>
            </w:pPr>
            <w:r>
              <w:rPr>
                <w:rFonts w:ascii="Arial" w:eastAsia="宋体" w:hAnsi="Arial" w:cs="Arial"/>
                <w:color w:val="FFFFFF"/>
                <w:sz w:val="28"/>
                <w:szCs w:val="28"/>
              </w:rPr>
              <w:t xml:space="preserve">Note 4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7FDE" w14:textId="77777777" w:rsidR="00996AD7" w:rsidRDefault="00D96458">
            <w:pPr>
              <w:textAlignment w:val="bottom"/>
            </w:pPr>
            <w:r>
              <w:rPr>
                <w:rFonts w:ascii="Arial" w:eastAsia="宋体" w:hAnsi="Arial" w:cs="Arial"/>
                <w:color w:val="0068B5"/>
                <w:sz w:val="28"/>
                <w:szCs w:val="28"/>
              </w:rPr>
              <w:t>Contract Liabilities</w:t>
            </w:r>
          </w:p>
        </w:tc>
      </w:tr>
    </w:tbl>
    <w:p w14:paraId="39D97FE0" w14:textId="77777777" w:rsidR="00996AD7" w:rsidRDefault="00D96458">
      <w:pPr>
        <w:spacing w:before="180" w:after="180"/>
      </w:pPr>
      <w:r>
        <w:rPr>
          <w:rFonts w:ascii="Arial" w:eastAsia="宋体" w:hAnsi="Arial" w:cs="Arial"/>
          <w:color w:val="262626"/>
          <w:sz w:val="18"/>
          <w:szCs w:val="18"/>
        </w:rPr>
        <w:t xml:space="preserve">Contract liabilities consist of prepayments received from customers on long-term prepaid supply agreements toward future </w:t>
      </w:r>
      <w:r>
        <w:rPr>
          <w:rFonts w:ascii="Arial" w:eastAsia="宋体" w:hAnsi="Arial" w:cs="Arial"/>
          <w:color w:val="262626"/>
          <w:sz w:val="18"/>
          <w:szCs w:val="18"/>
        </w:rPr>
        <w:t>product delivery and other revenue deferrals from regular ongoing business activity. Contract liabilities were $351 million as of September 25, 2021 ($1.9 billion as of December 26, 2020).</w:t>
      </w:r>
    </w:p>
    <w:p w14:paraId="39D97FE1" w14:textId="77777777" w:rsidR="00996AD7" w:rsidRDefault="00D96458">
      <w:pPr>
        <w:spacing w:after="120"/>
      </w:pPr>
      <w:r>
        <w:rPr>
          <w:rFonts w:ascii="Arial" w:eastAsia="宋体" w:hAnsi="Arial" w:cs="Arial"/>
          <w:color w:val="262626"/>
          <w:sz w:val="18"/>
          <w:szCs w:val="18"/>
        </w:rPr>
        <w:t>The following table shows the changes in contract liability balance</w:t>
      </w:r>
      <w:r>
        <w:rPr>
          <w:rFonts w:ascii="Arial" w:eastAsia="宋体" w:hAnsi="Arial" w:cs="Arial"/>
          <w:color w:val="262626"/>
          <w:sz w:val="18"/>
          <w:szCs w:val="18"/>
        </w:rPr>
        <w:t>s relating to long-term prepaid supply agreements during the first nine months of 2021:</w:t>
      </w:r>
    </w:p>
    <w:tbl>
      <w:tblPr>
        <w:tblW w:w="5000" w:type="pct"/>
        <w:tblCellMar>
          <w:top w:w="15" w:type="dxa"/>
          <w:left w:w="15" w:type="dxa"/>
          <w:bottom w:w="15" w:type="dxa"/>
          <w:right w:w="15" w:type="dxa"/>
        </w:tblCellMar>
        <w:tblLook w:val="04A0" w:firstRow="1" w:lastRow="0" w:firstColumn="1" w:lastColumn="0" w:noHBand="0" w:noVBand="1"/>
      </w:tblPr>
      <w:tblGrid>
        <w:gridCol w:w="46"/>
        <w:gridCol w:w="7160"/>
        <w:gridCol w:w="36"/>
        <w:gridCol w:w="36"/>
        <w:gridCol w:w="36"/>
        <w:gridCol w:w="36"/>
        <w:gridCol w:w="121"/>
        <w:gridCol w:w="829"/>
        <w:gridCol w:w="36"/>
      </w:tblGrid>
      <w:tr w:rsidR="00996AD7" w14:paraId="39D97FEB" w14:textId="77777777">
        <w:tc>
          <w:tcPr>
            <w:tcW w:w="50" w:type="pct"/>
            <w:shd w:val="clear" w:color="auto" w:fill="auto"/>
            <w:vAlign w:val="bottom"/>
          </w:tcPr>
          <w:p w14:paraId="39D97FE2" w14:textId="77777777" w:rsidR="00996AD7" w:rsidRDefault="00996AD7">
            <w:pPr>
              <w:rPr>
                <w:rFonts w:ascii="宋体"/>
              </w:rPr>
            </w:pPr>
          </w:p>
        </w:tc>
        <w:tc>
          <w:tcPr>
            <w:tcW w:w="4316" w:type="pct"/>
            <w:shd w:val="clear" w:color="auto" w:fill="auto"/>
            <w:vAlign w:val="bottom"/>
          </w:tcPr>
          <w:p w14:paraId="39D97FE3" w14:textId="77777777" w:rsidR="00996AD7" w:rsidRDefault="00996AD7">
            <w:pPr>
              <w:rPr>
                <w:rFonts w:ascii="宋体"/>
              </w:rPr>
            </w:pPr>
          </w:p>
        </w:tc>
        <w:tc>
          <w:tcPr>
            <w:tcW w:w="5" w:type="pct"/>
            <w:shd w:val="clear" w:color="auto" w:fill="auto"/>
            <w:vAlign w:val="bottom"/>
          </w:tcPr>
          <w:p w14:paraId="39D97FE4" w14:textId="77777777" w:rsidR="00996AD7" w:rsidRDefault="00996AD7">
            <w:pPr>
              <w:rPr>
                <w:rFonts w:ascii="宋体"/>
              </w:rPr>
            </w:pPr>
          </w:p>
        </w:tc>
        <w:tc>
          <w:tcPr>
            <w:tcW w:w="5" w:type="pct"/>
            <w:shd w:val="clear" w:color="auto" w:fill="auto"/>
            <w:vAlign w:val="bottom"/>
          </w:tcPr>
          <w:p w14:paraId="39D97FE5" w14:textId="77777777" w:rsidR="00996AD7" w:rsidRDefault="00996AD7">
            <w:pPr>
              <w:rPr>
                <w:rFonts w:ascii="宋体"/>
              </w:rPr>
            </w:pPr>
          </w:p>
        </w:tc>
        <w:tc>
          <w:tcPr>
            <w:tcW w:w="24" w:type="pct"/>
            <w:shd w:val="clear" w:color="auto" w:fill="auto"/>
            <w:vAlign w:val="bottom"/>
          </w:tcPr>
          <w:p w14:paraId="39D97FE6" w14:textId="77777777" w:rsidR="00996AD7" w:rsidRDefault="00996AD7">
            <w:pPr>
              <w:rPr>
                <w:rFonts w:ascii="宋体"/>
              </w:rPr>
            </w:pPr>
          </w:p>
        </w:tc>
        <w:tc>
          <w:tcPr>
            <w:tcW w:w="5" w:type="pct"/>
            <w:shd w:val="clear" w:color="auto" w:fill="auto"/>
            <w:vAlign w:val="bottom"/>
          </w:tcPr>
          <w:p w14:paraId="39D97FE7" w14:textId="77777777" w:rsidR="00996AD7" w:rsidRDefault="00996AD7">
            <w:pPr>
              <w:rPr>
                <w:rFonts w:ascii="宋体"/>
              </w:rPr>
            </w:pPr>
          </w:p>
        </w:tc>
        <w:tc>
          <w:tcPr>
            <w:tcW w:w="50" w:type="pct"/>
            <w:shd w:val="clear" w:color="auto" w:fill="auto"/>
            <w:vAlign w:val="bottom"/>
          </w:tcPr>
          <w:p w14:paraId="39D97FE8" w14:textId="77777777" w:rsidR="00996AD7" w:rsidRDefault="00996AD7">
            <w:pPr>
              <w:rPr>
                <w:rFonts w:ascii="宋体"/>
              </w:rPr>
            </w:pPr>
          </w:p>
        </w:tc>
        <w:tc>
          <w:tcPr>
            <w:tcW w:w="539" w:type="pct"/>
            <w:shd w:val="clear" w:color="auto" w:fill="auto"/>
            <w:vAlign w:val="bottom"/>
          </w:tcPr>
          <w:p w14:paraId="39D97FE9" w14:textId="77777777" w:rsidR="00996AD7" w:rsidRDefault="00996AD7">
            <w:pPr>
              <w:rPr>
                <w:rFonts w:ascii="宋体"/>
              </w:rPr>
            </w:pPr>
          </w:p>
        </w:tc>
        <w:tc>
          <w:tcPr>
            <w:tcW w:w="5" w:type="pct"/>
            <w:shd w:val="clear" w:color="auto" w:fill="auto"/>
            <w:vAlign w:val="bottom"/>
          </w:tcPr>
          <w:p w14:paraId="39D97FEA" w14:textId="77777777" w:rsidR="00996AD7" w:rsidRDefault="00996AD7">
            <w:pPr>
              <w:rPr>
                <w:rFonts w:ascii="宋体"/>
              </w:rPr>
            </w:pPr>
          </w:p>
        </w:tc>
      </w:tr>
      <w:tr w:rsidR="00996AD7" w14:paraId="39D97FEF" w14:textId="77777777">
        <w:tc>
          <w:tcPr>
            <w:tcW w:w="0" w:type="auto"/>
            <w:gridSpan w:val="3"/>
            <w:shd w:val="clear" w:color="auto" w:fill="auto"/>
            <w:tcMar>
              <w:top w:w="40" w:type="dxa"/>
              <w:left w:w="20" w:type="dxa"/>
              <w:bottom w:w="40" w:type="dxa"/>
              <w:right w:w="20" w:type="dxa"/>
            </w:tcMar>
            <w:vAlign w:val="bottom"/>
          </w:tcPr>
          <w:p w14:paraId="39D97FEC"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7FE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7FEE" w14:textId="77777777" w:rsidR="00996AD7" w:rsidRDefault="00996AD7">
            <w:pPr>
              <w:rPr>
                <w:rFonts w:ascii="宋体"/>
              </w:rPr>
            </w:pPr>
          </w:p>
        </w:tc>
      </w:tr>
      <w:tr w:rsidR="00996AD7" w14:paraId="39D97FF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7FF0" w14:textId="77777777" w:rsidR="00996AD7" w:rsidRDefault="00D96458">
            <w:pPr>
              <w:textAlignment w:val="bottom"/>
            </w:pPr>
            <w:r>
              <w:rPr>
                <w:rFonts w:ascii="Arial" w:eastAsia="宋体" w:hAnsi="Arial" w:cs="Arial"/>
                <w:b/>
                <w:bCs/>
                <w:color w:val="262626"/>
                <w:sz w:val="18"/>
                <w:szCs w:val="18"/>
              </w:rPr>
              <w:t>Prepaid supply agreements balance as of December 26, 2020</w:t>
            </w:r>
          </w:p>
        </w:tc>
        <w:tc>
          <w:tcPr>
            <w:tcW w:w="0" w:type="auto"/>
            <w:gridSpan w:val="3"/>
            <w:shd w:val="clear" w:color="auto" w:fill="auto"/>
            <w:tcMar>
              <w:top w:w="0" w:type="dxa"/>
              <w:left w:w="20" w:type="dxa"/>
              <w:bottom w:w="0" w:type="dxa"/>
              <w:right w:w="20" w:type="dxa"/>
            </w:tcMar>
            <w:vAlign w:val="bottom"/>
          </w:tcPr>
          <w:p w14:paraId="39D97FF1"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7FF2"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7FF3" w14:textId="77777777" w:rsidR="00996AD7" w:rsidRDefault="00D96458">
            <w:pPr>
              <w:jc w:val="right"/>
              <w:textAlignment w:val="bottom"/>
            </w:pPr>
            <w:r>
              <w:rPr>
                <w:rFonts w:ascii="Arial" w:eastAsia="宋体" w:hAnsi="Arial" w:cs="Arial"/>
                <w:b/>
                <w:bCs/>
                <w:color w:val="262626"/>
                <w:sz w:val="18"/>
                <w:szCs w:val="18"/>
              </w:rPr>
              <w:t>1,625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7FF4" w14:textId="77777777" w:rsidR="00996AD7" w:rsidRDefault="00996AD7">
            <w:pPr>
              <w:jc w:val="right"/>
              <w:rPr>
                <w:rFonts w:ascii="宋体"/>
              </w:rPr>
            </w:pPr>
          </w:p>
        </w:tc>
      </w:tr>
      <w:tr w:rsidR="00996AD7" w14:paraId="39D97FF9" w14:textId="77777777">
        <w:trPr>
          <w:hidden/>
        </w:trPr>
        <w:tc>
          <w:tcPr>
            <w:tcW w:w="0" w:type="auto"/>
            <w:gridSpan w:val="3"/>
            <w:shd w:val="clear" w:color="auto" w:fill="auto"/>
            <w:vAlign w:val="bottom"/>
          </w:tcPr>
          <w:p w14:paraId="39D97FF6" w14:textId="77777777" w:rsidR="00996AD7" w:rsidRDefault="00996AD7">
            <w:pPr>
              <w:rPr>
                <w:rFonts w:ascii="宋体"/>
                <w:vanish/>
              </w:rPr>
            </w:pPr>
          </w:p>
        </w:tc>
        <w:tc>
          <w:tcPr>
            <w:tcW w:w="0" w:type="auto"/>
            <w:gridSpan w:val="3"/>
            <w:shd w:val="clear" w:color="auto" w:fill="auto"/>
            <w:vAlign w:val="bottom"/>
          </w:tcPr>
          <w:p w14:paraId="39D97FF7" w14:textId="77777777" w:rsidR="00996AD7" w:rsidRDefault="00996AD7">
            <w:pPr>
              <w:rPr>
                <w:rFonts w:ascii="宋体"/>
                <w:vanish/>
              </w:rPr>
            </w:pPr>
          </w:p>
        </w:tc>
        <w:tc>
          <w:tcPr>
            <w:tcW w:w="0" w:type="auto"/>
            <w:gridSpan w:val="3"/>
            <w:shd w:val="clear" w:color="auto" w:fill="auto"/>
            <w:vAlign w:val="bottom"/>
          </w:tcPr>
          <w:p w14:paraId="39D97FF8" w14:textId="77777777" w:rsidR="00996AD7" w:rsidRDefault="00996AD7">
            <w:pPr>
              <w:rPr>
                <w:rFonts w:ascii="宋体"/>
                <w:vanish/>
              </w:rPr>
            </w:pPr>
          </w:p>
        </w:tc>
      </w:tr>
      <w:tr w:rsidR="00996AD7" w14:paraId="39D97FFE" w14:textId="77777777">
        <w:tc>
          <w:tcPr>
            <w:tcW w:w="0" w:type="auto"/>
            <w:gridSpan w:val="3"/>
            <w:shd w:val="clear" w:color="auto" w:fill="auto"/>
            <w:tcMar>
              <w:top w:w="40" w:type="dxa"/>
              <w:left w:w="20" w:type="dxa"/>
              <w:bottom w:w="40" w:type="dxa"/>
              <w:right w:w="20" w:type="dxa"/>
            </w:tcMar>
            <w:vAlign w:val="bottom"/>
          </w:tcPr>
          <w:p w14:paraId="39D97FFA" w14:textId="77777777" w:rsidR="00996AD7" w:rsidRDefault="00D96458">
            <w:pPr>
              <w:textAlignment w:val="bottom"/>
            </w:pPr>
            <w:r>
              <w:rPr>
                <w:rFonts w:ascii="Arial" w:eastAsia="宋体" w:hAnsi="Arial" w:cs="Arial"/>
                <w:color w:val="262626"/>
                <w:sz w:val="18"/>
                <w:szCs w:val="18"/>
              </w:rPr>
              <w:t>Concession payment</w:t>
            </w:r>
          </w:p>
        </w:tc>
        <w:tc>
          <w:tcPr>
            <w:tcW w:w="0" w:type="auto"/>
            <w:gridSpan w:val="3"/>
            <w:shd w:val="clear" w:color="auto" w:fill="auto"/>
            <w:tcMar>
              <w:top w:w="0" w:type="dxa"/>
              <w:left w:w="20" w:type="dxa"/>
              <w:bottom w:w="0" w:type="dxa"/>
              <w:right w:w="20" w:type="dxa"/>
            </w:tcMar>
            <w:vAlign w:val="bottom"/>
          </w:tcPr>
          <w:p w14:paraId="39D97FF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7FFC" w14:textId="77777777" w:rsidR="00996AD7" w:rsidRDefault="00D96458">
            <w:pPr>
              <w:jc w:val="right"/>
              <w:textAlignment w:val="bottom"/>
            </w:pPr>
            <w:r>
              <w:rPr>
                <w:rFonts w:ascii="Arial" w:eastAsia="宋体" w:hAnsi="Arial" w:cs="Arial"/>
                <w:color w:val="0068B5"/>
                <w:sz w:val="18"/>
                <w:szCs w:val="18"/>
              </w:rPr>
              <w:t>(950)</w:t>
            </w:r>
          </w:p>
        </w:tc>
        <w:tc>
          <w:tcPr>
            <w:tcW w:w="0" w:type="auto"/>
            <w:shd w:val="clear" w:color="auto" w:fill="auto"/>
            <w:tcMar>
              <w:top w:w="40" w:type="dxa"/>
              <w:left w:w="0" w:type="dxa"/>
              <w:bottom w:w="40" w:type="dxa"/>
              <w:right w:w="20" w:type="dxa"/>
            </w:tcMar>
            <w:vAlign w:val="bottom"/>
          </w:tcPr>
          <w:p w14:paraId="39D97FFD" w14:textId="77777777" w:rsidR="00996AD7" w:rsidRDefault="00996AD7">
            <w:pPr>
              <w:jc w:val="right"/>
              <w:rPr>
                <w:rFonts w:ascii="宋体"/>
              </w:rPr>
            </w:pPr>
          </w:p>
        </w:tc>
      </w:tr>
      <w:tr w:rsidR="00996AD7" w14:paraId="39D98003" w14:textId="77777777">
        <w:tc>
          <w:tcPr>
            <w:tcW w:w="0" w:type="auto"/>
            <w:gridSpan w:val="3"/>
            <w:shd w:val="clear" w:color="auto" w:fill="auto"/>
            <w:tcMar>
              <w:top w:w="40" w:type="dxa"/>
              <w:left w:w="20" w:type="dxa"/>
              <w:bottom w:w="40" w:type="dxa"/>
              <w:right w:w="20" w:type="dxa"/>
            </w:tcMar>
            <w:vAlign w:val="bottom"/>
          </w:tcPr>
          <w:p w14:paraId="39D97FFF" w14:textId="77777777" w:rsidR="00996AD7" w:rsidRDefault="00D96458">
            <w:pPr>
              <w:textAlignment w:val="bottom"/>
            </w:pPr>
            <w:r>
              <w:rPr>
                <w:rFonts w:ascii="Arial" w:eastAsia="宋体" w:hAnsi="Arial" w:cs="Arial"/>
                <w:color w:val="262626"/>
                <w:sz w:val="18"/>
                <w:szCs w:val="18"/>
              </w:rPr>
              <w:t>Prepaids utilized</w:t>
            </w:r>
          </w:p>
        </w:tc>
        <w:tc>
          <w:tcPr>
            <w:tcW w:w="0" w:type="auto"/>
            <w:gridSpan w:val="3"/>
            <w:shd w:val="clear" w:color="auto" w:fill="auto"/>
            <w:tcMar>
              <w:top w:w="0" w:type="dxa"/>
              <w:left w:w="20" w:type="dxa"/>
              <w:bottom w:w="0" w:type="dxa"/>
              <w:right w:w="20" w:type="dxa"/>
            </w:tcMar>
            <w:vAlign w:val="bottom"/>
          </w:tcPr>
          <w:p w14:paraId="39D9800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001" w14:textId="77777777" w:rsidR="00996AD7" w:rsidRDefault="00D96458">
            <w:pPr>
              <w:jc w:val="right"/>
              <w:textAlignment w:val="bottom"/>
            </w:pPr>
            <w:r>
              <w:rPr>
                <w:rFonts w:ascii="Arial" w:eastAsia="宋体" w:hAnsi="Arial" w:cs="Arial"/>
                <w:color w:val="0068B5"/>
                <w:sz w:val="18"/>
                <w:szCs w:val="18"/>
              </w:rPr>
              <w:t>(627)</w:t>
            </w:r>
          </w:p>
        </w:tc>
        <w:tc>
          <w:tcPr>
            <w:tcW w:w="0" w:type="auto"/>
            <w:shd w:val="clear" w:color="auto" w:fill="auto"/>
            <w:tcMar>
              <w:top w:w="40" w:type="dxa"/>
              <w:left w:w="0" w:type="dxa"/>
              <w:bottom w:w="40" w:type="dxa"/>
              <w:right w:w="20" w:type="dxa"/>
            </w:tcMar>
            <w:vAlign w:val="bottom"/>
          </w:tcPr>
          <w:p w14:paraId="39D98002" w14:textId="77777777" w:rsidR="00996AD7" w:rsidRDefault="00996AD7">
            <w:pPr>
              <w:jc w:val="right"/>
              <w:rPr>
                <w:rFonts w:ascii="宋体"/>
              </w:rPr>
            </w:pPr>
          </w:p>
        </w:tc>
      </w:tr>
      <w:tr w:rsidR="00996AD7" w14:paraId="39D98009" w14:textId="77777777">
        <w:tc>
          <w:tcPr>
            <w:tcW w:w="0" w:type="auto"/>
            <w:gridSpan w:val="3"/>
            <w:shd w:val="clear" w:color="auto" w:fill="auto"/>
            <w:tcMar>
              <w:top w:w="40" w:type="dxa"/>
              <w:left w:w="20" w:type="dxa"/>
              <w:bottom w:w="40" w:type="dxa"/>
              <w:right w:w="20" w:type="dxa"/>
            </w:tcMar>
          </w:tcPr>
          <w:p w14:paraId="39D98004" w14:textId="77777777" w:rsidR="00996AD7" w:rsidRDefault="00D96458">
            <w:pPr>
              <w:textAlignment w:val="top"/>
            </w:pPr>
            <w:r>
              <w:rPr>
                <w:rFonts w:ascii="Arial" w:eastAsia="宋体" w:hAnsi="Arial" w:cs="Arial"/>
                <w:b/>
                <w:bCs/>
                <w:color w:val="262626"/>
                <w:sz w:val="18"/>
                <w:szCs w:val="18"/>
              </w:rPr>
              <w:t>Prepaid supply agreements balance as of September 25, 2021</w:t>
            </w:r>
          </w:p>
        </w:tc>
        <w:tc>
          <w:tcPr>
            <w:tcW w:w="0" w:type="auto"/>
            <w:gridSpan w:val="3"/>
            <w:shd w:val="clear" w:color="auto" w:fill="auto"/>
            <w:tcMar>
              <w:top w:w="0" w:type="dxa"/>
              <w:left w:w="20" w:type="dxa"/>
              <w:bottom w:w="0" w:type="dxa"/>
              <w:right w:w="20" w:type="dxa"/>
            </w:tcMar>
            <w:vAlign w:val="bottom"/>
          </w:tcPr>
          <w:p w14:paraId="39D98005"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006"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007" w14:textId="77777777" w:rsidR="00996AD7" w:rsidRDefault="00D96458">
            <w:pPr>
              <w:jc w:val="right"/>
              <w:textAlignment w:val="bottom"/>
            </w:pPr>
            <w:r>
              <w:rPr>
                <w:rFonts w:ascii="Arial" w:eastAsia="宋体" w:hAnsi="Arial" w:cs="Arial"/>
                <w:b/>
                <w:bCs/>
                <w:color w:val="0068B5"/>
                <w:sz w:val="18"/>
                <w:szCs w:val="18"/>
              </w:rPr>
              <w:t>48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008" w14:textId="77777777" w:rsidR="00996AD7" w:rsidRDefault="00996AD7">
            <w:pPr>
              <w:jc w:val="right"/>
              <w:rPr>
                <w:rFonts w:ascii="宋体"/>
              </w:rPr>
            </w:pPr>
          </w:p>
        </w:tc>
      </w:tr>
    </w:tbl>
    <w:p w14:paraId="39D9800A" w14:textId="77777777" w:rsidR="00996AD7" w:rsidRDefault="00D96458">
      <w:pPr>
        <w:spacing w:after="180"/>
      </w:pPr>
      <w:r>
        <w:rPr>
          <w:rFonts w:ascii="Arial" w:eastAsia="宋体" w:hAnsi="Arial" w:cs="Arial"/>
          <w:color w:val="262626"/>
          <w:sz w:val="18"/>
          <w:szCs w:val="18"/>
        </w:rPr>
        <w:t>During the first quarter of 2021, we settled an agreement with our largest prepaid customer whose prepayment balance made up $1.6 billion of our contract liability balance as of December 26, 2020. We returned $950 million to the customer and recognized $58</w:t>
      </w:r>
      <w:r>
        <w:rPr>
          <w:rFonts w:ascii="Arial" w:eastAsia="宋体" w:hAnsi="Arial" w:cs="Arial"/>
          <w:color w:val="262626"/>
          <w:sz w:val="18"/>
          <w:szCs w:val="18"/>
        </w:rPr>
        <w:t xml:space="preserve">4 million in revenue for having completed performance of the prepaid supply agreement. The prepaid supply agreement is excluded from the NAND memory business and is recorded as Corporate revenue in the first nine months of 2021 in the "all other" category </w:t>
      </w:r>
      <w:r>
        <w:rPr>
          <w:rFonts w:ascii="Arial" w:eastAsia="宋体" w:hAnsi="Arial" w:cs="Arial"/>
          <w:color w:val="262626"/>
          <w:sz w:val="18"/>
          <w:szCs w:val="18"/>
        </w:rPr>
        <w:t xml:space="preserve">presented in "Note 2: Operating Segments" within Notes to Consolidated Condensed Financial Statements.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996AD7" w14:paraId="39D98011" w14:textId="77777777">
        <w:tc>
          <w:tcPr>
            <w:tcW w:w="50" w:type="pct"/>
            <w:shd w:val="clear" w:color="auto" w:fill="auto"/>
            <w:vAlign w:val="bottom"/>
          </w:tcPr>
          <w:p w14:paraId="39D9800B" w14:textId="77777777" w:rsidR="00996AD7" w:rsidRDefault="00996AD7">
            <w:pPr>
              <w:rPr>
                <w:rFonts w:ascii="宋体"/>
              </w:rPr>
            </w:pPr>
          </w:p>
        </w:tc>
        <w:tc>
          <w:tcPr>
            <w:tcW w:w="511" w:type="pct"/>
            <w:shd w:val="clear" w:color="auto" w:fill="auto"/>
            <w:vAlign w:val="bottom"/>
          </w:tcPr>
          <w:p w14:paraId="39D9800C" w14:textId="77777777" w:rsidR="00996AD7" w:rsidRDefault="00996AD7">
            <w:pPr>
              <w:rPr>
                <w:rFonts w:ascii="宋体"/>
              </w:rPr>
            </w:pPr>
          </w:p>
        </w:tc>
        <w:tc>
          <w:tcPr>
            <w:tcW w:w="5" w:type="pct"/>
            <w:shd w:val="clear" w:color="auto" w:fill="auto"/>
            <w:vAlign w:val="bottom"/>
          </w:tcPr>
          <w:p w14:paraId="39D9800D" w14:textId="77777777" w:rsidR="00996AD7" w:rsidRDefault="00996AD7">
            <w:pPr>
              <w:rPr>
                <w:rFonts w:ascii="宋体"/>
              </w:rPr>
            </w:pPr>
          </w:p>
        </w:tc>
        <w:tc>
          <w:tcPr>
            <w:tcW w:w="50" w:type="pct"/>
            <w:shd w:val="clear" w:color="auto" w:fill="auto"/>
            <w:vAlign w:val="bottom"/>
          </w:tcPr>
          <w:p w14:paraId="39D9800E" w14:textId="77777777" w:rsidR="00996AD7" w:rsidRDefault="00996AD7">
            <w:pPr>
              <w:rPr>
                <w:rFonts w:ascii="宋体"/>
              </w:rPr>
            </w:pPr>
          </w:p>
        </w:tc>
        <w:tc>
          <w:tcPr>
            <w:tcW w:w="4378" w:type="pct"/>
            <w:shd w:val="clear" w:color="auto" w:fill="auto"/>
            <w:vAlign w:val="bottom"/>
          </w:tcPr>
          <w:p w14:paraId="39D9800F" w14:textId="77777777" w:rsidR="00996AD7" w:rsidRDefault="00996AD7">
            <w:pPr>
              <w:rPr>
                <w:rFonts w:ascii="宋体"/>
              </w:rPr>
            </w:pPr>
          </w:p>
        </w:tc>
        <w:tc>
          <w:tcPr>
            <w:tcW w:w="5" w:type="pct"/>
            <w:shd w:val="clear" w:color="auto" w:fill="auto"/>
            <w:vAlign w:val="bottom"/>
          </w:tcPr>
          <w:p w14:paraId="39D98010" w14:textId="77777777" w:rsidR="00996AD7" w:rsidRDefault="00996AD7">
            <w:pPr>
              <w:rPr>
                <w:rFonts w:ascii="宋体"/>
              </w:rPr>
            </w:pPr>
          </w:p>
        </w:tc>
      </w:tr>
      <w:tr w:rsidR="00996AD7" w14:paraId="39D98014"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39D98012" w14:textId="77777777" w:rsidR="00996AD7" w:rsidRDefault="00D96458">
            <w:pPr>
              <w:textAlignment w:val="bottom"/>
            </w:pPr>
            <w:r>
              <w:rPr>
                <w:rFonts w:ascii="Arial" w:eastAsia="宋体" w:hAnsi="Arial" w:cs="Arial"/>
                <w:color w:val="FFFFFF"/>
                <w:sz w:val="28"/>
                <w:szCs w:val="28"/>
              </w:rPr>
              <w:t xml:space="preserve">Note 5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8013" w14:textId="77777777" w:rsidR="00996AD7" w:rsidRDefault="00D96458">
            <w:pPr>
              <w:textAlignment w:val="bottom"/>
            </w:pPr>
            <w:r>
              <w:rPr>
                <w:rFonts w:ascii="Arial" w:eastAsia="宋体" w:hAnsi="Arial" w:cs="Arial"/>
                <w:color w:val="0068B5"/>
                <w:sz w:val="28"/>
                <w:szCs w:val="28"/>
              </w:rPr>
              <w:t>Other Financial Statement Details</w:t>
            </w:r>
          </w:p>
        </w:tc>
      </w:tr>
    </w:tbl>
    <w:p w14:paraId="39D98015" w14:textId="77777777" w:rsidR="00996AD7" w:rsidRDefault="00D96458">
      <w:pPr>
        <w:spacing w:before="180" w:after="180"/>
      </w:pPr>
      <w:r>
        <w:rPr>
          <w:rFonts w:ascii="Arial" w:eastAsia="宋体" w:hAnsi="Arial" w:cs="Arial"/>
          <w:color w:val="0068B5"/>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996AD7" w14:paraId="39D98025" w14:textId="77777777">
        <w:tc>
          <w:tcPr>
            <w:tcW w:w="50" w:type="pct"/>
            <w:shd w:val="clear" w:color="auto" w:fill="auto"/>
            <w:vAlign w:val="bottom"/>
          </w:tcPr>
          <w:p w14:paraId="39D98016" w14:textId="77777777" w:rsidR="00996AD7" w:rsidRDefault="00996AD7">
            <w:pPr>
              <w:rPr>
                <w:rFonts w:ascii="宋体"/>
              </w:rPr>
            </w:pPr>
          </w:p>
        </w:tc>
        <w:tc>
          <w:tcPr>
            <w:tcW w:w="3688" w:type="pct"/>
            <w:shd w:val="clear" w:color="auto" w:fill="auto"/>
            <w:vAlign w:val="bottom"/>
          </w:tcPr>
          <w:p w14:paraId="39D98017" w14:textId="77777777" w:rsidR="00996AD7" w:rsidRDefault="00996AD7">
            <w:pPr>
              <w:rPr>
                <w:rFonts w:ascii="宋体"/>
              </w:rPr>
            </w:pPr>
          </w:p>
        </w:tc>
        <w:tc>
          <w:tcPr>
            <w:tcW w:w="5" w:type="pct"/>
            <w:shd w:val="clear" w:color="auto" w:fill="auto"/>
            <w:vAlign w:val="bottom"/>
          </w:tcPr>
          <w:p w14:paraId="39D98018" w14:textId="77777777" w:rsidR="00996AD7" w:rsidRDefault="00996AD7">
            <w:pPr>
              <w:rPr>
                <w:rFonts w:ascii="宋体"/>
              </w:rPr>
            </w:pPr>
          </w:p>
        </w:tc>
        <w:tc>
          <w:tcPr>
            <w:tcW w:w="5" w:type="pct"/>
            <w:shd w:val="clear" w:color="auto" w:fill="auto"/>
            <w:vAlign w:val="bottom"/>
          </w:tcPr>
          <w:p w14:paraId="39D98019" w14:textId="77777777" w:rsidR="00996AD7" w:rsidRDefault="00996AD7">
            <w:pPr>
              <w:rPr>
                <w:rFonts w:ascii="宋体"/>
              </w:rPr>
            </w:pPr>
          </w:p>
        </w:tc>
        <w:tc>
          <w:tcPr>
            <w:tcW w:w="24" w:type="pct"/>
            <w:shd w:val="clear" w:color="auto" w:fill="auto"/>
            <w:vAlign w:val="bottom"/>
          </w:tcPr>
          <w:p w14:paraId="39D9801A" w14:textId="77777777" w:rsidR="00996AD7" w:rsidRDefault="00996AD7">
            <w:pPr>
              <w:rPr>
                <w:rFonts w:ascii="宋体"/>
              </w:rPr>
            </w:pPr>
          </w:p>
        </w:tc>
        <w:tc>
          <w:tcPr>
            <w:tcW w:w="5" w:type="pct"/>
            <w:shd w:val="clear" w:color="auto" w:fill="auto"/>
            <w:vAlign w:val="bottom"/>
          </w:tcPr>
          <w:p w14:paraId="39D9801B" w14:textId="77777777" w:rsidR="00996AD7" w:rsidRDefault="00996AD7">
            <w:pPr>
              <w:rPr>
                <w:rFonts w:ascii="宋体"/>
              </w:rPr>
            </w:pPr>
          </w:p>
        </w:tc>
        <w:tc>
          <w:tcPr>
            <w:tcW w:w="50" w:type="pct"/>
            <w:shd w:val="clear" w:color="auto" w:fill="auto"/>
            <w:vAlign w:val="bottom"/>
          </w:tcPr>
          <w:p w14:paraId="39D9801C" w14:textId="77777777" w:rsidR="00996AD7" w:rsidRDefault="00996AD7">
            <w:pPr>
              <w:rPr>
                <w:rFonts w:ascii="宋体"/>
              </w:rPr>
            </w:pPr>
          </w:p>
        </w:tc>
        <w:tc>
          <w:tcPr>
            <w:tcW w:w="539" w:type="pct"/>
            <w:shd w:val="clear" w:color="auto" w:fill="auto"/>
            <w:vAlign w:val="bottom"/>
          </w:tcPr>
          <w:p w14:paraId="39D9801D" w14:textId="77777777" w:rsidR="00996AD7" w:rsidRDefault="00996AD7">
            <w:pPr>
              <w:rPr>
                <w:rFonts w:ascii="宋体"/>
              </w:rPr>
            </w:pPr>
          </w:p>
        </w:tc>
        <w:tc>
          <w:tcPr>
            <w:tcW w:w="5" w:type="pct"/>
            <w:shd w:val="clear" w:color="auto" w:fill="auto"/>
            <w:vAlign w:val="bottom"/>
          </w:tcPr>
          <w:p w14:paraId="39D9801E" w14:textId="77777777" w:rsidR="00996AD7" w:rsidRDefault="00996AD7">
            <w:pPr>
              <w:rPr>
                <w:rFonts w:ascii="宋体"/>
              </w:rPr>
            </w:pPr>
          </w:p>
        </w:tc>
        <w:tc>
          <w:tcPr>
            <w:tcW w:w="5" w:type="pct"/>
            <w:shd w:val="clear" w:color="auto" w:fill="auto"/>
            <w:vAlign w:val="bottom"/>
          </w:tcPr>
          <w:p w14:paraId="39D9801F" w14:textId="77777777" w:rsidR="00996AD7" w:rsidRDefault="00996AD7">
            <w:pPr>
              <w:rPr>
                <w:rFonts w:ascii="宋体"/>
              </w:rPr>
            </w:pPr>
          </w:p>
        </w:tc>
        <w:tc>
          <w:tcPr>
            <w:tcW w:w="24" w:type="pct"/>
            <w:shd w:val="clear" w:color="auto" w:fill="auto"/>
            <w:vAlign w:val="bottom"/>
          </w:tcPr>
          <w:p w14:paraId="39D98020" w14:textId="77777777" w:rsidR="00996AD7" w:rsidRDefault="00996AD7">
            <w:pPr>
              <w:rPr>
                <w:rFonts w:ascii="宋体"/>
              </w:rPr>
            </w:pPr>
          </w:p>
        </w:tc>
        <w:tc>
          <w:tcPr>
            <w:tcW w:w="5" w:type="pct"/>
            <w:shd w:val="clear" w:color="auto" w:fill="auto"/>
            <w:vAlign w:val="bottom"/>
          </w:tcPr>
          <w:p w14:paraId="39D98021" w14:textId="77777777" w:rsidR="00996AD7" w:rsidRDefault="00996AD7">
            <w:pPr>
              <w:rPr>
                <w:rFonts w:ascii="宋体"/>
              </w:rPr>
            </w:pPr>
          </w:p>
        </w:tc>
        <w:tc>
          <w:tcPr>
            <w:tcW w:w="50" w:type="pct"/>
            <w:shd w:val="clear" w:color="auto" w:fill="auto"/>
            <w:vAlign w:val="bottom"/>
          </w:tcPr>
          <w:p w14:paraId="39D98022" w14:textId="77777777" w:rsidR="00996AD7" w:rsidRDefault="00996AD7">
            <w:pPr>
              <w:rPr>
                <w:rFonts w:ascii="宋体"/>
              </w:rPr>
            </w:pPr>
          </w:p>
        </w:tc>
        <w:tc>
          <w:tcPr>
            <w:tcW w:w="539" w:type="pct"/>
            <w:shd w:val="clear" w:color="auto" w:fill="auto"/>
            <w:vAlign w:val="bottom"/>
          </w:tcPr>
          <w:p w14:paraId="39D98023" w14:textId="77777777" w:rsidR="00996AD7" w:rsidRDefault="00996AD7">
            <w:pPr>
              <w:rPr>
                <w:rFonts w:ascii="宋体"/>
              </w:rPr>
            </w:pPr>
          </w:p>
        </w:tc>
        <w:tc>
          <w:tcPr>
            <w:tcW w:w="5" w:type="pct"/>
            <w:shd w:val="clear" w:color="auto" w:fill="auto"/>
            <w:vAlign w:val="bottom"/>
          </w:tcPr>
          <w:p w14:paraId="39D98024" w14:textId="77777777" w:rsidR="00996AD7" w:rsidRDefault="00996AD7">
            <w:pPr>
              <w:rPr>
                <w:rFonts w:ascii="宋体"/>
              </w:rPr>
            </w:pPr>
          </w:p>
        </w:tc>
      </w:tr>
      <w:tr w:rsidR="00996AD7" w14:paraId="39D9802B" w14:textId="77777777">
        <w:tc>
          <w:tcPr>
            <w:tcW w:w="0" w:type="auto"/>
            <w:gridSpan w:val="3"/>
            <w:shd w:val="clear" w:color="auto" w:fill="auto"/>
            <w:tcMar>
              <w:top w:w="40" w:type="dxa"/>
              <w:left w:w="20" w:type="dxa"/>
              <w:bottom w:w="40" w:type="dxa"/>
              <w:right w:w="20" w:type="dxa"/>
            </w:tcMar>
            <w:vAlign w:val="bottom"/>
          </w:tcPr>
          <w:p w14:paraId="39D98026" w14:textId="77777777" w:rsidR="00996AD7" w:rsidRDefault="00D964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027"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028"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39D98029"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02A" w14:textId="77777777" w:rsidR="00996AD7" w:rsidRDefault="00D96458">
            <w:pPr>
              <w:jc w:val="center"/>
              <w:textAlignment w:val="bottom"/>
            </w:pPr>
            <w:r>
              <w:rPr>
                <w:rFonts w:ascii="Arial" w:eastAsia="宋体" w:hAnsi="Arial" w:cs="Arial"/>
                <w:b/>
                <w:bCs/>
                <w:color w:val="262626"/>
                <w:sz w:val="18"/>
                <w:szCs w:val="18"/>
              </w:rPr>
              <w:t>Dec 26, 2020</w:t>
            </w:r>
          </w:p>
        </w:tc>
      </w:tr>
      <w:tr w:rsidR="00996AD7" w14:paraId="39D98035"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802C" w14:textId="77777777" w:rsidR="00996AD7" w:rsidRDefault="00D96458">
            <w:pPr>
              <w:ind w:hanging="180"/>
              <w:textAlignment w:val="top"/>
            </w:pPr>
            <w:r>
              <w:rPr>
                <w:rFonts w:ascii="Arial" w:eastAsia="宋体" w:hAnsi="Arial" w:cs="Arial"/>
                <w:color w:val="262626"/>
                <w:sz w:val="18"/>
                <w:szCs w:val="18"/>
              </w:rPr>
              <w:t>Raw materials</w:t>
            </w:r>
          </w:p>
        </w:tc>
        <w:tc>
          <w:tcPr>
            <w:tcW w:w="0" w:type="auto"/>
            <w:gridSpan w:val="3"/>
            <w:shd w:val="clear" w:color="auto" w:fill="auto"/>
            <w:tcMar>
              <w:top w:w="0" w:type="dxa"/>
              <w:left w:w="20" w:type="dxa"/>
              <w:bottom w:w="0" w:type="dxa"/>
              <w:right w:w="20" w:type="dxa"/>
            </w:tcMar>
            <w:vAlign w:val="bottom"/>
          </w:tcPr>
          <w:p w14:paraId="39D9802D"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02E"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02F" w14:textId="77777777" w:rsidR="00996AD7" w:rsidRDefault="00D96458">
            <w:pPr>
              <w:jc w:val="right"/>
              <w:textAlignment w:val="bottom"/>
            </w:pPr>
            <w:r>
              <w:rPr>
                <w:rFonts w:ascii="Arial" w:eastAsia="宋体" w:hAnsi="Arial" w:cs="Arial"/>
                <w:color w:val="0068B5"/>
                <w:sz w:val="18"/>
                <w:szCs w:val="18"/>
              </w:rPr>
              <w:t>1,274 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03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31"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032"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033" w14:textId="77777777" w:rsidR="00996AD7" w:rsidRDefault="00D96458">
            <w:pPr>
              <w:jc w:val="right"/>
              <w:textAlignment w:val="bottom"/>
            </w:pPr>
            <w:r>
              <w:rPr>
                <w:rFonts w:ascii="Arial" w:eastAsia="宋体" w:hAnsi="Arial" w:cs="Arial"/>
                <w:color w:val="262626"/>
                <w:sz w:val="18"/>
                <w:szCs w:val="18"/>
              </w:rPr>
              <w:t>908 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034" w14:textId="77777777" w:rsidR="00996AD7" w:rsidRDefault="00996AD7">
            <w:pPr>
              <w:jc w:val="right"/>
              <w:rPr>
                <w:rFonts w:ascii="宋体"/>
              </w:rPr>
            </w:pPr>
          </w:p>
        </w:tc>
      </w:tr>
      <w:tr w:rsidR="00996AD7" w14:paraId="39D9803D" w14:textId="77777777">
        <w:tc>
          <w:tcPr>
            <w:tcW w:w="0" w:type="auto"/>
            <w:gridSpan w:val="3"/>
            <w:shd w:val="clear" w:color="auto" w:fill="auto"/>
            <w:tcMar>
              <w:top w:w="40" w:type="dxa"/>
              <w:left w:w="20" w:type="dxa"/>
              <w:bottom w:w="40" w:type="dxa"/>
              <w:right w:w="20" w:type="dxa"/>
            </w:tcMar>
          </w:tcPr>
          <w:p w14:paraId="39D98036" w14:textId="77777777" w:rsidR="00996AD7" w:rsidRDefault="00D96458">
            <w:pPr>
              <w:ind w:hanging="180"/>
              <w:textAlignment w:val="top"/>
            </w:pPr>
            <w:r>
              <w:rPr>
                <w:rFonts w:ascii="Arial" w:eastAsia="宋体" w:hAnsi="Arial" w:cs="Arial"/>
                <w:color w:val="262626"/>
                <w:sz w:val="18"/>
                <w:szCs w:val="18"/>
              </w:rPr>
              <w:t>Work in process</w:t>
            </w:r>
          </w:p>
        </w:tc>
        <w:tc>
          <w:tcPr>
            <w:tcW w:w="0" w:type="auto"/>
            <w:gridSpan w:val="3"/>
            <w:shd w:val="clear" w:color="auto" w:fill="auto"/>
            <w:tcMar>
              <w:top w:w="0" w:type="dxa"/>
              <w:left w:w="20" w:type="dxa"/>
              <w:bottom w:w="0" w:type="dxa"/>
              <w:right w:w="20" w:type="dxa"/>
            </w:tcMar>
            <w:vAlign w:val="bottom"/>
          </w:tcPr>
          <w:p w14:paraId="39D9803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038" w14:textId="77777777" w:rsidR="00996AD7" w:rsidRDefault="00D96458">
            <w:pPr>
              <w:jc w:val="right"/>
              <w:textAlignment w:val="bottom"/>
            </w:pPr>
            <w:r>
              <w:rPr>
                <w:rFonts w:ascii="Arial" w:eastAsia="宋体" w:hAnsi="Arial" w:cs="Arial"/>
                <w:color w:val="0068B5"/>
                <w:sz w:val="18"/>
                <w:szCs w:val="18"/>
              </w:rPr>
              <w:t>6,304 </w:t>
            </w:r>
          </w:p>
        </w:tc>
        <w:tc>
          <w:tcPr>
            <w:tcW w:w="0" w:type="auto"/>
            <w:shd w:val="clear" w:color="auto" w:fill="auto"/>
            <w:tcMar>
              <w:top w:w="40" w:type="dxa"/>
              <w:left w:w="0" w:type="dxa"/>
              <w:bottom w:w="40" w:type="dxa"/>
              <w:right w:w="20" w:type="dxa"/>
            </w:tcMar>
            <w:vAlign w:val="bottom"/>
          </w:tcPr>
          <w:p w14:paraId="39D9803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3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03B" w14:textId="77777777" w:rsidR="00996AD7" w:rsidRDefault="00D96458">
            <w:pPr>
              <w:jc w:val="right"/>
              <w:textAlignment w:val="bottom"/>
            </w:pPr>
            <w:r>
              <w:rPr>
                <w:rFonts w:ascii="Arial" w:eastAsia="宋体" w:hAnsi="Arial" w:cs="Arial"/>
                <w:color w:val="262626"/>
                <w:sz w:val="18"/>
                <w:szCs w:val="18"/>
              </w:rPr>
              <w:t>5,693 </w:t>
            </w:r>
          </w:p>
        </w:tc>
        <w:tc>
          <w:tcPr>
            <w:tcW w:w="0" w:type="auto"/>
            <w:shd w:val="clear" w:color="auto" w:fill="auto"/>
            <w:tcMar>
              <w:top w:w="40" w:type="dxa"/>
              <w:left w:w="0" w:type="dxa"/>
              <w:bottom w:w="40" w:type="dxa"/>
              <w:right w:w="20" w:type="dxa"/>
            </w:tcMar>
            <w:vAlign w:val="bottom"/>
          </w:tcPr>
          <w:p w14:paraId="39D9803C" w14:textId="77777777" w:rsidR="00996AD7" w:rsidRDefault="00996AD7">
            <w:pPr>
              <w:jc w:val="right"/>
              <w:rPr>
                <w:rFonts w:ascii="宋体"/>
              </w:rPr>
            </w:pPr>
          </w:p>
        </w:tc>
      </w:tr>
      <w:tr w:rsidR="00996AD7" w14:paraId="39D98045" w14:textId="77777777">
        <w:tc>
          <w:tcPr>
            <w:tcW w:w="0" w:type="auto"/>
            <w:gridSpan w:val="3"/>
            <w:shd w:val="clear" w:color="auto" w:fill="auto"/>
            <w:tcMar>
              <w:top w:w="40" w:type="dxa"/>
              <w:left w:w="20" w:type="dxa"/>
              <w:bottom w:w="40" w:type="dxa"/>
              <w:right w:w="20" w:type="dxa"/>
            </w:tcMar>
          </w:tcPr>
          <w:p w14:paraId="39D9803E" w14:textId="77777777" w:rsidR="00996AD7" w:rsidRDefault="00D96458">
            <w:pPr>
              <w:ind w:hanging="180"/>
              <w:textAlignment w:val="top"/>
            </w:pPr>
            <w:r>
              <w:rPr>
                <w:rFonts w:ascii="Arial" w:eastAsia="宋体" w:hAnsi="Arial" w:cs="Arial"/>
                <w:color w:val="262626"/>
                <w:sz w:val="18"/>
                <w:szCs w:val="18"/>
              </w:rPr>
              <w:t>Finished goods</w:t>
            </w:r>
          </w:p>
        </w:tc>
        <w:tc>
          <w:tcPr>
            <w:tcW w:w="0" w:type="auto"/>
            <w:gridSpan w:val="3"/>
            <w:shd w:val="clear" w:color="auto" w:fill="auto"/>
            <w:tcMar>
              <w:top w:w="0" w:type="dxa"/>
              <w:left w:w="20" w:type="dxa"/>
              <w:bottom w:w="0" w:type="dxa"/>
              <w:right w:w="20" w:type="dxa"/>
            </w:tcMar>
            <w:vAlign w:val="bottom"/>
          </w:tcPr>
          <w:p w14:paraId="39D9803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040" w14:textId="77777777" w:rsidR="00996AD7" w:rsidRDefault="00D96458">
            <w:pPr>
              <w:jc w:val="right"/>
              <w:textAlignment w:val="bottom"/>
            </w:pPr>
            <w:r>
              <w:rPr>
                <w:rFonts w:ascii="Arial" w:eastAsia="宋体" w:hAnsi="Arial" w:cs="Arial"/>
                <w:color w:val="0068B5"/>
                <w:sz w:val="18"/>
                <w:szCs w:val="18"/>
              </w:rPr>
              <w:t>2,220 </w:t>
            </w:r>
          </w:p>
        </w:tc>
        <w:tc>
          <w:tcPr>
            <w:tcW w:w="0" w:type="auto"/>
            <w:shd w:val="clear" w:color="auto" w:fill="auto"/>
            <w:tcMar>
              <w:top w:w="40" w:type="dxa"/>
              <w:left w:w="0" w:type="dxa"/>
              <w:bottom w:w="40" w:type="dxa"/>
              <w:right w:w="20" w:type="dxa"/>
            </w:tcMar>
            <w:vAlign w:val="bottom"/>
          </w:tcPr>
          <w:p w14:paraId="39D9804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4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043" w14:textId="77777777" w:rsidR="00996AD7" w:rsidRDefault="00D96458">
            <w:pPr>
              <w:jc w:val="right"/>
              <w:textAlignment w:val="bottom"/>
            </w:pPr>
            <w:r>
              <w:rPr>
                <w:rFonts w:ascii="Arial" w:eastAsia="宋体" w:hAnsi="Arial" w:cs="Arial"/>
                <w:color w:val="262626"/>
                <w:sz w:val="18"/>
                <w:szCs w:val="18"/>
              </w:rPr>
              <w:t>1,826 </w:t>
            </w:r>
          </w:p>
        </w:tc>
        <w:tc>
          <w:tcPr>
            <w:tcW w:w="0" w:type="auto"/>
            <w:shd w:val="clear" w:color="auto" w:fill="auto"/>
            <w:tcMar>
              <w:top w:w="40" w:type="dxa"/>
              <w:left w:w="0" w:type="dxa"/>
              <w:bottom w:w="40" w:type="dxa"/>
              <w:right w:w="20" w:type="dxa"/>
            </w:tcMar>
            <w:vAlign w:val="bottom"/>
          </w:tcPr>
          <w:p w14:paraId="39D98044" w14:textId="77777777" w:rsidR="00996AD7" w:rsidRDefault="00996AD7">
            <w:pPr>
              <w:jc w:val="right"/>
              <w:rPr>
                <w:rFonts w:ascii="宋体"/>
              </w:rPr>
            </w:pPr>
          </w:p>
        </w:tc>
      </w:tr>
      <w:tr w:rsidR="00996AD7" w14:paraId="39D9804F" w14:textId="77777777">
        <w:tc>
          <w:tcPr>
            <w:tcW w:w="0" w:type="auto"/>
            <w:gridSpan w:val="3"/>
            <w:shd w:val="clear" w:color="auto" w:fill="auto"/>
            <w:tcMar>
              <w:top w:w="40" w:type="dxa"/>
              <w:left w:w="20" w:type="dxa"/>
              <w:bottom w:w="40" w:type="dxa"/>
              <w:right w:w="20" w:type="dxa"/>
            </w:tcMar>
          </w:tcPr>
          <w:p w14:paraId="39D98046" w14:textId="77777777" w:rsidR="00996AD7" w:rsidRDefault="00D96458">
            <w:pPr>
              <w:textAlignment w:val="top"/>
            </w:pPr>
            <w:r>
              <w:rPr>
                <w:rFonts w:ascii="Arial" w:eastAsia="宋体" w:hAnsi="Arial" w:cs="Arial"/>
                <w:b/>
                <w:bCs/>
                <w:color w:val="262626"/>
                <w:sz w:val="18"/>
                <w:szCs w:val="18"/>
              </w:rPr>
              <w:t>Total inventories</w:t>
            </w:r>
          </w:p>
        </w:tc>
        <w:tc>
          <w:tcPr>
            <w:tcW w:w="0" w:type="auto"/>
            <w:gridSpan w:val="3"/>
            <w:shd w:val="clear" w:color="auto" w:fill="auto"/>
            <w:tcMar>
              <w:top w:w="0" w:type="dxa"/>
              <w:left w:w="20" w:type="dxa"/>
              <w:bottom w:w="0" w:type="dxa"/>
              <w:right w:w="20" w:type="dxa"/>
            </w:tcMar>
            <w:vAlign w:val="bottom"/>
          </w:tcPr>
          <w:p w14:paraId="39D98047"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048"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049" w14:textId="77777777" w:rsidR="00996AD7" w:rsidRDefault="00D96458">
            <w:pPr>
              <w:jc w:val="right"/>
              <w:textAlignment w:val="bottom"/>
            </w:pPr>
            <w:r>
              <w:rPr>
                <w:rFonts w:ascii="Arial" w:eastAsia="宋体" w:hAnsi="Arial" w:cs="Arial"/>
                <w:b/>
                <w:bCs/>
                <w:color w:val="0068B5"/>
                <w:sz w:val="18"/>
                <w:szCs w:val="18"/>
              </w:rPr>
              <w:t>9,798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04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4B"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04C"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04D" w14:textId="77777777" w:rsidR="00996AD7" w:rsidRDefault="00D96458">
            <w:pPr>
              <w:jc w:val="right"/>
              <w:textAlignment w:val="bottom"/>
            </w:pPr>
            <w:r>
              <w:rPr>
                <w:rFonts w:ascii="Arial" w:eastAsia="宋体" w:hAnsi="Arial" w:cs="Arial"/>
                <w:b/>
                <w:bCs/>
                <w:color w:val="262626"/>
                <w:sz w:val="18"/>
                <w:szCs w:val="18"/>
              </w:rPr>
              <w:t>8,427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04E" w14:textId="77777777" w:rsidR="00996AD7" w:rsidRDefault="00996AD7">
            <w:pPr>
              <w:jc w:val="right"/>
              <w:rPr>
                <w:rFonts w:ascii="宋体"/>
              </w:rPr>
            </w:pPr>
          </w:p>
        </w:tc>
      </w:tr>
    </w:tbl>
    <w:p w14:paraId="39D98050" w14:textId="77777777" w:rsidR="00996AD7" w:rsidRDefault="00996AD7">
      <w:pPr>
        <w:spacing w:after="180"/>
      </w:pPr>
    </w:p>
    <w:p w14:paraId="39D98051" w14:textId="77777777" w:rsidR="00996AD7" w:rsidRDefault="00996AD7">
      <w:pPr>
        <w:spacing w:after="180"/>
      </w:pPr>
    </w:p>
    <w:p w14:paraId="39D98052" w14:textId="77777777" w:rsidR="00996AD7" w:rsidRDefault="00996AD7">
      <w:pPr>
        <w:spacing w:after="180"/>
      </w:pPr>
    </w:p>
    <w:p w14:paraId="39D98053" w14:textId="77777777" w:rsidR="00996AD7" w:rsidRDefault="00996AD7">
      <w:pPr>
        <w:spacing w:after="180"/>
      </w:pPr>
    </w:p>
    <w:p w14:paraId="39D98054" w14:textId="77777777" w:rsidR="00996AD7" w:rsidRDefault="00996AD7">
      <w:pPr>
        <w:spacing w:after="180"/>
      </w:pPr>
    </w:p>
    <w:p w14:paraId="39D98055" w14:textId="77777777" w:rsidR="00996AD7" w:rsidRDefault="00996AD7">
      <w:pPr>
        <w:spacing w:after="180"/>
      </w:pPr>
    </w:p>
    <w:p w14:paraId="39D98056"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8063" w14:textId="77777777">
        <w:tc>
          <w:tcPr>
            <w:tcW w:w="50" w:type="pct"/>
            <w:shd w:val="clear" w:color="auto" w:fill="auto"/>
            <w:vAlign w:val="bottom"/>
          </w:tcPr>
          <w:p w14:paraId="39D98057" w14:textId="77777777" w:rsidR="00996AD7" w:rsidRDefault="00996AD7">
            <w:pPr>
              <w:rPr>
                <w:rFonts w:ascii="宋体"/>
              </w:rPr>
            </w:pPr>
          </w:p>
        </w:tc>
        <w:tc>
          <w:tcPr>
            <w:tcW w:w="238" w:type="pct"/>
            <w:shd w:val="clear" w:color="auto" w:fill="auto"/>
            <w:vAlign w:val="bottom"/>
          </w:tcPr>
          <w:p w14:paraId="39D98058" w14:textId="77777777" w:rsidR="00996AD7" w:rsidRDefault="00996AD7">
            <w:pPr>
              <w:rPr>
                <w:rFonts w:ascii="宋体"/>
              </w:rPr>
            </w:pPr>
          </w:p>
        </w:tc>
        <w:tc>
          <w:tcPr>
            <w:tcW w:w="5" w:type="pct"/>
            <w:shd w:val="clear" w:color="auto" w:fill="auto"/>
            <w:vAlign w:val="bottom"/>
          </w:tcPr>
          <w:p w14:paraId="39D98059" w14:textId="77777777" w:rsidR="00996AD7" w:rsidRDefault="00996AD7">
            <w:pPr>
              <w:rPr>
                <w:rFonts w:ascii="宋体"/>
              </w:rPr>
            </w:pPr>
          </w:p>
        </w:tc>
        <w:tc>
          <w:tcPr>
            <w:tcW w:w="50" w:type="pct"/>
            <w:shd w:val="clear" w:color="auto" w:fill="auto"/>
            <w:vAlign w:val="bottom"/>
          </w:tcPr>
          <w:p w14:paraId="39D9805A" w14:textId="77777777" w:rsidR="00996AD7" w:rsidRDefault="00996AD7">
            <w:pPr>
              <w:rPr>
                <w:rFonts w:ascii="宋体"/>
              </w:rPr>
            </w:pPr>
          </w:p>
        </w:tc>
        <w:tc>
          <w:tcPr>
            <w:tcW w:w="983" w:type="pct"/>
            <w:shd w:val="clear" w:color="auto" w:fill="auto"/>
            <w:vAlign w:val="bottom"/>
          </w:tcPr>
          <w:p w14:paraId="39D9805B" w14:textId="77777777" w:rsidR="00996AD7" w:rsidRDefault="00996AD7">
            <w:pPr>
              <w:rPr>
                <w:rFonts w:ascii="宋体"/>
              </w:rPr>
            </w:pPr>
          </w:p>
        </w:tc>
        <w:tc>
          <w:tcPr>
            <w:tcW w:w="5" w:type="pct"/>
            <w:shd w:val="clear" w:color="auto" w:fill="auto"/>
            <w:vAlign w:val="bottom"/>
          </w:tcPr>
          <w:p w14:paraId="39D9805C" w14:textId="77777777" w:rsidR="00996AD7" w:rsidRDefault="00996AD7">
            <w:pPr>
              <w:rPr>
                <w:rFonts w:ascii="宋体"/>
              </w:rPr>
            </w:pPr>
          </w:p>
        </w:tc>
        <w:tc>
          <w:tcPr>
            <w:tcW w:w="50" w:type="pct"/>
            <w:shd w:val="clear" w:color="auto" w:fill="auto"/>
            <w:vAlign w:val="bottom"/>
          </w:tcPr>
          <w:p w14:paraId="39D9805D" w14:textId="77777777" w:rsidR="00996AD7" w:rsidRDefault="00996AD7">
            <w:pPr>
              <w:rPr>
                <w:rFonts w:ascii="宋体"/>
              </w:rPr>
            </w:pPr>
          </w:p>
        </w:tc>
        <w:tc>
          <w:tcPr>
            <w:tcW w:w="2035" w:type="pct"/>
            <w:shd w:val="clear" w:color="auto" w:fill="auto"/>
            <w:vAlign w:val="bottom"/>
          </w:tcPr>
          <w:p w14:paraId="39D9805E" w14:textId="77777777" w:rsidR="00996AD7" w:rsidRDefault="00996AD7">
            <w:pPr>
              <w:rPr>
                <w:rFonts w:ascii="宋体"/>
              </w:rPr>
            </w:pPr>
          </w:p>
        </w:tc>
        <w:tc>
          <w:tcPr>
            <w:tcW w:w="5" w:type="pct"/>
            <w:shd w:val="clear" w:color="auto" w:fill="auto"/>
            <w:vAlign w:val="bottom"/>
          </w:tcPr>
          <w:p w14:paraId="39D9805F" w14:textId="77777777" w:rsidR="00996AD7" w:rsidRDefault="00996AD7">
            <w:pPr>
              <w:rPr>
                <w:rFonts w:ascii="宋体"/>
              </w:rPr>
            </w:pPr>
          </w:p>
        </w:tc>
        <w:tc>
          <w:tcPr>
            <w:tcW w:w="50" w:type="pct"/>
            <w:shd w:val="clear" w:color="auto" w:fill="auto"/>
            <w:vAlign w:val="bottom"/>
          </w:tcPr>
          <w:p w14:paraId="39D98060" w14:textId="77777777" w:rsidR="00996AD7" w:rsidRDefault="00996AD7">
            <w:pPr>
              <w:rPr>
                <w:rFonts w:ascii="宋体"/>
              </w:rPr>
            </w:pPr>
          </w:p>
        </w:tc>
        <w:tc>
          <w:tcPr>
            <w:tcW w:w="1522" w:type="pct"/>
            <w:shd w:val="clear" w:color="auto" w:fill="auto"/>
            <w:vAlign w:val="bottom"/>
          </w:tcPr>
          <w:p w14:paraId="39D98061" w14:textId="77777777" w:rsidR="00996AD7" w:rsidRDefault="00996AD7">
            <w:pPr>
              <w:rPr>
                <w:rFonts w:ascii="宋体"/>
              </w:rPr>
            </w:pPr>
          </w:p>
        </w:tc>
        <w:tc>
          <w:tcPr>
            <w:tcW w:w="5" w:type="pct"/>
            <w:shd w:val="clear" w:color="auto" w:fill="auto"/>
            <w:vAlign w:val="bottom"/>
          </w:tcPr>
          <w:p w14:paraId="39D98062" w14:textId="77777777" w:rsidR="00996AD7" w:rsidRDefault="00996AD7">
            <w:pPr>
              <w:rPr>
                <w:rFonts w:ascii="宋体"/>
              </w:rPr>
            </w:pPr>
          </w:p>
        </w:tc>
      </w:tr>
      <w:tr w:rsidR="00996AD7" w14:paraId="39D9806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064"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B1" wp14:editId="39D9A3B2">
                  <wp:extent cx="304800" cy="304800"/>
                  <wp:effectExtent l="0" t="0" r="0" b="0"/>
                  <wp:docPr id="67" name="图片 59"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9"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065"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8066"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067" w14:textId="77777777" w:rsidR="00996AD7" w:rsidRDefault="00D96458">
            <w:pPr>
              <w:jc w:val="right"/>
              <w:textAlignment w:val="center"/>
            </w:pPr>
            <w:r>
              <w:rPr>
                <w:rFonts w:ascii="Arial" w:eastAsia="宋体" w:hAnsi="Arial" w:cs="Arial"/>
                <w:color w:val="262626"/>
                <w:sz w:val="16"/>
                <w:szCs w:val="16"/>
              </w:rPr>
              <w:t>10</w:t>
            </w:r>
          </w:p>
        </w:tc>
      </w:tr>
    </w:tbl>
    <w:p w14:paraId="39D98069" w14:textId="77777777" w:rsidR="00996AD7" w:rsidRDefault="00D96458">
      <w:r>
        <w:pict w14:anchorId="39D9A3B3">
          <v:rect id="_x0000_i1036" style="width:415.3pt;height:1.5pt" o:hralign="center" o:hrstd="t" o:hr="t" fillcolor="#a0a0a0" stroked="f"/>
        </w:pict>
      </w:r>
    </w:p>
    <w:p w14:paraId="39D9806A" w14:textId="77777777" w:rsidR="00996AD7" w:rsidRDefault="00D96458">
      <w:pPr>
        <w:spacing w:after="180"/>
        <w:jc w:val="right"/>
      </w:pPr>
      <w:hyperlink r:id="rId37" w:anchor="i94e6cc3aa83643b8b968bd5bab038338_7" w:history="1">
        <w:r>
          <w:rPr>
            <w:rStyle w:val="a5"/>
            <w:rFonts w:ascii="Arial" w:eastAsia="宋体" w:hAnsi="Arial" w:cs="Arial"/>
            <w:b/>
            <w:bCs/>
            <w:color w:val="0068B5"/>
            <w:sz w:val="16"/>
            <w:szCs w:val="16"/>
          </w:rPr>
          <w:t>Table of Contents</w:t>
        </w:r>
      </w:hyperlink>
    </w:p>
    <w:p w14:paraId="39D9806B" w14:textId="77777777" w:rsidR="00996AD7" w:rsidRDefault="00996AD7">
      <w:pPr>
        <w:spacing w:after="180"/>
        <w:jc w:val="right"/>
      </w:pPr>
    </w:p>
    <w:p w14:paraId="39D9806C" w14:textId="77777777" w:rsidR="00996AD7" w:rsidRDefault="00D96458">
      <w:pPr>
        <w:spacing w:after="180"/>
      </w:pPr>
      <w:r>
        <w:rPr>
          <w:rFonts w:ascii="Arial" w:eastAsia="宋体" w:hAnsi="Arial" w:cs="Arial"/>
          <w:color w:val="0068B5"/>
        </w:rPr>
        <w:t>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3996"/>
        <w:gridCol w:w="37"/>
        <w:gridCol w:w="36"/>
        <w:gridCol w:w="36"/>
        <w:gridCol w:w="36"/>
        <w:gridCol w:w="121"/>
        <w:gridCol w:w="801"/>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996AD7" w14:paraId="39D98088" w14:textId="77777777">
        <w:tc>
          <w:tcPr>
            <w:tcW w:w="50" w:type="pct"/>
            <w:shd w:val="clear" w:color="auto" w:fill="auto"/>
            <w:vAlign w:val="bottom"/>
          </w:tcPr>
          <w:p w14:paraId="39D9806D" w14:textId="77777777" w:rsidR="00996AD7" w:rsidRDefault="00996AD7">
            <w:pPr>
              <w:rPr>
                <w:rFonts w:ascii="宋体"/>
              </w:rPr>
            </w:pPr>
          </w:p>
        </w:tc>
        <w:tc>
          <w:tcPr>
            <w:tcW w:w="2431" w:type="pct"/>
            <w:shd w:val="clear" w:color="auto" w:fill="auto"/>
            <w:vAlign w:val="bottom"/>
          </w:tcPr>
          <w:p w14:paraId="39D9806E" w14:textId="77777777" w:rsidR="00996AD7" w:rsidRDefault="00996AD7">
            <w:pPr>
              <w:rPr>
                <w:rFonts w:ascii="宋体"/>
              </w:rPr>
            </w:pPr>
          </w:p>
        </w:tc>
        <w:tc>
          <w:tcPr>
            <w:tcW w:w="5" w:type="pct"/>
            <w:shd w:val="clear" w:color="auto" w:fill="auto"/>
            <w:vAlign w:val="bottom"/>
          </w:tcPr>
          <w:p w14:paraId="39D9806F" w14:textId="77777777" w:rsidR="00996AD7" w:rsidRDefault="00996AD7">
            <w:pPr>
              <w:rPr>
                <w:rFonts w:ascii="宋体"/>
              </w:rPr>
            </w:pPr>
          </w:p>
        </w:tc>
        <w:tc>
          <w:tcPr>
            <w:tcW w:w="5" w:type="pct"/>
            <w:shd w:val="clear" w:color="auto" w:fill="auto"/>
            <w:vAlign w:val="bottom"/>
          </w:tcPr>
          <w:p w14:paraId="39D98070" w14:textId="77777777" w:rsidR="00996AD7" w:rsidRDefault="00996AD7">
            <w:pPr>
              <w:rPr>
                <w:rFonts w:ascii="宋体"/>
              </w:rPr>
            </w:pPr>
          </w:p>
        </w:tc>
        <w:tc>
          <w:tcPr>
            <w:tcW w:w="24" w:type="pct"/>
            <w:shd w:val="clear" w:color="auto" w:fill="auto"/>
            <w:vAlign w:val="bottom"/>
          </w:tcPr>
          <w:p w14:paraId="39D98071" w14:textId="77777777" w:rsidR="00996AD7" w:rsidRDefault="00996AD7">
            <w:pPr>
              <w:rPr>
                <w:rFonts w:ascii="宋体"/>
              </w:rPr>
            </w:pPr>
          </w:p>
        </w:tc>
        <w:tc>
          <w:tcPr>
            <w:tcW w:w="5" w:type="pct"/>
            <w:shd w:val="clear" w:color="auto" w:fill="auto"/>
            <w:vAlign w:val="bottom"/>
          </w:tcPr>
          <w:p w14:paraId="39D98072" w14:textId="77777777" w:rsidR="00996AD7" w:rsidRDefault="00996AD7">
            <w:pPr>
              <w:rPr>
                <w:rFonts w:ascii="宋体"/>
              </w:rPr>
            </w:pPr>
          </w:p>
        </w:tc>
        <w:tc>
          <w:tcPr>
            <w:tcW w:w="50" w:type="pct"/>
            <w:shd w:val="clear" w:color="auto" w:fill="auto"/>
            <w:vAlign w:val="bottom"/>
          </w:tcPr>
          <w:p w14:paraId="39D98073" w14:textId="77777777" w:rsidR="00996AD7" w:rsidRDefault="00996AD7">
            <w:pPr>
              <w:rPr>
                <w:rFonts w:ascii="宋体"/>
              </w:rPr>
            </w:pPr>
          </w:p>
        </w:tc>
        <w:tc>
          <w:tcPr>
            <w:tcW w:w="539" w:type="pct"/>
            <w:shd w:val="clear" w:color="auto" w:fill="auto"/>
            <w:vAlign w:val="bottom"/>
          </w:tcPr>
          <w:p w14:paraId="39D98074" w14:textId="77777777" w:rsidR="00996AD7" w:rsidRDefault="00996AD7">
            <w:pPr>
              <w:rPr>
                <w:rFonts w:ascii="宋体"/>
              </w:rPr>
            </w:pPr>
          </w:p>
        </w:tc>
        <w:tc>
          <w:tcPr>
            <w:tcW w:w="5" w:type="pct"/>
            <w:shd w:val="clear" w:color="auto" w:fill="auto"/>
            <w:vAlign w:val="bottom"/>
          </w:tcPr>
          <w:p w14:paraId="39D98075" w14:textId="77777777" w:rsidR="00996AD7" w:rsidRDefault="00996AD7">
            <w:pPr>
              <w:rPr>
                <w:rFonts w:ascii="宋体"/>
              </w:rPr>
            </w:pPr>
          </w:p>
        </w:tc>
        <w:tc>
          <w:tcPr>
            <w:tcW w:w="5" w:type="pct"/>
            <w:shd w:val="clear" w:color="auto" w:fill="auto"/>
            <w:vAlign w:val="bottom"/>
          </w:tcPr>
          <w:p w14:paraId="39D98076" w14:textId="77777777" w:rsidR="00996AD7" w:rsidRDefault="00996AD7">
            <w:pPr>
              <w:rPr>
                <w:rFonts w:ascii="宋体"/>
              </w:rPr>
            </w:pPr>
          </w:p>
        </w:tc>
        <w:tc>
          <w:tcPr>
            <w:tcW w:w="24" w:type="pct"/>
            <w:shd w:val="clear" w:color="auto" w:fill="auto"/>
            <w:vAlign w:val="bottom"/>
          </w:tcPr>
          <w:p w14:paraId="39D98077" w14:textId="77777777" w:rsidR="00996AD7" w:rsidRDefault="00996AD7">
            <w:pPr>
              <w:rPr>
                <w:rFonts w:ascii="宋体"/>
              </w:rPr>
            </w:pPr>
          </w:p>
        </w:tc>
        <w:tc>
          <w:tcPr>
            <w:tcW w:w="5" w:type="pct"/>
            <w:shd w:val="clear" w:color="auto" w:fill="auto"/>
            <w:vAlign w:val="bottom"/>
          </w:tcPr>
          <w:p w14:paraId="39D98078" w14:textId="77777777" w:rsidR="00996AD7" w:rsidRDefault="00996AD7">
            <w:pPr>
              <w:rPr>
                <w:rFonts w:ascii="宋体"/>
              </w:rPr>
            </w:pPr>
          </w:p>
        </w:tc>
        <w:tc>
          <w:tcPr>
            <w:tcW w:w="50" w:type="pct"/>
            <w:shd w:val="clear" w:color="auto" w:fill="auto"/>
            <w:vAlign w:val="bottom"/>
          </w:tcPr>
          <w:p w14:paraId="39D98079" w14:textId="77777777" w:rsidR="00996AD7" w:rsidRDefault="00996AD7">
            <w:pPr>
              <w:rPr>
                <w:rFonts w:ascii="宋体"/>
              </w:rPr>
            </w:pPr>
          </w:p>
        </w:tc>
        <w:tc>
          <w:tcPr>
            <w:tcW w:w="539" w:type="pct"/>
            <w:shd w:val="clear" w:color="auto" w:fill="auto"/>
            <w:vAlign w:val="bottom"/>
          </w:tcPr>
          <w:p w14:paraId="39D9807A" w14:textId="77777777" w:rsidR="00996AD7" w:rsidRDefault="00996AD7">
            <w:pPr>
              <w:rPr>
                <w:rFonts w:ascii="宋体"/>
              </w:rPr>
            </w:pPr>
          </w:p>
        </w:tc>
        <w:tc>
          <w:tcPr>
            <w:tcW w:w="5" w:type="pct"/>
            <w:shd w:val="clear" w:color="auto" w:fill="auto"/>
            <w:vAlign w:val="bottom"/>
          </w:tcPr>
          <w:p w14:paraId="39D9807B" w14:textId="77777777" w:rsidR="00996AD7" w:rsidRDefault="00996AD7">
            <w:pPr>
              <w:rPr>
                <w:rFonts w:ascii="宋体"/>
              </w:rPr>
            </w:pPr>
          </w:p>
        </w:tc>
        <w:tc>
          <w:tcPr>
            <w:tcW w:w="5" w:type="pct"/>
            <w:shd w:val="clear" w:color="auto" w:fill="auto"/>
            <w:vAlign w:val="bottom"/>
          </w:tcPr>
          <w:p w14:paraId="39D9807C" w14:textId="77777777" w:rsidR="00996AD7" w:rsidRDefault="00996AD7">
            <w:pPr>
              <w:rPr>
                <w:rFonts w:ascii="宋体"/>
              </w:rPr>
            </w:pPr>
          </w:p>
        </w:tc>
        <w:tc>
          <w:tcPr>
            <w:tcW w:w="24" w:type="pct"/>
            <w:shd w:val="clear" w:color="auto" w:fill="auto"/>
            <w:vAlign w:val="bottom"/>
          </w:tcPr>
          <w:p w14:paraId="39D9807D" w14:textId="77777777" w:rsidR="00996AD7" w:rsidRDefault="00996AD7">
            <w:pPr>
              <w:rPr>
                <w:rFonts w:ascii="宋体"/>
              </w:rPr>
            </w:pPr>
          </w:p>
        </w:tc>
        <w:tc>
          <w:tcPr>
            <w:tcW w:w="5" w:type="pct"/>
            <w:shd w:val="clear" w:color="auto" w:fill="auto"/>
            <w:vAlign w:val="bottom"/>
          </w:tcPr>
          <w:p w14:paraId="39D9807E" w14:textId="77777777" w:rsidR="00996AD7" w:rsidRDefault="00996AD7">
            <w:pPr>
              <w:rPr>
                <w:rFonts w:ascii="宋体"/>
              </w:rPr>
            </w:pPr>
          </w:p>
        </w:tc>
        <w:tc>
          <w:tcPr>
            <w:tcW w:w="50" w:type="pct"/>
            <w:shd w:val="clear" w:color="auto" w:fill="auto"/>
            <w:vAlign w:val="bottom"/>
          </w:tcPr>
          <w:p w14:paraId="39D9807F" w14:textId="77777777" w:rsidR="00996AD7" w:rsidRDefault="00996AD7">
            <w:pPr>
              <w:rPr>
                <w:rFonts w:ascii="宋体"/>
              </w:rPr>
            </w:pPr>
          </w:p>
        </w:tc>
        <w:tc>
          <w:tcPr>
            <w:tcW w:w="539" w:type="pct"/>
            <w:shd w:val="clear" w:color="auto" w:fill="auto"/>
            <w:vAlign w:val="bottom"/>
          </w:tcPr>
          <w:p w14:paraId="39D98080" w14:textId="77777777" w:rsidR="00996AD7" w:rsidRDefault="00996AD7">
            <w:pPr>
              <w:rPr>
                <w:rFonts w:ascii="宋体"/>
              </w:rPr>
            </w:pPr>
          </w:p>
        </w:tc>
        <w:tc>
          <w:tcPr>
            <w:tcW w:w="5" w:type="pct"/>
            <w:shd w:val="clear" w:color="auto" w:fill="auto"/>
            <w:vAlign w:val="bottom"/>
          </w:tcPr>
          <w:p w14:paraId="39D98081" w14:textId="77777777" w:rsidR="00996AD7" w:rsidRDefault="00996AD7">
            <w:pPr>
              <w:rPr>
                <w:rFonts w:ascii="宋体"/>
              </w:rPr>
            </w:pPr>
          </w:p>
        </w:tc>
        <w:tc>
          <w:tcPr>
            <w:tcW w:w="5" w:type="pct"/>
            <w:shd w:val="clear" w:color="auto" w:fill="auto"/>
            <w:vAlign w:val="bottom"/>
          </w:tcPr>
          <w:p w14:paraId="39D98082" w14:textId="77777777" w:rsidR="00996AD7" w:rsidRDefault="00996AD7">
            <w:pPr>
              <w:rPr>
                <w:rFonts w:ascii="宋体"/>
              </w:rPr>
            </w:pPr>
          </w:p>
        </w:tc>
        <w:tc>
          <w:tcPr>
            <w:tcW w:w="24" w:type="pct"/>
            <w:shd w:val="clear" w:color="auto" w:fill="auto"/>
            <w:vAlign w:val="bottom"/>
          </w:tcPr>
          <w:p w14:paraId="39D98083" w14:textId="77777777" w:rsidR="00996AD7" w:rsidRDefault="00996AD7">
            <w:pPr>
              <w:rPr>
                <w:rFonts w:ascii="宋体"/>
              </w:rPr>
            </w:pPr>
          </w:p>
        </w:tc>
        <w:tc>
          <w:tcPr>
            <w:tcW w:w="5" w:type="pct"/>
            <w:shd w:val="clear" w:color="auto" w:fill="auto"/>
            <w:vAlign w:val="bottom"/>
          </w:tcPr>
          <w:p w14:paraId="39D98084" w14:textId="77777777" w:rsidR="00996AD7" w:rsidRDefault="00996AD7">
            <w:pPr>
              <w:rPr>
                <w:rFonts w:ascii="宋体"/>
              </w:rPr>
            </w:pPr>
          </w:p>
        </w:tc>
        <w:tc>
          <w:tcPr>
            <w:tcW w:w="50" w:type="pct"/>
            <w:shd w:val="clear" w:color="auto" w:fill="auto"/>
            <w:vAlign w:val="bottom"/>
          </w:tcPr>
          <w:p w14:paraId="39D98085" w14:textId="77777777" w:rsidR="00996AD7" w:rsidRDefault="00996AD7">
            <w:pPr>
              <w:rPr>
                <w:rFonts w:ascii="宋体"/>
              </w:rPr>
            </w:pPr>
          </w:p>
        </w:tc>
        <w:tc>
          <w:tcPr>
            <w:tcW w:w="539" w:type="pct"/>
            <w:shd w:val="clear" w:color="auto" w:fill="auto"/>
            <w:vAlign w:val="bottom"/>
          </w:tcPr>
          <w:p w14:paraId="39D98086" w14:textId="77777777" w:rsidR="00996AD7" w:rsidRDefault="00996AD7">
            <w:pPr>
              <w:rPr>
                <w:rFonts w:ascii="宋体"/>
              </w:rPr>
            </w:pPr>
          </w:p>
        </w:tc>
        <w:tc>
          <w:tcPr>
            <w:tcW w:w="5" w:type="pct"/>
            <w:shd w:val="clear" w:color="auto" w:fill="auto"/>
            <w:vAlign w:val="bottom"/>
          </w:tcPr>
          <w:p w14:paraId="39D98087" w14:textId="77777777" w:rsidR="00996AD7" w:rsidRDefault="00996AD7">
            <w:pPr>
              <w:rPr>
                <w:rFonts w:ascii="宋体"/>
              </w:rPr>
            </w:pPr>
          </w:p>
        </w:tc>
      </w:tr>
      <w:tr w:rsidR="00996AD7" w14:paraId="39D9808E" w14:textId="77777777">
        <w:tc>
          <w:tcPr>
            <w:tcW w:w="0" w:type="auto"/>
            <w:gridSpan w:val="3"/>
            <w:shd w:val="clear" w:color="auto" w:fill="auto"/>
            <w:tcMar>
              <w:top w:w="40" w:type="dxa"/>
              <w:left w:w="200" w:type="dxa"/>
              <w:bottom w:w="40" w:type="dxa"/>
              <w:right w:w="20" w:type="dxa"/>
            </w:tcMar>
            <w:vAlign w:val="bottom"/>
          </w:tcPr>
          <w:p w14:paraId="39D98089" w14:textId="77777777" w:rsidR="00996AD7" w:rsidRDefault="00D96458">
            <w:pPr>
              <w:textAlignment w:val="bottom"/>
            </w:pPr>
            <w:r>
              <w:rPr>
                <w:rFonts w:ascii="Arial" w:eastAsia="宋体" w:hAnsi="Arial" w:cs="Arial"/>
                <w:b/>
                <w:bCs/>
                <w:color w:val="262626"/>
                <w:sz w:val="16"/>
                <w:szCs w:val="16"/>
              </w:rPr>
              <w:t> </w:t>
            </w:r>
          </w:p>
        </w:tc>
        <w:tc>
          <w:tcPr>
            <w:tcW w:w="0" w:type="auto"/>
            <w:gridSpan w:val="3"/>
            <w:shd w:val="clear" w:color="auto" w:fill="auto"/>
            <w:tcMar>
              <w:top w:w="0" w:type="dxa"/>
              <w:left w:w="20" w:type="dxa"/>
              <w:bottom w:w="0" w:type="dxa"/>
              <w:right w:w="20" w:type="dxa"/>
            </w:tcMar>
            <w:vAlign w:val="bottom"/>
          </w:tcPr>
          <w:p w14:paraId="39D9808A"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08B" w14:textId="77777777" w:rsidR="00996AD7" w:rsidRDefault="00D964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39D9808C"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08D" w14:textId="77777777" w:rsidR="00996AD7" w:rsidRDefault="00D96458">
            <w:pPr>
              <w:jc w:val="center"/>
              <w:textAlignment w:val="bottom"/>
            </w:pPr>
            <w:r>
              <w:rPr>
                <w:rFonts w:ascii="Arial" w:eastAsia="宋体" w:hAnsi="Arial" w:cs="Arial"/>
                <w:b/>
                <w:bCs/>
                <w:color w:val="262626"/>
                <w:sz w:val="18"/>
                <w:szCs w:val="18"/>
              </w:rPr>
              <w:t>Nine Months Ended</w:t>
            </w:r>
          </w:p>
        </w:tc>
      </w:tr>
      <w:tr w:rsidR="00996AD7" w14:paraId="39D98098" w14:textId="77777777">
        <w:tc>
          <w:tcPr>
            <w:tcW w:w="0" w:type="auto"/>
            <w:gridSpan w:val="3"/>
            <w:shd w:val="clear" w:color="auto" w:fill="auto"/>
            <w:tcMar>
              <w:top w:w="40" w:type="dxa"/>
              <w:left w:w="20" w:type="dxa"/>
              <w:bottom w:w="40" w:type="dxa"/>
              <w:right w:w="20" w:type="dxa"/>
            </w:tcMar>
            <w:vAlign w:val="bottom"/>
          </w:tcPr>
          <w:p w14:paraId="39D9808F" w14:textId="77777777" w:rsidR="00996AD7" w:rsidRDefault="00D964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090"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091"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092"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093"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gridSpan w:val="3"/>
            <w:shd w:val="clear" w:color="auto" w:fill="auto"/>
            <w:tcMar>
              <w:top w:w="0" w:type="dxa"/>
              <w:left w:w="20" w:type="dxa"/>
              <w:bottom w:w="0" w:type="dxa"/>
              <w:right w:w="20" w:type="dxa"/>
            </w:tcMar>
            <w:vAlign w:val="bottom"/>
          </w:tcPr>
          <w:p w14:paraId="39D98094"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095"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096"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097" w14:textId="77777777" w:rsidR="00996AD7" w:rsidRDefault="00D96458">
            <w:pPr>
              <w:jc w:val="center"/>
              <w:textAlignment w:val="bottom"/>
            </w:pPr>
            <w:r>
              <w:rPr>
                <w:rFonts w:ascii="Arial" w:eastAsia="宋体" w:hAnsi="Arial" w:cs="Arial"/>
                <w:b/>
                <w:bCs/>
                <w:color w:val="262626"/>
                <w:sz w:val="18"/>
                <w:szCs w:val="18"/>
              </w:rPr>
              <w:t>Sep 26, 2020</w:t>
            </w:r>
          </w:p>
        </w:tc>
      </w:tr>
      <w:tr w:rsidR="00996AD7" w14:paraId="39D980AA"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8099" w14:textId="77777777" w:rsidR="00996AD7" w:rsidRDefault="00D96458">
            <w:pPr>
              <w:ind w:hanging="180"/>
              <w:textAlignment w:val="top"/>
            </w:pPr>
            <w:r>
              <w:rPr>
                <w:rFonts w:ascii="Arial" w:eastAsia="宋体" w:hAnsi="Arial" w:cs="Arial"/>
                <w:color w:val="262626"/>
                <w:sz w:val="18"/>
                <w:szCs w:val="18"/>
              </w:rPr>
              <w:t>Interest income</w:t>
            </w:r>
          </w:p>
        </w:tc>
        <w:tc>
          <w:tcPr>
            <w:tcW w:w="0" w:type="auto"/>
            <w:gridSpan w:val="3"/>
            <w:shd w:val="clear" w:color="auto" w:fill="auto"/>
            <w:tcMar>
              <w:top w:w="0" w:type="dxa"/>
              <w:left w:w="20" w:type="dxa"/>
              <w:bottom w:w="0" w:type="dxa"/>
              <w:right w:w="20" w:type="dxa"/>
            </w:tcMar>
            <w:vAlign w:val="bottom"/>
          </w:tcPr>
          <w:p w14:paraId="39D9809A"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09B"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09C" w14:textId="77777777" w:rsidR="00996AD7" w:rsidRDefault="00D96458">
            <w:pPr>
              <w:jc w:val="right"/>
              <w:textAlignment w:val="bottom"/>
            </w:pPr>
            <w:r>
              <w:rPr>
                <w:rFonts w:ascii="Arial" w:eastAsia="宋体" w:hAnsi="Arial" w:cs="Arial"/>
                <w:color w:val="0068B5"/>
                <w:sz w:val="18"/>
                <w:szCs w:val="18"/>
              </w:rPr>
              <w:t>37 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09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9E"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09F"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0A0" w14:textId="77777777" w:rsidR="00996AD7" w:rsidRDefault="00D96458">
            <w:pPr>
              <w:jc w:val="right"/>
              <w:textAlignment w:val="bottom"/>
            </w:pPr>
            <w:r>
              <w:rPr>
                <w:rFonts w:ascii="Arial" w:eastAsia="宋体" w:hAnsi="Arial" w:cs="Arial"/>
                <w:color w:val="262626"/>
                <w:sz w:val="18"/>
                <w:szCs w:val="18"/>
              </w:rPr>
              <w:t>53 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0A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A2"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0A3"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0A4" w14:textId="77777777" w:rsidR="00996AD7" w:rsidRDefault="00D96458">
            <w:pPr>
              <w:jc w:val="right"/>
              <w:textAlignment w:val="bottom"/>
            </w:pPr>
            <w:r>
              <w:rPr>
                <w:rFonts w:ascii="Arial" w:eastAsia="宋体" w:hAnsi="Arial" w:cs="Arial"/>
                <w:color w:val="0068B5"/>
                <w:sz w:val="18"/>
                <w:szCs w:val="18"/>
              </w:rPr>
              <w:t>111 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0A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A6"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0A7"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0A8" w14:textId="77777777" w:rsidR="00996AD7" w:rsidRDefault="00D96458">
            <w:pPr>
              <w:jc w:val="right"/>
              <w:textAlignment w:val="bottom"/>
            </w:pPr>
            <w:r>
              <w:rPr>
                <w:rFonts w:ascii="Arial" w:eastAsia="宋体" w:hAnsi="Arial" w:cs="Arial"/>
                <w:color w:val="262626"/>
                <w:sz w:val="18"/>
                <w:szCs w:val="18"/>
              </w:rPr>
              <w:t>229 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0A9" w14:textId="77777777" w:rsidR="00996AD7" w:rsidRDefault="00996AD7">
            <w:pPr>
              <w:jc w:val="right"/>
              <w:rPr>
                <w:rFonts w:ascii="宋体"/>
              </w:rPr>
            </w:pPr>
          </w:p>
        </w:tc>
      </w:tr>
      <w:tr w:rsidR="00996AD7" w14:paraId="39D980B8" w14:textId="77777777">
        <w:tc>
          <w:tcPr>
            <w:tcW w:w="0" w:type="auto"/>
            <w:gridSpan w:val="3"/>
            <w:shd w:val="clear" w:color="auto" w:fill="auto"/>
            <w:tcMar>
              <w:top w:w="40" w:type="dxa"/>
              <w:left w:w="20" w:type="dxa"/>
              <w:bottom w:w="40" w:type="dxa"/>
              <w:right w:w="20" w:type="dxa"/>
            </w:tcMar>
          </w:tcPr>
          <w:p w14:paraId="39D980AB" w14:textId="77777777" w:rsidR="00996AD7" w:rsidRDefault="00D96458">
            <w:pPr>
              <w:ind w:hanging="180"/>
              <w:textAlignment w:val="top"/>
            </w:pPr>
            <w:r>
              <w:rPr>
                <w:rFonts w:ascii="Arial" w:eastAsia="宋体" w:hAnsi="Arial" w:cs="Arial"/>
                <w:color w:val="262626"/>
                <w:sz w:val="18"/>
                <w:szCs w:val="18"/>
              </w:rPr>
              <w:t>Interest expense</w:t>
            </w:r>
          </w:p>
        </w:tc>
        <w:tc>
          <w:tcPr>
            <w:tcW w:w="0" w:type="auto"/>
            <w:gridSpan w:val="3"/>
            <w:shd w:val="clear" w:color="auto" w:fill="auto"/>
            <w:tcMar>
              <w:top w:w="0" w:type="dxa"/>
              <w:left w:w="20" w:type="dxa"/>
              <w:bottom w:w="0" w:type="dxa"/>
              <w:right w:w="20" w:type="dxa"/>
            </w:tcMar>
            <w:vAlign w:val="bottom"/>
          </w:tcPr>
          <w:p w14:paraId="39D980A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0AD" w14:textId="77777777" w:rsidR="00996AD7" w:rsidRDefault="00D96458">
            <w:pPr>
              <w:jc w:val="right"/>
              <w:textAlignment w:val="bottom"/>
            </w:pPr>
            <w:r>
              <w:rPr>
                <w:rFonts w:ascii="Arial" w:eastAsia="宋体" w:hAnsi="Arial" w:cs="Arial"/>
                <w:color w:val="0068B5"/>
                <w:sz w:val="18"/>
                <w:szCs w:val="18"/>
              </w:rPr>
              <w:t>(144)</w:t>
            </w:r>
          </w:p>
        </w:tc>
        <w:tc>
          <w:tcPr>
            <w:tcW w:w="0" w:type="auto"/>
            <w:shd w:val="clear" w:color="auto" w:fill="auto"/>
            <w:tcMar>
              <w:top w:w="40" w:type="dxa"/>
              <w:left w:w="0" w:type="dxa"/>
              <w:bottom w:w="40" w:type="dxa"/>
              <w:right w:w="20" w:type="dxa"/>
            </w:tcMar>
            <w:vAlign w:val="bottom"/>
          </w:tcPr>
          <w:p w14:paraId="39D980A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A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0B0" w14:textId="77777777" w:rsidR="00996AD7" w:rsidRDefault="00D96458">
            <w:pPr>
              <w:jc w:val="right"/>
              <w:textAlignment w:val="bottom"/>
            </w:pPr>
            <w:r>
              <w:rPr>
                <w:rFonts w:ascii="Arial" w:eastAsia="宋体" w:hAnsi="Arial" w:cs="Arial"/>
                <w:color w:val="262626"/>
                <w:sz w:val="18"/>
                <w:szCs w:val="18"/>
              </w:rPr>
              <w:t>(160)</w:t>
            </w:r>
          </w:p>
        </w:tc>
        <w:tc>
          <w:tcPr>
            <w:tcW w:w="0" w:type="auto"/>
            <w:shd w:val="clear" w:color="auto" w:fill="auto"/>
            <w:tcMar>
              <w:top w:w="40" w:type="dxa"/>
              <w:left w:w="0" w:type="dxa"/>
              <w:bottom w:w="40" w:type="dxa"/>
              <w:right w:w="20" w:type="dxa"/>
            </w:tcMar>
            <w:vAlign w:val="bottom"/>
          </w:tcPr>
          <w:p w14:paraId="39D980B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B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0B3" w14:textId="77777777" w:rsidR="00996AD7" w:rsidRDefault="00D96458">
            <w:pPr>
              <w:jc w:val="right"/>
              <w:textAlignment w:val="bottom"/>
            </w:pPr>
            <w:r>
              <w:rPr>
                <w:rFonts w:ascii="Arial" w:eastAsia="宋体" w:hAnsi="Arial" w:cs="Arial"/>
                <w:color w:val="0068B5"/>
                <w:sz w:val="18"/>
                <w:szCs w:val="18"/>
              </w:rPr>
              <w:t>(463)</w:t>
            </w:r>
          </w:p>
        </w:tc>
        <w:tc>
          <w:tcPr>
            <w:tcW w:w="0" w:type="auto"/>
            <w:shd w:val="clear" w:color="auto" w:fill="auto"/>
            <w:tcMar>
              <w:top w:w="40" w:type="dxa"/>
              <w:left w:w="0" w:type="dxa"/>
              <w:bottom w:w="40" w:type="dxa"/>
              <w:right w:w="20" w:type="dxa"/>
            </w:tcMar>
            <w:vAlign w:val="bottom"/>
          </w:tcPr>
          <w:p w14:paraId="39D980B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B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0B6" w14:textId="77777777" w:rsidR="00996AD7" w:rsidRDefault="00D96458">
            <w:pPr>
              <w:jc w:val="right"/>
              <w:textAlignment w:val="bottom"/>
            </w:pPr>
            <w:r>
              <w:rPr>
                <w:rFonts w:ascii="Arial" w:eastAsia="宋体" w:hAnsi="Arial" w:cs="Arial"/>
                <w:color w:val="262626"/>
                <w:sz w:val="18"/>
                <w:szCs w:val="18"/>
              </w:rPr>
              <w:t>(481)</w:t>
            </w:r>
          </w:p>
        </w:tc>
        <w:tc>
          <w:tcPr>
            <w:tcW w:w="0" w:type="auto"/>
            <w:shd w:val="clear" w:color="auto" w:fill="auto"/>
            <w:tcMar>
              <w:top w:w="40" w:type="dxa"/>
              <w:left w:w="0" w:type="dxa"/>
              <w:bottom w:w="40" w:type="dxa"/>
              <w:right w:w="20" w:type="dxa"/>
            </w:tcMar>
            <w:vAlign w:val="bottom"/>
          </w:tcPr>
          <w:p w14:paraId="39D980B7" w14:textId="77777777" w:rsidR="00996AD7" w:rsidRDefault="00996AD7">
            <w:pPr>
              <w:jc w:val="right"/>
              <w:rPr>
                <w:rFonts w:ascii="宋体"/>
              </w:rPr>
            </w:pPr>
          </w:p>
        </w:tc>
      </w:tr>
      <w:tr w:rsidR="00996AD7" w14:paraId="39D980C6" w14:textId="77777777">
        <w:tc>
          <w:tcPr>
            <w:tcW w:w="0" w:type="auto"/>
            <w:gridSpan w:val="3"/>
            <w:shd w:val="clear" w:color="auto" w:fill="auto"/>
            <w:tcMar>
              <w:top w:w="40" w:type="dxa"/>
              <w:left w:w="20" w:type="dxa"/>
              <w:bottom w:w="40" w:type="dxa"/>
              <w:right w:w="20" w:type="dxa"/>
            </w:tcMar>
          </w:tcPr>
          <w:p w14:paraId="39D980B9" w14:textId="77777777" w:rsidR="00996AD7" w:rsidRDefault="00D96458">
            <w:pPr>
              <w:ind w:hanging="180"/>
              <w:textAlignment w:val="top"/>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39D980B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0BB" w14:textId="77777777" w:rsidR="00996AD7" w:rsidRDefault="00D96458">
            <w:pPr>
              <w:jc w:val="right"/>
              <w:textAlignment w:val="bottom"/>
            </w:pPr>
            <w:r>
              <w:rPr>
                <w:rFonts w:ascii="Arial" w:eastAsia="宋体" w:hAnsi="Arial" w:cs="Arial"/>
                <w:color w:val="0068B5"/>
                <w:sz w:val="18"/>
                <w:szCs w:val="18"/>
              </w:rPr>
              <w:t>31 </w:t>
            </w:r>
          </w:p>
        </w:tc>
        <w:tc>
          <w:tcPr>
            <w:tcW w:w="0" w:type="auto"/>
            <w:shd w:val="clear" w:color="auto" w:fill="auto"/>
            <w:tcMar>
              <w:top w:w="40" w:type="dxa"/>
              <w:left w:w="0" w:type="dxa"/>
              <w:bottom w:w="40" w:type="dxa"/>
              <w:right w:w="20" w:type="dxa"/>
            </w:tcMar>
            <w:vAlign w:val="bottom"/>
          </w:tcPr>
          <w:p w14:paraId="39D980B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B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0BE" w14:textId="77777777" w:rsidR="00996AD7" w:rsidRDefault="00D96458">
            <w:pPr>
              <w:jc w:val="right"/>
              <w:textAlignment w:val="bottom"/>
            </w:pPr>
            <w:r>
              <w:rPr>
                <w:rFonts w:ascii="Arial" w:eastAsia="宋体" w:hAnsi="Arial" w:cs="Arial"/>
                <w:color w:val="262626"/>
                <w:sz w:val="18"/>
                <w:szCs w:val="18"/>
              </w:rPr>
              <w:t>33 </w:t>
            </w:r>
          </w:p>
        </w:tc>
        <w:tc>
          <w:tcPr>
            <w:tcW w:w="0" w:type="auto"/>
            <w:shd w:val="clear" w:color="auto" w:fill="auto"/>
            <w:tcMar>
              <w:top w:w="40" w:type="dxa"/>
              <w:left w:w="0" w:type="dxa"/>
              <w:bottom w:w="40" w:type="dxa"/>
              <w:right w:w="20" w:type="dxa"/>
            </w:tcMar>
            <w:vAlign w:val="bottom"/>
          </w:tcPr>
          <w:p w14:paraId="39D980B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C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0C1" w14:textId="77777777" w:rsidR="00996AD7" w:rsidRDefault="00D96458">
            <w:pPr>
              <w:jc w:val="right"/>
              <w:textAlignment w:val="bottom"/>
            </w:pPr>
            <w:r>
              <w:rPr>
                <w:rFonts w:ascii="Arial" w:eastAsia="宋体" w:hAnsi="Arial" w:cs="Arial"/>
                <w:color w:val="0068B5"/>
                <w:sz w:val="18"/>
                <w:szCs w:val="18"/>
              </w:rPr>
              <w:t>24 </w:t>
            </w:r>
          </w:p>
        </w:tc>
        <w:tc>
          <w:tcPr>
            <w:tcW w:w="0" w:type="auto"/>
            <w:shd w:val="clear" w:color="auto" w:fill="auto"/>
            <w:tcMar>
              <w:top w:w="40" w:type="dxa"/>
              <w:left w:w="0" w:type="dxa"/>
              <w:bottom w:w="40" w:type="dxa"/>
              <w:right w:w="20" w:type="dxa"/>
            </w:tcMar>
            <w:vAlign w:val="bottom"/>
          </w:tcPr>
          <w:p w14:paraId="39D980C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C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0C4" w14:textId="77777777" w:rsidR="00996AD7" w:rsidRDefault="00D96458">
            <w:pPr>
              <w:jc w:val="right"/>
              <w:textAlignment w:val="bottom"/>
            </w:pPr>
            <w:r>
              <w:rPr>
                <w:rFonts w:ascii="Arial" w:eastAsia="宋体" w:hAnsi="Arial" w:cs="Arial"/>
                <w:color w:val="262626"/>
                <w:sz w:val="18"/>
                <w:szCs w:val="18"/>
              </w:rPr>
              <w:t>(164)</w:t>
            </w:r>
          </w:p>
        </w:tc>
        <w:tc>
          <w:tcPr>
            <w:tcW w:w="0" w:type="auto"/>
            <w:shd w:val="clear" w:color="auto" w:fill="auto"/>
            <w:tcMar>
              <w:top w:w="40" w:type="dxa"/>
              <w:left w:w="0" w:type="dxa"/>
              <w:bottom w:w="40" w:type="dxa"/>
              <w:right w:w="20" w:type="dxa"/>
            </w:tcMar>
            <w:vAlign w:val="bottom"/>
          </w:tcPr>
          <w:p w14:paraId="39D980C5" w14:textId="77777777" w:rsidR="00996AD7" w:rsidRDefault="00996AD7">
            <w:pPr>
              <w:jc w:val="right"/>
              <w:rPr>
                <w:rFonts w:ascii="宋体"/>
              </w:rPr>
            </w:pPr>
          </w:p>
        </w:tc>
      </w:tr>
      <w:tr w:rsidR="00996AD7" w14:paraId="39D980D8" w14:textId="77777777">
        <w:tc>
          <w:tcPr>
            <w:tcW w:w="0" w:type="auto"/>
            <w:gridSpan w:val="3"/>
            <w:shd w:val="clear" w:color="auto" w:fill="auto"/>
            <w:tcMar>
              <w:top w:w="40" w:type="dxa"/>
              <w:left w:w="20" w:type="dxa"/>
              <w:bottom w:w="40" w:type="dxa"/>
              <w:right w:w="20" w:type="dxa"/>
            </w:tcMar>
          </w:tcPr>
          <w:p w14:paraId="39D980C7" w14:textId="77777777" w:rsidR="00996AD7" w:rsidRDefault="00D96458">
            <w:pPr>
              <w:textAlignment w:val="top"/>
            </w:pPr>
            <w:r>
              <w:rPr>
                <w:rFonts w:ascii="Arial" w:eastAsia="宋体" w:hAnsi="Arial" w:cs="Arial"/>
                <w:b/>
                <w:bCs/>
                <w:color w:val="262626"/>
                <w:sz w:val="18"/>
                <w:szCs w:val="18"/>
              </w:rPr>
              <w:t>Total interest and other, net</w:t>
            </w:r>
          </w:p>
        </w:tc>
        <w:tc>
          <w:tcPr>
            <w:tcW w:w="0" w:type="auto"/>
            <w:gridSpan w:val="3"/>
            <w:shd w:val="clear" w:color="auto" w:fill="auto"/>
            <w:tcMar>
              <w:top w:w="0" w:type="dxa"/>
              <w:left w:w="20" w:type="dxa"/>
              <w:bottom w:w="0" w:type="dxa"/>
              <w:right w:w="20" w:type="dxa"/>
            </w:tcMar>
            <w:vAlign w:val="bottom"/>
          </w:tcPr>
          <w:p w14:paraId="39D980C8"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0C9"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0CA" w14:textId="77777777" w:rsidR="00996AD7" w:rsidRDefault="00D96458">
            <w:pPr>
              <w:jc w:val="right"/>
              <w:textAlignment w:val="bottom"/>
            </w:pPr>
            <w:r>
              <w:rPr>
                <w:rFonts w:ascii="Arial" w:eastAsia="宋体" w:hAnsi="Arial" w:cs="Arial"/>
                <w:b/>
                <w:bCs/>
                <w:color w:val="0068B5"/>
                <w:sz w:val="18"/>
                <w:szCs w:val="18"/>
              </w:rPr>
              <w:t>(76)</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0C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CC"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0CD"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0CE" w14:textId="77777777" w:rsidR="00996AD7" w:rsidRDefault="00D96458">
            <w:pPr>
              <w:jc w:val="right"/>
              <w:textAlignment w:val="bottom"/>
            </w:pPr>
            <w:r>
              <w:rPr>
                <w:rFonts w:ascii="Arial" w:eastAsia="宋体" w:hAnsi="Arial" w:cs="Arial"/>
                <w:b/>
                <w:bCs/>
                <w:color w:val="262626"/>
                <w:sz w:val="18"/>
                <w:szCs w:val="18"/>
              </w:rPr>
              <w:t>(74)</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0C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D0"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0D1"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0D2" w14:textId="77777777" w:rsidR="00996AD7" w:rsidRDefault="00D96458">
            <w:pPr>
              <w:jc w:val="right"/>
              <w:textAlignment w:val="bottom"/>
            </w:pPr>
            <w:r>
              <w:rPr>
                <w:rFonts w:ascii="Arial" w:eastAsia="宋体" w:hAnsi="Arial" w:cs="Arial"/>
                <w:b/>
                <w:bCs/>
                <w:color w:val="0068B5"/>
                <w:sz w:val="18"/>
                <w:szCs w:val="18"/>
              </w:rPr>
              <w:t>(328)</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0D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0D4"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0D5"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0D6" w14:textId="77777777" w:rsidR="00996AD7" w:rsidRDefault="00D96458">
            <w:pPr>
              <w:jc w:val="right"/>
              <w:textAlignment w:val="bottom"/>
            </w:pPr>
            <w:r>
              <w:rPr>
                <w:rFonts w:ascii="Arial" w:eastAsia="宋体" w:hAnsi="Arial" w:cs="Arial"/>
                <w:b/>
                <w:bCs/>
                <w:color w:val="262626"/>
                <w:sz w:val="18"/>
                <w:szCs w:val="18"/>
              </w:rPr>
              <w:t>(416)</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0D7" w14:textId="77777777" w:rsidR="00996AD7" w:rsidRDefault="00996AD7">
            <w:pPr>
              <w:jc w:val="right"/>
              <w:rPr>
                <w:rFonts w:ascii="宋体"/>
              </w:rPr>
            </w:pPr>
          </w:p>
        </w:tc>
      </w:tr>
    </w:tbl>
    <w:p w14:paraId="39D980D9" w14:textId="77777777" w:rsidR="00996AD7" w:rsidRDefault="00D96458">
      <w:pPr>
        <w:spacing w:before="180" w:after="180"/>
      </w:pPr>
      <w:r>
        <w:rPr>
          <w:rFonts w:ascii="Arial" w:eastAsia="宋体" w:hAnsi="Arial" w:cs="Arial"/>
          <w:color w:val="262626"/>
          <w:sz w:val="18"/>
          <w:szCs w:val="18"/>
        </w:rPr>
        <w:t xml:space="preserve">Interest expense in the preceding table is net of $95 million of interest </w:t>
      </w:r>
      <w:r>
        <w:rPr>
          <w:rFonts w:ascii="Arial" w:eastAsia="宋体" w:hAnsi="Arial" w:cs="Arial"/>
          <w:color w:val="262626"/>
          <w:sz w:val="18"/>
          <w:szCs w:val="18"/>
        </w:rPr>
        <w:t>capitalized in the third quarter of 2021 and $288 million in the first nine months of 2021 ($81 million in the third quarter of 2020 and $251 million in the first nine months of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996AD7" w14:paraId="39D980E0" w14:textId="77777777">
        <w:tc>
          <w:tcPr>
            <w:tcW w:w="50" w:type="pct"/>
            <w:shd w:val="clear" w:color="auto" w:fill="auto"/>
            <w:vAlign w:val="bottom"/>
          </w:tcPr>
          <w:p w14:paraId="39D980DA" w14:textId="77777777" w:rsidR="00996AD7" w:rsidRDefault="00996AD7">
            <w:pPr>
              <w:rPr>
                <w:rFonts w:ascii="宋体"/>
              </w:rPr>
            </w:pPr>
          </w:p>
        </w:tc>
        <w:tc>
          <w:tcPr>
            <w:tcW w:w="511" w:type="pct"/>
            <w:shd w:val="clear" w:color="auto" w:fill="auto"/>
            <w:vAlign w:val="bottom"/>
          </w:tcPr>
          <w:p w14:paraId="39D980DB" w14:textId="77777777" w:rsidR="00996AD7" w:rsidRDefault="00996AD7">
            <w:pPr>
              <w:rPr>
                <w:rFonts w:ascii="宋体"/>
              </w:rPr>
            </w:pPr>
          </w:p>
        </w:tc>
        <w:tc>
          <w:tcPr>
            <w:tcW w:w="5" w:type="pct"/>
            <w:shd w:val="clear" w:color="auto" w:fill="auto"/>
            <w:vAlign w:val="bottom"/>
          </w:tcPr>
          <w:p w14:paraId="39D980DC" w14:textId="77777777" w:rsidR="00996AD7" w:rsidRDefault="00996AD7">
            <w:pPr>
              <w:rPr>
                <w:rFonts w:ascii="宋体"/>
              </w:rPr>
            </w:pPr>
          </w:p>
        </w:tc>
        <w:tc>
          <w:tcPr>
            <w:tcW w:w="50" w:type="pct"/>
            <w:shd w:val="clear" w:color="auto" w:fill="auto"/>
            <w:vAlign w:val="bottom"/>
          </w:tcPr>
          <w:p w14:paraId="39D980DD" w14:textId="77777777" w:rsidR="00996AD7" w:rsidRDefault="00996AD7">
            <w:pPr>
              <w:rPr>
                <w:rFonts w:ascii="宋体"/>
              </w:rPr>
            </w:pPr>
          </w:p>
        </w:tc>
        <w:tc>
          <w:tcPr>
            <w:tcW w:w="4378" w:type="pct"/>
            <w:shd w:val="clear" w:color="auto" w:fill="auto"/>
            <w:vAlign w:val="bottom"/>
          </w:tcPr>
          <w:p w14:paraId="39D980DE" w14:textId="77777777" w:rsidR="00996AD7" w:rsidRDefault="00996AD7">
            <w:pPr>
              <w:rPr>
                <w:rFonts w:ascii="宋体"/>
              </w:rPr>
            </w:pPr>
          </w:p>
        </w:tc>
        <w:tc>
          <w:tcPr>
            <w:tcW w:w="5" w:type="pct"/>
            <w:shd w:val="clear" w:color="auto" w:fill="auto"/>
            <w:vAlign w:val="bottom"/>
          </w:tcPr>
          <w:p w14:paraId="39D980DF" w14:textId="77777777" w:rsidR="00996AD7" w:rsidRDefault="00996AD7">
            <w:pPr>
              <w:rPr>
                <w:rFonts w:ascii="宋体"/>
              </w:rPr>
            </w:pPr>
          </w:p>
        </w:tc>
      </w:tr>
      <w:tr w:rsidR="00996AD7" w14:paraId="39D980E3"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39D980E1" w14:textId="77777777" w:rsidR="00996AD7" w:rsidRDefault="00D96458">
            <w:pPr>
              <w:textAlignment w:val="bottom"/>
            </w:pPr>
            <w:r>
              <w:rPr>
                <w:rFonts w:ascii="Arial" w:eastAsia="宋体" w:hAnsi="Arial" w:cs="Arial"/>
                <w:color w:val="FFFFFF"/>
                <w:sz w:val="28"/>
                <w:szCs w:val="28"/>
              </w:rPr>
              <w:t xml:space="preserve">Note 6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80E2" w14:textId="77777777" w:rsidR="00996AD7" w:rsidRDefault="00D96458">
            <w:pPr>
              <w:textAlignment w:val="bottom"/>
            </w:pPr>
            <w:r>
              <w:rPr>
                <w:rFonts w:ascii="Arial" w:eastAsia="宋体" w:hAnsi="Arial" w:cs="Arial"/>
                <w:color w:val="0068B5"/>
                <w:sz w:val="28"/>
                <w:szCs w:val="28"/>
              </w:rPr>
              <w:t>Restructuring and Other Charges</w:t>
            </w:r>
          </w:p>
        </w:tc>
      </w:tr>
    </w:tbl>
    <w:p w14:paraId="39D980E4" w14:textId="77777777" w:rsidR="00996AD7" w:rsidRDefault="00D96458">
      <w:pPr>
        <w:spacing w:before="180" w:after="180"/>
      </w:pPr>
      <w:r>
        <w:rPr>
          <w:rFonts w:ascii="Arial" w:eastAsia="宋体" w:hAnsi="Arial" w:cs="Arial"/>
          <w:color w:val="262626"/>
          <w:sz w:val="18"/>
          <w:szCs w:val="18"/>
        </w:rPr>
        <w:t>A restructuring program was approved in the first quarter of 2020 to further align our workforce with our continuing investments in the business and to execute the planned divestiture of Home Gateway Platform, a division of CCG. These actions are substanti</w:t>
      </w:r>
      <w:r>
        <w:rPr>
          <w:rFonts w:ascii="Arial" w:eastAsia="宋体" w:hAnsi="Arial" w:cs="Arial"/>
          <w:color w:val="262626"/>
          <w:sz w:val="18"/>
          <w:szCs w:val="18"/>
        </w:rPr>
        <w:t xml:space="preserve">ally complete as of September 25, 2021. </w:t>
      </w:r>
    </w:p>
    <w:tbl>
      <w:tblPr>
        <w:tblW w:w="5000" w:type="pct"/>
        <w:tblCellMar>
          <w:top w:w="15" w:type="dxa"/>
          <w:left w:w="15" w:type="dxa"/>
          <w:bottom w:w="15" w:type="dxa"/>
          <w:right w:w="15" w:type="dxa"/>
        </w:tblCellMar>
        <w:tblLook w:val="04A0" w:firstRow="1" w:lastRow="0" w:firstColumn="1" w:lastColumn="0" w:noHBand="0" w:noVBand="1"/>
      </w:tblPr>
      <w:tblGrid>
        <w:gridCol w:w="38"/>
        <w:gridCol w:w="3962"/>
        <w:gridCol w:w="36"/>
        <w:gridCol w:w="36"/>
        <w:gridCol w:w="36"/>
        <w:gridCol w:w="36"/>
        <w:gridCol w:w="122"/>
        <w:gridCol w:w="745"/>
        <w:gridCol w:w="37"/>
        <w:gridCol w:w="36"/>
        <w:gridCol w:w="36"/>
        <w:gridCol w:w="36"/>
        <w:gridCol w:w="121"/>
        <w:gridCol w:w="819"/>
        <w:gridCol w:w="36"/>
        <w:gridCol w:w="36"/>
        <w:gridCol w:w="36"/>
        <w:gridCol w:w="36"/>
        <w:gridCol w:w="121"/>
        <w:gridCol w:w="819"/>
        <w:gridCol w:w="36"/>
        <w:gridCol w:w="36"/>
        <w:gridCol w:w="36"/>
        <w:gridCol w:w="36"/>
        <w:gridCol w:w="121"/>
        <w:gridCol w:w="819"/>
        <w:gridCol w:w="36"/>
        <w:gridCol w:w="36"/>
      </w:tblGrid>
      <w:tr w:rsidR="00996AD7" w14:paraId="39D98101" w14:textId="77777777">
        <w:tc>
          <w:tcPr>
            <w:tcW w:w="50" w:type="pct"/>
            <w:shd w:val="clear" w:color="auto" w:fill="auto"/>
            <w:vAlign w:val="bottom"/>
          </w:tcPr>
          <w:p w14:paraId="39D980E5" w14:textId="77777777" w:rsidR="00996AD7" w:rsidRDefault="00996AD7">
            <w:pPr>
              <w:rPr>
                <w:rFonts w:ascii="宋体"/>
              </w:rPr>
            </w:pPr>
          </w:p>
        </w:tc>
        <w:tc>
          <w:tcPr>
            <w:tcW w:w="2451" w:type="pct"/>
            <w:shd w:val="clear" w:color="auto" w:fill="auto"/>
            <w:vAlign w:val="bottom"/>
          </w:tcPr>
          <w:p w14:paraId="39D980E6" w14:textId="77777777" w:rsidR="00996AD7" w:rsidRDefault="00996AD7">
            <w:pPr>
              <w:rPr>
                <w:rFonts w:ascii="宋体"/>
              </w:rPr>
            </w:pPr>
          </w:p>
        </w:tc>
        <w:tc>
          <w:tcPr>
            <w:tcW w:w="5" w:type="pct"/>
            <w:shd w:val="clear" w:color="auto" w:fill="auto"/>
            <w:vAlign w:val="bottom"/>
          </w:tcPr>
          <w:p w14:paraId="39D980E7" w14:textId="77777777" w:rsidR="00996AD7" w:rsidRDefault="00996AD7">
            <w:pPr>
              <w:rPr>
                <w:rFonts w:ascii="宋体"/>
              </w:rPr>
            </w:pPr>
          </w:p>
        </w:tc>
        <w:tc>
          <w:tcPr>
            <w:tcW w:w="5" w:type="pct"/>
            <w:shd w:val="clear" w:color="auto" w:fill="auto"/>
            <w:vAlign w:val="bottom"/>
          </w:tcPr>
          <w:p w14:paraId="39D980E8" w14:textId="77777777" w:rsidR="00996AD7" w:rsidRDefault="00996AD7">
            <w:pPr>
              <w:rPr>
                <w:rFonts w:ascii="宋体"/>
              </w:rPr>
            </w:pPr>
          </w:p>
        </w:tc>
        <w:tc>
          <w:tcPr>
            <w:tcW w:w="24" w:type="pct"/>
            <w:shd w:val="clear" w:color="auto" w:fill="auto"/>
            <w:vAlign w:val="bottom"/>
          </w:tcPr>
          <w:p w14:paraId="39D980E9" w14:textId="77777777" w:rsidR="00996AD7" w:rsidRDefault="00996AD7">
            <w:pPr>
              <w:rPr>
                <w:rFonts w:ascii="宋体"/>
              </w:rPr>
            </w:pPr>
          </w:p>
        </w:tc>
        <w:tc>
          <w:tcPr>
            <w:tcW w:w="5" w:type="pct"/>
            <w:shd w:val="clear" w:color="auto" w:fill="auto"/>
            <w:vAlign w:val="bottom"/>
          </w:tcPr>
          <w:p w14:paraId="39D980EA" w14:textId="77777777" w:rsidR="00996AD7" w:rsidRDefault="00996AD7">
            <w:pPr>
              <w:rPr>
                <w:rFonts w:ascii="宋体"/>
              </w:rPr>
            </w:pPr>
          </w:p>
        </w:tc>
        <w:tc>
          <w:tcPr>
            <w:tcW w:w="50" w:type="pct"/>
            <w:shd w:val="clear" w:color="auto" w:fill="auto"/>
            <w:vAlign w:val="bottom"/>
          </w:tcPr>
          <w:p w14:paraId="39D980EB" w14:textId="77777777" w:rsidR="00996AD7" w:rsidRDefault="00996AD7">
            <w:pPr>
              <w:rPr>
                <w:rFonts w:ascii="宋体"/>
              </w:rPr>
            </w:pPr>
          </w:p>
        </w:tc>
        <w:tc>
          <w:tcPr>
            <w:tcW w:w="539" w:type="pct"/>
            <w:shd w:val="clear" w:color="auto" w:fill="auto"/>
            <w:vAlign w:val="bottom"/>
          </w:tcPr>
          <w:p w14:paraId="39D980EC" w14:textId="77777777" w:rsidR="00996AD7" w:rsidRDefault="00996AD7">
            <w:pPr>
              <w:rPr>
                <w:rFonts w:ascii="宋体"/>
              </w:rPr>
            </w:pPr>
          </w:p>
        </w:tc>
        <w:tc>
          <w:tcPr>
            <w:tcW w:w="5" w:type="pct"/>
            <w:shd w:val="clear" w:color="auto" w:fill="auto"/>
            <w:vAlign w:val="bottom"/>
          </w:tcPr>
          <w:p w14:paraId="39D980ED" w14:textId="77777777" w:rsidR="00996AD7" w:rsidRDefault="00996AD7">
            <w:pPr>
              <w:rPr>
                <w:rFonts w:ascii="宋体"/>
              </w:rPr>
            </w:pPr>
          </w:p>
        </w:tc>
        <w:tc>
          <w:tcPr>
            <w:tcW w:w="5" w:type="pct"/>
            <w:shd w:val="clear" w:color="auto" w:fill="auto"/>
            <w:vAlign w:val="bottom"/>
          </w:tcPr>
          <w:p w14:paraId="39D980EE" w14:textId="77777777" w:rsidR="00996AD7" w:rsidRDefault="00996AD7">
            <w:pPr>
              <w:rPr>
                <w:rFonts w:ascii="宋体"/>
              </w:rPr>
            </w:pPr>
          </w:p>
        </w:tc>
        <w:tc>
          <w:tcPr>
            <w:tcW w:w="17" w:type="pct"/>
            <w:shd w:val="clear" w:color="auto" w:fill="auto"/>
            <w:vAlign w:val="bottom"/>
          </w:tcPr>
          <w:p w14:paraId="39D980EF" w14:textId="77777777" w:rsidR="00996AD7" w:rsidRDefault="00996AD7">
            <w:pPr>
              <w:rPr>
                <w:rFonts w:ascii="宋体"/>
              </w:rPr>
            </w:pPr>
          </w:p>
        </w:tc>
        <w:tc>
          <w:tcPr>
            <w:tcW w:w="5" w:type="pct"/>
            <w:shd w:val="clear" w:color="auto" w:fill="auto"/>
            <w:vAlign w:val="bottom"/>
          </w:tcPr>
          <w:p w14:paraId="39D980F0" w14:textId="77777777" w:rsidR="00996AD7" w:rsidRDefault="00996AD7">
            <w:pPr>
              <w:rPr>
                <w:rFonts w:ascii="宋体"/>
              </w:rPr>
            </w:pPr>
          </w:p>
        </w:tc>
        <w:tc>
          <w:tcPr>
            <w:tcW w:w="50" w:type="pct"/>
            <w:shd w:val="clear" w:color="auto" w:fill="auto"/>
            <w:vAlign w:val="bottom"/>
          </w:tcPr>
          <w:p w14:paraId="39D980F1" w14:textId="77777777" w:rsidR="00996AD7" w:rsidRDefault="00996AD7">
            <w:pPr>
              <w:rPr>
                <w:rFonts w:ascii="宋体"/>
              </w:rPr>
            </w:pPr>
          </w:p>
        </w:tc>
        <w:tc>
          <w:tcPr>
            <w:tcW w:w="539" w:type="pct"/>
            <w:shd w:val="clear" w:color="auto" w:fill="auto"/>
            <w:vAlign w:val="bottom"/>
          </w:tcPr>
          <w:p w14:paraId="39D980F2" w14:textId="77777777" w:rsidR="00996AD7" w:rsidRDefault="00996AD7">
            <w:pPr>
              <w:rPr>
                <w:rFonts w:ascii="宋体"/>
              </w:rPr>
            </w:pPr>
          </w:p>
        </w:tc>
        <w:tc>
          <w:tcPr>
            <w:tcW w:w="5" w:type="pct"/>
            <w:shd w:val="clear" w:color="auto" w:fill="auto"/>
            <w:vAlign w:val="bottom"/>
          </w:tcPr>
          <w:p w14:paraId="39D980F3" w14:textId="77777777" w:rsidR="00996AD7" w:rsidRDefault="00996AD7">
            <w:pPr>
              <w:rPr>
                <w:rFonts w:ascii="宋体"/>
              </w:rPr>
            </w:pPr>
          </w:p>
        </w:tc>
        <w:tc>
          <w:tcPr>
            <w:tcW w:w="5" w:type="pct"/>
            <w:shd w:val="clear" w:color="auto" w:fill="auto"/>
            <w:vAlign w:val="bottom"/>
          </w:tcPr>
          <w:p w14:paraId="39D980F4" w14:textId="77777777" w:rsidR="00996AD7" w:rsidRDefault="00996AD7">
            <w:pPr>
              <w:rPr>
                <w:rFonts w:ascii="宋体"/>
              </w:rPr>
            </w:pPr>
          </w:p>
        </w:tc>
        <w:tc>
          <w:tcPr>
            <w:tcW w:w="17" w:type="pct"/>
            <w:shd w:val="clear" w:color="auto" w:fill="auto"/>
            <w:vAlign w:val="bottom"/>
          </w:tcPr>
          <w:p w14:paraId="39D980F5" w14:textId="77777777" w:rsidR="00996AD7" w:rsidRDefault="00996AD7">
            <w:pPr>
              <w:rPr>
                <w:rFonts w:ascii="宋体"/>
              </w:rPr>
            </w:pPr>
          </w:p>
        </w:tc>
        <w:tc>
          <w:tcPr>
            <w:tcW w:w="5" w:type="pct"/>
            <w:shd w:val="clear" w:color="auto" w:fill="auto"/>
            <w:vAlign w:val="bottom"/>
          </w:tcPr>
          <w:p w14:paraId="39D980F6" w14:textId="77777777" w:rsidR="00996AD7" w:rsidRDefault="00996AD7">
            <w:pPr>
              <w:rPr>
                <w:rFonts w:ascii="宋体"/>
              </w:rPr>
            </w:pPr>
          </w:p>
        </w:tc>
        <w:tc>
          <w:tcPr>
            <w:tcW w:w="50" w:type="pct"/>
            <w:shd w:val="clear" w:color="auto" w:fill="auto"/>
            <w:vAlign w:val="bottom"/>
          </w:tcPr>
          <w:p w14:paraId="39D980F7" w14:textId="77777777" w:rsidR="00996AD7" w:rsidRDefault="00996AD7">
            <w:pPr>
              <w:rPr>
                <w:rFonts w:ascii="宋体"/>
              </w:rPr>
            </w:pPr>
          </w:p>
        </w:tc>
        <w:tc>
          <w:tcPr>
            <w:tcW w:w="539" w:type="pct"/>
            <w:shd w:val="clear" w:color="auto" w:fill="auto"/>
            <w:vAlign w:val="bottom"/>
          </w:tcPr>
          <w:p w14:paraId="39D980F8" w14:textId="77777777" w:rsidR="00996AD7" w:rsidRDefault="00996AD7">
            <w:pPr>
              <w:rPr>
                <w:rFonts w:ascii="宋体"/>
              </w:rPr>
            </w:pPr>
          </w:p>
        </w:tc>
        <w:tc>
          <w:tcPr>
            <w:tcW w:w="5" w:type="pct"/>
            <w:shd w:val="clear" w:color="auto" w:fill="auto"/>
            <w:vAlign w:val="bottom"/>
          </w:tcPr>
          <w:p w14:paraId="39D980F9" w14:textId="77777777" w:rsidR="00996AD7" w:rsidRDefault="00996AD7">
            <w:pPr>
              <w:rPr>
                <w:rFonts w:ascii="宋体"/>
              </w:rPr>
            </w:pPr>
          </w:p>
        </w:tc>
        <w:tc>
          <w:tcPr>
            <w:tcW w:w="5" w:type="pct"/>
            <w:shd w:val="clear" w:color="auto" w:fill="auto"/>
            <w:vAlign w:val="bottom"/>
          </w:tcPr>
          <w:p w14:paraId="39D980FA" w14:textId="77777777" w:rsidR="00996AD7" w:rsidRDefault="00996AD7">
            <w:pPr>
              <w:rPr>
                <w:rFonts w:ascii="宋体"/>
              </w:rPr>
            </w:pPr>
          </w:p>
        </w:tc>
        <w:tc>
          <w:tcPr>
            <w:tcW w:w="17" w:type="pct"/>
            <w:shd w:val="clear" w:color="auto" w:fill="auto"/>
            <w:vAlign w:val="bottom"/>
          </w:tcPr>
          <w:p w14:paraId="39D980FB" w14:textId="77777777" w:rsidR="00996AD7" w:rsidRDefault="00996AD7">
            <w:pPr>
              <w:rPr>
                <w:rFonts w:ascii="宋体"/>
              </w:rPr>
            </w:pPr>
          </w:p>
        </w:tc>
        <w:tc>
          <w:tcPr>
            <w:tcW w:w="5" w:type="pct"/>
            <w:shd w:val="clear" w:color="auto" w:fill="auto"/>
            <w:vAlign w:val="bottom"/>
          </w:tcPr>
          <w:p w14:paraId="39D980FC" w14:textId="77777777" w:rsidR="00996AD7" w:rsidRDefault="00996AD7">
            <w:pPr>
              <w:rPr>
                <w:rFonts w:ascii="宋体"/>
              </w:rPr>
            </w:pPr>
          </w:p>
        </w:tc>
        <w:tc>
          <w:tcPr>
            <w:tcW w:w="50" w:type="pct"/>
            <w:shd w:val="clear" w:color="auto" w:fill="auto"/>
            <w:vAlign w:val="bottom"/>
          </w:tcPr>
          <w:p w14:paraId="39D980FD" w14:textId="77777777" w:rsidR="00996AD7" w:rsidRDefault="00996AD7">
            <w:pPr>
              <w:rPr>
                <w:rFonts w:ascii="宋体"/>
              </w:rPr>
            </w:pPr>
          </w:p>
        </w:tc>
        <w:tc>
          <w:tcPr>
            <w:tcW w:w="539" w:type="pct"/>
            <w:shd w:val="clear" w:color="auto" w:fill="auto"/>
            <w:vAlign w:val="bottom"/>
          </w:tcPr>
          <w:p w14:paraId="39D980FE" w14:textId="77777777" w:rsidR="00996AD7" w:rsidRDefault="00996AD7">
            <w:pPr>
              <w:rPr>
                <w:rFonts w:ascii="宋体"/>
              </w:rPr>
            </w:pPr>
          </w:p>
        </w:tc>
        <w:tc>
          <w:tcPr>
            <w:tcW w:w="5" w:type="pct"/>
            <w:shd w:val="clear" w:color="auto" w:fill="auto"/>
            <w:vAlign w:val="bottom"/>
          </w:tcPr>
          <w:p w14:paraId="39D980FF" w14:textId="77777777" w:rsidR="00996AD7" w:rsidRDefault="00996AD7">
            <w:pPr>
              <w:rPr>
                <w:rFonts w:ascii="宋体"/>
              </w:rPr>
            </w:pPr>
          </w:p>
        </w:tc>
        <w:tc>
          <w:tcPr>
            <w:tcW w:w="0" w:type="auto"/>
            <w:shd w:val="clear" w:color="auto" w:fill="auto"/>
            <w:vAlign w:val="bottom"/>
          </w:tcPr>
          <w:p w14:paraId="39D98100" w14:textId="77777777" w:rsidR="00996AD7" w:rsidRDefault="00996AD7">
            <w:pPr>
              <w:rPr>
                <w:rFonts w:ascii="宋体"/>
                <w:vanish/>
              </w:rPr>
            </w:pPr>
          </w:p>
        </w:tc>
      </w:tr>
      <w:tr w:rsidR="00996AD7" w14:paraId="39D98108" w14:textId="77777777">
        <w:tc>
          <w:tcPr>
            <w:tcW w:w="0" w:type="auto"/>
            <w:gridSpan w:val="3"/>
            <w:shd w:val="clear" w:color="auto" w:fill="auto"/>
            <w:tcMar>
              <w:top w:w="0" w:type="dxa"/>
              <w:left w:w="20" w:type="dxa"/>
              <w:bottom w:w="0" w:type="dxa"/>
              <w:right w:w="20" w:type="dxa"/>
            </w:tcMar>
            <w:vAlign w:val="bottom"/>
          </w:tcPr>
          <w:p w14:paraId="39D9810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103"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104" w14:textId="77777777" w:rsidR="00996AD7" w:rsidRDefault="00D964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39D98105"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106" w14:textId="77777777" w:rsidR="00996AD7" w:rsidRDefault="00D96458">
            <w:pPr>
              <w:jc w:val="center"/>
              <w:textAlignment w:val="bottom"/>
            </w:pPr>
            <w:r>
              <w:rPr>
                <w:rFonts w:ascii="Arial" w:eastAsia="宋体" w:hAnsi="Arial" w:cs="Arial"/>
                <w:b/>
                <w:bCs/>
                <w:color w:val="262626"/>
                <w:sz w:val="18"/>
                <w:szCs w:val="18"/>
              </w:rPr>
              <w:t>Nine Months Ended</w:t>
            </w:r>
          </w:p>
        </w:tc>
        <w:tc>
          <w:tcPr>
            <w:tcW w:w="0" w:type="auto"/>
            <w:shd w:val="clear" w:color="auto" w:fill="auto"/>
            <w:vAlign w:val="bottom"/>
          </w:tcPr>
          <w:p w14:paraId="39D98107" w14:textId="77777777" w:rsidR="00996AD7" w:rsidRDefault="00996AD7">
            <w:pPr>
              <w:rPr>
                <w:rFonts w:ascii="宋体"/>
                <w:vanish/>
              </w:rPr>
            </w:pPr>
          </w:p>
        </w:tc>
      </w:tr>
      <w:tr w:rsidR="00996AD7" w14:paraId="39D98113" w14:textId="77777777">
        <w:tc>
          <w:tcPr>
            <w:tcW w:w="0" w:type="auto"/>
            <w:gridSpan w:val="3"/>
            <w:shd w:val="clear" w:color="auto" w:fill="auto"/>
            <w:tcMar>
              <w:top w:w="40" w:type="dxa"/>
              <w:left w:w="20" w:type="dxa"/>
              <w:bottom w:w="40" w:type="dxa"/>
              <w:right w:w="20" w:type="dxa"/>
            </w:tcMar>
            <w:vAlign w:val="bottom"/>
          </w:tcPr>
          <w:p w14:paraId="39D98109"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10A"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10B"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10C"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10D"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gridSpan w:val="3"/>
            <w:shd w:val="clear" w:color="auto" w:fill="auto"/>
            <w:tcMar>
              <w:top w:w="0" w:type="dxa"/>
              <w:left w:w="20" w:type="dxa"/>
              <w:bottom w:w="0" w:type="dxa"/>
              <w:right w:w="20" w:type="dxa"/>
            </w:tcMar>
            <w:vAlign w:val="bottom"/>
          </w:tcPr>
          <w:p w14:paraId="39D9810E"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10F"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110"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111"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shd w:val="clear" w:color="auto" w:fill="auto"/>
            <w:vAlign w:val="bottom"/>
          </w:tcPr>
          <w:p w14:paraId="39D98112" w14:textId="77777777" w:rsidR="00996AD7" w:rsidRDefault="00996AD7">
            <w:pPr>
              <w:rPr>
                <w:rFonts w:ascii="宋体"/>
                <w:vanish/>
              </w:rPr>
            </w:pPr>
          </w:p>
        </w:tc>
      </w:tr>
      <w:tr w:rsidR="00996AD7" w14:paraId="39D98126"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8114" w14:textId="77777777" w:rsidR="00996AD7" w:rsidRDefault="00D96458">
            <w:pPr>
              <w:textAlignment w:val="top"/>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vAlign w:val="bottom"/>
          </w:tcPr>
          <w:p w14:paraId="39D98115"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116"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117" w14:textId="77777777" w:rsidR="00996AD7" w:rsidRDefault="00D96458">
            <w:pPr>
              <w:jc w:val="right"/>
              <w:textAlignment w:val="bottom"/>
            </w:pPr>
            <w:r>
              <w:rPr>
                <w:rFonts w:ascii="Arial" w:eastAsia="宋体" w:hAnsi="Arial" w:cs="Arial"/>
                <w:color w:val="0068B5"/>
                <w:sz w:val="18"/>
                <w:szCs w:val="18"/>
              </w:rPr>
              <w:t>21 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11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19"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11A"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11B" w14:textId="77777777" w:rsidR="00996AD7" w:rsidRDefault="00D96458">
            <w:pPr>
              <w:jc w:val="right"/>
              <w:textAlignment w:val="bottom"/>
            </w:pPr>
            <w:r>
              <w:rPr>
                <w:rFonts w:ascii="Arial" w:eastAsia="宋体" w:hAnsi="Arial" w:cs="Arial"/>
                <w:color w:val="262626"/>
                <w:sz w:val="18"/>
                <w:szCs w:val="18"/>
              </w:rPr>
              <w:t>(17)</w:t>
            </w:r>
          </w:p>
        </w:tc>
        <w:tc>
          <w:tcPr>
            <w:tcW w:w="0" w:type="auto"/>
            <w:tcBorders>
              <w:top w:val="single" w:sz="8" w:space="0" w:color="0068B5"/>
            </w:tcBorders>
            <w:shd w:val="clear" w:color="auto" w:fill="auto"/>
            <w:tcMar>
              <w:top w:w="40" w:type="dxa"/>
              <w:left w:w="0" w:type="dxa"/>
              <w:bottom w:w="40" w:type="dxa"/>
              <w:right w:w="20" w:type="dxa"/>
            </w:tcMar>
            <w:vAlign w:val="bottom"/>
          </w:tcPr>
          <w:p w14:paraId="39D9811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1D"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11E"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11F" w14:textId="77777777" w:rsidR="00996AD7" w:rsidRDefault="00D96458">
            <w:pPr>
              <w:jc w:val="right"/>
              <w:textAlignment w:val="bottom"/>
            </w:pPr>
            <w:r>
              <w:rPr>
                <w:rFonts w:ascii="Arial" w:eastAsia="宋体" w:hAnsi="Arial" w:cs="Arial"/>
                <w:color w:val="0068B5"/>
                <w:sz w:val="18"/>
                <w:szCs w:val="18"/>
              </w:rPr>
              <w:t>43 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12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21"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122"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123" w14:textId="77777777" w:rsidR="00996AD7" w:rsidRDefault="00D96458">
            <w:pPr>
              <w:jc w:val="right"/>
              <w:textAlignment w:val="bottom"/>
            </w:pPr>
            <w:r>
              <w:rPr>
                <w:rFonts w:ascii="Arial" w:eastAsia="宋体" w:hAnsi="Arial" w:cs="Arial"/>
                <w:color w:val="262626"/>
                <w:sz w:val="18"/>
                <w:szCs w:val="18"/>
              </w:rPr>
              <w:t>90 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124" w14:textId="77777777" w:rsidR="00996AD7" w:rsidRDefault="00996AD7">
            <w:pPr>
              <w:jc w:val="right"/>
              <w:rPr>
                <w:rFonts w:ascii="宋体"/>
              </w:rPr>
            </w:pPr>
          </w:p>
        </w:tc>
        <w:tc>
          <w:tcPr>
            <w:tcW w:w="0" w:type="auto"/>
            <w:shd w:val="clear" w:color="auto" w:fill="auto"/>
            <w:vAlign w:val="bottom"/>
          </w:tcPr>
          <w:p w14:paraId="39D98125" w14:textId="77777777" w:rsidR="00996AD7" w:rsidRDefault="00996AD7">
            <w:pPr>
              <w:rPr>
                <w:rFonts w:ascii="宋体"/>
                <w:vanish/>
              </w:rPr>
            </w:pPr>
          </w:p>
        </w:tc>
      </w:tr>
      <w:tr w:rsidR="00996AD7" w14:paraId="39D98131" w14:textId="77777777">
        <w:trPr>
          <w:hidden/>
        </w:trPr>
        <w:tc>
          <w:tcPr>
            <w:tcW w:w="0" w:type="auto"/>
            <w:gridSpan w:val="3"/>
            <w:shd w:val="clear" w:color="auto" w:fill="auto"/>
            <w:vAlign w:val="bottom"/>
          </w:tcPr>
          <w:p w14:paraId="39D98127" w14:textId="77777777" w:rsidR="00996AD7" w:rsidRDefault="00996AD7">
            <w:pPr>
              <w:rPr>
                <w:rFonts w:ascii="宋体"/>
                <w:vanish/>
              </w:rPr>
            </w:pPr>
          </w:p>
        </w:tc>
        <w:tc>
          <w:tcPr>
            <w:tcW w:w="0" w:type="auto"/>
            <w:gridSpan w:val="3"/>
            <w:shd w:val="clear" w:color="auto" w:fill="auto"/>
            <w:vAlign w:val="bottom"/>
          </w:tcPr>
          <w:p w14:paraId="39D98128" w14:textId="77777777" w:rsidR="00996AD7" w:rsidRDefault="00996AD7">
            <w:pPr>
              <w:rPr>
                <w:rFonts w:ascii="宋体"/>
                <w:vanish/>
              </w:rPr>
            </w:pPr>
          </w:p>
        </w:tc>
        <w:tc>
          <w:tcPr>
            <w:tcW w:w="0" w:type="auto"/>
            <w:gridSpan w:val="3"/>
            <w:shd w:val="clear" w:color="auto" w:fill="auto"/>
            <w:vAlign w:val="bottom"/>
          </w:tcPr>
          <w:p w14:paraId="39D98129" w14:textId="77777777" w:rsidR="00996AD7" w:rsidRDefault="00996AD7">
            <w:pPr>
              <w:rPr>
                <w:rFonts w:ascii="宋体"/>
                <w:vanish/>
              </w:rPr>
            </w:pPr>
          </w:p>
        </w:tc>
        <w:tc>
          <w:tcPr>
            <w:tcW w:w="0" w:type="auto"/>
            <w:gridSpan w:val="3"/>
            <w:shd w:val="clear" w:color="auto" w:fill="auto"/>
            <w:vAlign w:val="bottom"/>
          </w:tcPr>
          <w:p w14:paraId="39D9812A" w14:textId="77777777" w:rsidR="00996AD7" w:rsidRDefault="00996AD7">
            <w:pPr>
              <w:rPr>
                <w:rFonts w:ascii="宋体"/>
                <w:vanish/>
              </w:rPr>
            </w:pPr>
          </w:p>
        </w:tc>
        <w:tc>
          <w:tcPr>
            <w:tcW w:w="0" w:type="auto"/>
            <w:gridSpan w:val="3"/>
            <w:shd w:val="clear" w:color="auto" w:fill="auto"/>
            <w:vAlign w:val="bottom"/>
          </w:tcPr>
          <w:p w14:paraId="39D9812B" w14:textId="77777777" w:rsidR="00996AD7" w:rsidRDefault="00996AD7">
            <w:pPr>
              <w:rPr>
                <w:rFonts w:ascii="宋体"/>
                <w:vanish/>
              </w:rPr>
            </w:pPr>
          </w:p>
        </w:tc>
        <w:tc>
          <w:tcPr>
            <w:tcW w:w="0" w:type="auto"/>
            <w:gridSpan w:val="3"/>
            <w:shd w:val="clear" w:color="auto" w:fill="auto"/>
            <w:vAlign w:val="bottom"/>
          </w:tcPr>
          <w:p w14:paraId="39D9812C" w14:textId="77777777" w:rsidR="00996AD7" w:rsidRDefault="00996AD7">
            <w:pPr>
              <w:rPr>
                <w:rFonts w:ascii="宋体"/>
                <w:vanish/>
              </w:rPr>
            </w:pPr>
          </w:p>
        </w:tc>
        <w:tc>
          <w:tcPr>
            <w:tcW w:w="0" w:type="auto"/>
            <w:gridSpan w:val="3"/>
            <w:shd w:val="clear" w:color="auto" w:fill="auto"/>
            <w:vAlign w:val="bottom"/>
          </w:tcPr>
          <w:p w14:paraId="39D9812D" w14:textId="77777777" w:rsidR="00996AD7" w:rsidRDefault="00996AD7">
            <w:pPr>
              <w:rPr>
                <w:rFonts w:ascii="宋体"/>
                <w:vanish/>
              </w:rPr>
            </w:pPr>
          </w:p>
        </w:tc>
        <w:tc>
          <w:tcPr>
            <w:tcW w:w="0" w:type="auto"/>
            <w:gridSpan w:val="3"/>
            <w:shd w:val="clear" w:color="auto" w:fill="auto"/>
            <w:vAlign w:val="bottom"/>
          </w:tcPr>
          <w:p w14:paraId="39D9812E" w14:textId="77777777" w:rsidR="00996AD7" w:rsidRDefault="00996AD7">
            <w:pPr>
              <w:rPr>
                <w:rFonts w:ascii="宋体"/>
                <w:vanish/>
              </w:rPr>
            </w:pPr>
          </w:p>
        </w:tc>
        <w:tc>
          <w:tcPr>
            <w:tcW w:w="0" w:type="auto"/>
            <w:gridSpan w:val="3"/>
            <w:shd w:val="clear" w:color="auto" w:fill="auto"/>
            <w:vAlign w:val="bottom"/>
          </w:tcPr>
          <w:p w14:paraId="39D9812F" w14:textId="77777777" w:rsidR="00996AD7" w:rsidRDefault="00996AD7">
            <w:pPr>
              <w:rPr>
                <w:rFonts w:ascii="宋体"/>
                <w:vanish/>
              </w:rPr>
            </w:pPr>
          </w:p>
        </w:tc>
        <w:tc>
          <w:tcPr>
            <w:tcW w:w="0" w:type="auto"/>
            <w:shd w:val="clear" w:color="auto" w:fill="auto"/>
            <w:vAlign w:val="bottom"/>
          </w:tcPr>
          <w:p w14:paraId="39D98130" w14:textId="77777777" w:rsidR="00996AD7" w:rsidRDefault="00996AD7">
            <w:pPr>
              <w:rPr>
                <w:rFonts w:ascii="宋体"/>
                <w:vanish/>
              </w:rPr>
            </w:pPr>
          </w:p>
        </w:tc>
      </w:tr>
      <w:tr w:rsidR="00996AD7" w14:paraId="39D98140" w14:textId="77777777">
        <w:tc>
          <w:tcPr>
            <w:tcW w:w="0" w:type="auto"/>
            <w:gridSpan w:val="3"/>
            <w:shd w:val="clear" w:color="auto" w:fill="auto"/>
            <w:tcMar>
              <w:top w:w="40" w:type="dxa"/>
              <w:left w:w="20" w:type="dxa"/>
              <w:bottom w:w="40" w:type="dxa"/>
              <w:right w:w="20" w:type="dxa"/>
            </w:tcMar>
          </w:tcPr>
          <w:p w14:paraId="39D98132" w14:textId="77777777" w:rsidR="00996AD7" w:rsidRDefault="00D96458">
            <w:pPr>
              <w:textAlignment w:val="top"/>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39D9813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34" w14:textId="77777777" w:rsidR="00996AD7" w:rsidRDefault="00D96458">
            <w:pPr>
              <w:jc w:val="right"/>
              <w:textAlignment w:val="bottom"/>
            </w:pPr>
            <w:r>
              <w:rPr>
                <w:rFonts w:ascii="Arial" w:eastAsia="宋体" w:hAnsi="Arial" w:cs="Arial"/>
                <w:color w:val="0068B5"/>
                <w:sz w:val="18"/>
                <w:szCs w:val="18"/>
              </w:rPr>
              <w:t>16 </w:t>
            </w:r>
          </w:p>
        </w:tc>
        <w:tc>
          <w:tcPr>
            <w:tcW w:w="0" w:type="auto"/>
            <w:shd w:val="clear" w:color="auto" w:fill="auto"/>
            <w:tcMar>
              <w:top w:w="40" w:type="dxa"/>
              <w:left w:w="0" w:type="dxa"/>
              <w:bottom w:w="40" w:type="dxa"/>
              <w:right w:w="20" w:type="dxa"/>
            </w:tcMar>
            <w:vAlign w:val="bottom"/>
          </w:tcPr>
          <w:p w14:paraId="39D9813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3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37" w14:textId="77777777" w:rsidR="00996AD7" w:rsidRDefault="00D96458">
            <w:pPr>
              <w:jc w:val="right"/>
              <w:textAlignment w:val="bottom"/>
            </w:pPr>
            <w:r>
              <w:rPr>
                <w:rFonts w:ascii="Arial" w:eastAsia="宋体" w:hAnsi="Arial" w:cs="Arial"/>
                <w:color w:val="262626"/>
                <w:sz w:val="18"/>
                <w:szCs w:val="18"/>
              </w:rPr>
              <w:t>(2)</w:t>
            </w:r>
          </w:p>
        </w:tc>
        <w:tc>
          <w:tcPr>
            <w:tcW w:w="0" w:type="auto"/>
            <w:shd w:val="clear" w:color="auto" w:fill="auto"/>
            <w:tcMar>
              <w:top w:w="40" w:type="dxa"/>
              <w:left w:w="0" w:type="dxa"/>
              <w:bottom w:w="40" w:type="dxa"/>
              <w:right w:w="20" w:type="dxa"/>
            </w:tcMar>
            <w:vAlign w:val="bottom"/>
          </w:tcPr>
          <w:p w14:paraId="39D9813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3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3A" w14:textId="77777777" w:rsidR="00996AD7" w:rsidRDefault="00D96458">
            <w:pPr>
              <w:jc w:val="right"/>
              <w:textAlignment w:val="bottom"/>
            </w:pPr>
            <w:r>
              <w:rPr>
                <w:rFonts w:ascii="Arial" w:eastAsia="宋体" w:hAnsi="Arial" w:cs="Arial"/>
                <w:color w:val="0068B5"/>
                <w:sz w:val="18"/>
                <w:szCs w:val="18"/>
              </w:rPr>
              <w:t>2,267 </w:t>
            </w:r>
          </w:p>
        </w:tc>
        <w:tc>
          <w:tcPr>
            <w:tcW w:w="0" w:type="auto"/>
            <w:shd w:val="clear" w:color="auto" w:fill="auto"/>
            <w:tcMar>
              <w:top w:w="40" w:type="dxa"/>
              <w:left w:w="0" w:type="dxa"/>
              <w:bottom w:w="40" w:type="dxa"/>
              <w:right w:w="20" w:type="dxa"/>
            </w:tcMar>
            <w:vAlign w:val="bottom"/>
          </w:tcPr>
          <w:p w14:paraId="39D9813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3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3D" w14:textId="77777777" w:rsidR="00996AD7" w:rsidRDefault="00D96458">
            <w:pPr>
              <w:jc w:val="right"/>
              <w:textAlignment w:val="bottom"/>
            </w:pPr>
            <w:r>
              <w:rPr>
                <w:rFonts w:ascii="Arial" w:eastAsia="宋体" w:hAnsi="Arial" w:cs="Arial"/>
                <w:color w:val="262626"/>
                <w:sz w:val="18"/>
                <w:szCs w:val="18"/>
              </w:rPr>
              <w:t>54 </w:t>
            </w:r>
          </w:p>
        </w:tc>
        <w:tc>
          <w:tcPr>
            <w:tcW w:w="0" w:type="auto"/>
            <w:shd w:val="clear" w:color="auto" w:fill="auto"/>
            <w:tcMar>
              <w:top w:w="40" w:type="dxa"/>
              <w:left w:w="0" w:type="dxa"/>
              <w:bottom w:w="40" w:type="dxa"/>
              <w:right w:w="20" w:type="dxa"/>
            </w:tcMar>
            <w:vAlign w:val="bottom"/>
          </w:tcPr>
          <w:p w14:paraId="39D9813E" w14:textId="77777777" w:rsidR="00996AD7" w:rsidRDefault="00996AD7">
            <w:pPr>
              <w:jc w:val="right"/>
              <w:rPr>
                <w:rFonts w:ascii="宋体"/>
              </w:rPr>
            </w:pPr>
          </w:p>
        </w:tc>
        <w:tc>
          <w:tcPr>
            <w:tcW w:w="0" w:type="auto"/>
            <w:shd w:val="clear" w:color="auto" w:fill="auto"/>
            <w:vAlign w:val="bottom"/>
          </w:tcPr>
          <w:p w14:paraId="39D9813F" w14:textId="77777777" w:rsidR="00996AD7" w:rsidRDefault="00996AD7">
            <w:pPr>
              <w:rPr>
                <w:rFonts w:ascii="宋体"/>
                <w:vanish/>
              </w:rPr>
            </w:pPr>
          </w:p>
        </w:tc>
      </w:tr>
      <w:tr w:rsidR="00996AD7" w14:paraId="39D9814F" w14:textId="77777777">
        <w:tc>
          <w:tcPr>
            <w:tcW w:w="0" w:type="auto"/>
            <w:gridSpan w:val="3"/>
            <w:shd w:val="clear" w:color="auto" w:fill="auto"/>
            <w:tcMar>
              <w:top w:w="40" w:type="dxa"/>
              <w:left w:w="20" w:type="dxa"/>
              <w:bottom w:w="40" w:type="dxa"/>
              <w:right w:w="20" w:type="dxa"/>
            </w:tcMar>
          </w:tcPr>
          <w:p w14:paraId="39D98141" w14:textId="77777777" w:rsidR="00996AD7" w:rsidRDefault="00D96458">
            <w:pPr>
              <w:textAlignment w:val="top"/>
            </w:pPr>
            <w:r>
              <w:rPr>
                <w:rFonts w:ascii="Arial" w:eastAsia="宋体" w:hAnsi="Arial" w:cs="Arial"/>
                <w:color w:val="262626"/>
                <w:sz w:val="18"/>
                <w:szCs w:val="18"/>
              </w:rPr>
              <w:t>Asset impairment charges</w:t>
            </w:r>
          </w:p>
        </w:tc>
        <w:tc>
          <w:tcPr>
            <w:tcW w:w="0" w:type="auto"/>
            <w:gridSpan w:val="3"/>
            <w:shd w:val="clear" w:color="auto" w:fill="auto"/>
            <w:tcMar>
              <w:top w:w="0" w:type="dxa"/>
              <w:left w:w="20" w:type="dxa"/>
              <w:bottom w:w="0" w:type="dxa"/>
              <w:right w:w="20" w:type="dxa"/>
            </w:tcMar>
            <w:vAlign w:val="bottom"/>
          </w:tcPr>
          <w:p w14:paraId="39D9814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43" w14:textId="77777777" w:rsidR="00996AD7" w:rsidRDefault="00D96458">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39D9814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4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46" w14:textId="77777777" w:rsidR="00996AD7" w:rsidRDefault="00D96458">
            <w:pPr>
              <w:jc w:val="right"/>
              <w:textAlignment w:val="bottom"/>
            </w:pPr>
            <w:r>
              <w:rPr>
                <w:rFonts w:ascii="Arial" w:eastAsia="宋体" w:hAnsi="Arial" w:cs="Arial"/>
                <w:color w:val="262626"/>
                <w:sz w:val="18"/>
                <w:szCs w:val="18"/>
              </w:rPr>
              <w:t>(6)</w:t>
            </w:r>
          </w:p>
        </w:tc>
        <w:tc>
          <w:tcPr>
            <w:tcW w:w="0" w:type="auto"/>
            <w:shd w:val="clear" w:color="auto" w:fill="auto"/>
            <w:tcMar>
              <w:top w:w="40" w:type="dxa"/>
              <w:left w:w="0" w:type="dxa"/>
              <w:bottom w:w="40" w:type="dxa"/>
              <w:right w:w="20" w:type="dxa"/>
            </w:tcMar>
            <w:vAlign w:val="bottom"/>
          </w:tcPr>
          <w:p w14:paraId="39D9814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4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49" w14:textId="77777777" w:rsidR="00996AD7" w:rsidRDefault="00D96458">
            <w:pPr>
              <w:jc w:val="right"/>
              <w:textAlignment w:val="bottom"/>
            </w:pPr>
            <w:r>
              <w:rPr>
                <w:rFonts w:ascii="Arial" w:eastAsia="宋体" w:hAnsi="Arial" w:cs="Arial"/>
                <w:color w:val="0068B5"/>
                <w:sz w:val="18"/>
                <w:szCs w:val="18"/>
              </w:rPr>
              <w:t>287 </w:t>
            </w:r>
          </w:p>
        </w:tc>
        <w:tc>
          <w:tcPr>
            <w:tcW w:w="0" w:type="auto"/>
            <w:shd w:val="clear" w:color="auto" w:fill="auto"/>
            <w:tcMar>
              <w:top w:w="40" w:type="dxa"/>
              <w:left w:w="0" w:type="dxa"/>
              <w:bottom w:w="40" w:type="dxa"/>
              <w:right w:w="20" w:type="dxa"/>
            </w:tcMar>
            <w:vAlign w:val="bottom"/>
          </w:tcPr>
          <w:p w14:paraId="39D9814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4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4C" w14:textId="77777777" w:rsidR="00996AD7" w:rsidRDefault="00D96458">
            <w:pPr>
              <w:jc w:val="right"/>
              <w:textAlignment w:val="bottom"/>
            </w:pPr>
            <w:r>
              <w:rPr>
                <w:rFonts w:ascii="Arial" w:eastAsia="宋体" w:hAnsi="Arial" w:cs="Arial"/>
                <w:color w:val="262626"/>
                <w:sz w:val="18"/>
                <w:szCs w:val="18"/>
              </w:rPr>
              <w:t>2 </w:t>
            </w:r>
          </w:p>
        </w:tc>
        <w:tc>
          <w:tcPr>
            <w:tcW w:w="0" w:type="auto"/>
            <w:shd w:val="clear" w:color="auto" w:fill="auto"/>
            <w:tcMar>
              <w:top w:w="40" w:type="dxa"/>
              <w:left w:w="0" w:type="dxa"/>
              <w:bottom w:w="40" w:type="dxa"/>
              <w:right w:w="20" w:type="dxa"/>
            </w:tcMar>
            <w:vAlign w:val="bottom"/>
          </w:tcPr>
          <w:p w14:paraId="39D9814D" w14:textId="77777777" w:rsidR="00996AD7" w:rsidRDefault="00996AD7">
            <w:pPr>
              <w:jc w:val="right"/>
              <w:rPr>
                <w:rFonts w:ascii="宋体"/>
              </w:rPr>
            </w:pPr>
          </w:p>
        </w:tc>
        <w:tc>
          <w:tcPr>
            <w:tcW w:w="0" w:type="auto"/>
            <w:shd w:val="clear" w:color="auto" w:fill="auto"/>
            <w:vAlign w:val="bottom"/>
          </w:tcPr>
          <w:p w14:paraId="39D9814E" w14:textId="77777777" w:rsidR="00996AD7" w:rsidRDefault="00996AD7">
            <w:pPr>
              <w:rPr>
                <w:rFonts w:ascii="宋体"/>
                <w:vanish/>
              </w:rPr>
            </w:pPr>
          </w:p>
        </w:tc>
      </w:tr>
      <w:tr w:rsidR="00996AD7" w14:paraId="39D98162" w14:textId="77777777">
        <w:tc>
          <w:tcPr>
            <w:tcW w:w="0" w:type="auto"/>
            <w:gridSpan w:val="3"/>
            <w:shd w:val="clear" w:color="auto" w:fill="auto"/>
            <w:tcMar>
              <w:top w:w="40" w:type="dxa"/>
              <w:left w:w="20" w:type="dxa"/>
              <w:bottom w:w="40" w:type="dxa"/>
              <w:right w:w="20" w:type="dxa"/>
            </w:tcMar>
          </w:tcPr>
          <w:p w14:paraId="39D98150" w14:textId="77777777" w:rsidR="00996AD7" w:rsidRDefault="00D96458">
            <w:pPr>
              <w:textAlignment w:val="top"/>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39D98151"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152"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153" w14:textId="77777777" w:rsidR="00996AD7" w:rsidRDefault="00D96458">
            <w:pPr>
              <w:jc w:val="right"/>
              <w:textAlignment w:val="bottom"/>
            </w:pPr>
            <w:r>
              <w:rPr>
                <w:rFonts w:ascii="Arial" w:eastAsia="宋体" w:hAnsi="Arial" w:cs="Arial"/>
                <w:b/>
                <w:bCs/>
                <w:color w:val="0068B5"/>
                <w:sz w:val="18"/>
                <w:szCs w:val="18"/>
              </w:rPr>
              <w:t>42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15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55"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156"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157" w14:textId="77777777" w:rsidR="00996AD7" w:rsidRDefault="00D96458">
            <w:pPr>
              <w:jc w:val="right"/>
              <w:textAlignment w:val="bottom"/>
            </w:pPr>
            <w:r>
              <w:rPr>
                <w:rFonts w:ascii="Arial" w:eastAsia="宋体" w:hAnsi="Arial" w:cs="Arial"/>
                <w:b/>
                <w:bCs/>
                <w:color w:val="262626"/>
                <w:sz w:val="18"/>
                <w:szCs w:val="18"/>
              </w:rPr>
              <w:t>(25)</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15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59"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15A"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15B" w14:textId="77777777" w:rsidR="00996AD7" w:rsidRDefault="00D96458">
            <w:pPr>
              <w:jc w:val="right"/>
              <w:textAlignment w:val="bottom"/>
            </w:pPr>
            <w:r>
              <w:rPr>
                <w:rFonts w:ascii="Arial" w:eastAsia="宋体" w:hAnsi="Arial" w:cs="Arial"/>
                <w:b/>
                <w:bCs/>
                <w:color w:val="0068B5"/>
                <w:sz w:val="18"/>
                <w:szCs w:val="18"/>
              </w:rPr>
              <w:t>2,597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15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5D"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15E"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15F" w14:textId="77777777" w:rsidR="00996AD7" w:rsidRDefault="00D96458">
            <w:pPr>
              <w:jc w:val="right"/>
              <w:textAlignment w:val="bottom"/>
            </w:pPr>
            <w:r>
              <w:rPr>
                <w:rFonts w:ascii="Arial" w:eastAsia="宋体" w:hAnsi="Arial" w:cs="Arial"/>
                <w:b/>
                <w:bCs/>
                <w:color w:val="262626"/>
                <w:sz w:val="18"/>
                <w:szCs w:val="18"/>
              </w:rPr>
              <w:t>146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160" w14:textId="77777777" w:rsidR="00996AD7" w:rsidRDefault="00996AD7">
            <w:pPr>
              <w:jc w:val="right"/>
              <w:rPr>
                <w:rFonts w:ascii="宋体"/>
              </w:rPr>
            </w:pPr>
          </w:p>
        </w:tc>
        <w:tc>
          <w:tcPr>
            <w:tcW w:w="0" w:type="auto"/>
            <w:shd w:val="clear" w:color="auto" w:fill="auto"/>
            <w:vAlign w:val="bottom"/>
          </w:tcPr>
          <w:p w14:paraId="39D98161" w14:textId="77777777" w:rsidR="00996AD7" w:rsidRDefault="00996AD7">
            <w:pPr>
              <w:rPr>
                <w:rFonts w:ascii="宋体"/>
                <w:vanish/>
              </w:rPr>
            </w:pPr>
          </w:p>
        </w:tc>
      </w:tr>
    </w:tbl>
    <w:p w14:paraId="39D98163" w14:textId="77777777" w:rsidR="00996AD7" w:rsidRDefault="00D96458">
      <w:pPr>
        <w:spacing w:before="180" w:after="180"/>
      </w:pPr>
      <w:r>
        <w:rPr>
          <w:rFonts w:ascii="Arial" w:eastAsia="宋体" w:hAnsi="Arial" w:cs="Arial"/>
          <w:color w:val="262626"/>
          <w:sz w:val="18"/>
          <w:szCs w:val="18"/>
        </w:rPr>
        <w:t>Litigation charges and other includes a charge of $2.2 billion in the first quarter of 20</w:t>
      </w:r>
      <w:r>
        <w:rPr>
          <w:rFonts w:ascii="Arial" w:eastAsia="宋体" w:hAnsi="Arial" w:cs="Arial"/>
          <w:color w:val="262626"/>
          <w:sz w:val="18"/>
          <w:szCs w:val="18"/>
        </w:rPr>
        <w:t xml:space="preserve">21 related to the VLSI litigation, which is recorded as a Corporate charge in the "all other" category presented in "Note 2: Operating Segments" within Notes to Consolidated Condensed Financial Statements. Refer to "Note 13: Contingencies" within Notes to </w:t>
      </w:r>
      <w:r>
        <w:rPr>
          <w:rFonts w:ascii="Arial" w:eastAsia="宋体" w:hAnsi="Arial" w:cs="Arial"/>
          <w:color w:val="262626"/>
          <w:sz w:val="18"/>
          <w:szCs w:val="18"/>
        </w:rPr>
        <w:t>Consolidated Condensed Financial Statements for further information on legal proceedings related to the VLSI litigation.</w:t>
      </w:r>
    </w:p>
    <w:p w14:paraId="39D98164" w14:textId="77777777" w:rsidR="00996AD7" w:rsidRDefault="00D96458">
      <w:pPr>
        <w:spacing w:after="180"/>
      </w:pPr>
      <w:r>
        <w:rPr>
          <w:rFonts w:ascii="Arial" w:eastAsia="宋体" w:hAnsi="Arial" w:cs="Arial"/>
          <w:color w:val="262626"/>
          <w:sz w:val="18"/>
          <w:szCs w:val="18"/>
        </w:rPr>
        <w:t>Asset impairment charges includes impairments related to the shutdown in the second quarter of 2021 of two of our non-strategic busines</w:t>
      </w:r>
      <w:r>
        <w:rPr>
          <w:rFonts w:ascii="Arial" w:eastAsia="宋体" w:hAnsi="Arial" w:cs="Arial"/>
          <w:color w:val="262626"/>
          <w:sz w:val="18"/>
          <w:szCs w:val="18"/>
        </w:rPr>
        <w:t>ses, the results of which are included in the “all other” category presented in “Note 2: Operating Segments” within Notes to Consolidated Condensed Financial Statements. The goodwill related to these businesses was impaired, resulting in a charge of $237 m</w:t>
      </w:r>
      <w:r>
        <w:rPr>
          <w:rFonts w:ascii="Arial" w:eastAsia="宋体" w:hAnsi="Arial" w:cs="Arial"/>
          <w:color w:val="262626"/>
          <w:sz w:val="18"/>
          <w:szCs w:val="18"/>
        </w:rPr>
        <w:t>illion recognized in the second quarter of 2021 in the “all other” category along with other impairment charges related to these businesses.</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996AD7" w14:paraId="39D9816B" w14:textId="77777777">
        <w:tc>
          <w:tcPr>
            <w:tcW w:w="50" w:type="pct"/>
            <w:shd w:val="clear" w:color="auto" w:fill="auto"/>
            <w:vAlign w:val="bottom"/>
          </w:tcPr>
          <w:p w14:paraId="39D98165" w14:textId="77777777" w:rsidR="00996AD7" w:rsidRDefault="00996AD7">
            <w:pPr>
              <w:rPr>
                <w:rFonts w:ascii="宋体"/>
              </w:rPr>
            </w:pPr>
          </w:p>
        </w:tc>
        <w:tc>
          <w:tcPr>
            <w:tcW w:w="511" w:type="pct"/>
            <w:shd w:val="clear" w:color="auto" w:fill="auto"/>
            <w:vAlign w:val="bottom"/>
          </w:tcPr>
          <w:p w14:paraId="39D98166" w14:textId="77777777" w:rsidR="00996AD7" w:rsidRDefault="00996AD7">
            <w:pPr>
              <w:rPr>
                <w:rFonts w:ascii="宋体"/>
              </w:rPr>
            </w:pPr>
          </w:p>
        </w:tc>
        <w:tc>
          <w:tcPr>
            <w:tcW w:w="5" w:type="pct"/>
            <w:shd w:val="clear" w:color="auto" w:fill="auto"/>
            <w:vAlign w:val="bottom"/>
          </w:tcPr>
          <w:p w14:paraId="39D98167" w14:textId="77777777" w:rsidR="00996AD7" w:rsidRDefault="00996AD7">
            <w:pPr>
              <w:rPr>
                <w:rFonts w:ascii="宋体"/>
              </w:rPr>
            </w:pPr>
          </w:p>
        </w:tc>
        <w:tc>
          <w:tcPr>
            <w:tcW w:w="50" w:type="pct"/>
            <w:shd w:val="clear" w:color="auto" w:fill="auto"/>
            <w:vAlign w:val="bottom"/>
          </w:tcPr>
          <w:p w14:paraId="39D98168" w14:textId="77777777" w:rsidR="00996AD7" w:rsidRDefault="00996AD7">
            <w:pPr>
              <w:rPr>
                <w:rFonts w:ascii="宋体"/>
              </w:rPr>
            </w:pPr>
          </w:p>
        </w:tc>
        <w:tc>
          <w:tcPr>
            <w:tcW w:w="4378" w:type="pct"/>
            <w:shd w:val="clear" w:color="auto" w:fill="auto"/>
            <w:vAlign w:val="bottom"/>
          </w:tcPr>
          <w:p w14:paraId="39D98169" w14:textId="77777777" w:rsidR="00996AD7" w:rsidRDefault="00996AD7">
            <w:pPr>
              <w:rPr>
                <w:rFonts w:ascii="宋体"/>
              </w:rPr>
            </w:pPr>
          </w:p>
        </w:tc>
        <w:tc>
          <w:tcPr>
            <w:tcW w:w="5" w:type="pct"/>
            <w:shd w:val="clear" w:color="auto" w:fill="auto"/>
            <w:vAlign w:val="bottom"/>
          </w:tcPr>
          <w:p w14:paraId="39D9816A" w14:textId="77777777" w:rsidR="00996AD7" w:rsidRDefault="00996AD7">
            <w:pPr>
              <w:rPr>
                <w:rFonts w:ascii="宋体"/>
              </w:rPr>
            </w:pPr>
          </w:p>
        </w:tc>
      </w:tr>
      <w:tr w:rsidR="00996AD7" w14:paraId="39D9816E"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39D9816C" w14:textId="77777777" w:rsidR="00996AD7" w:rsidRDefault="00D96458">
            <w:pPr>
              <w:textAlignment w:val="bottom"/>
            </w:pPr>
            <w:r>
              <w:rPr>
                <w:rFonts w:ascii="Arial" w:eastAsia="宋体" w:hAnsi="Arial" w:cs="Arial"/>
                <w:color w:val="FFFFFF"/>
                <w:sz w:val="28"/>
                <w:szCs w:val="28"/>
              </w:rPr>
              <w:t xml:space="preserve">Note 7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816D" w14:textId="77777777" w:rsidR="00996AD7" w:rsidRDefault="00D96458">
            <w:pPr>
              <w:textAlignment w:val="bottom"/>
            </w:pPr>
            <w:r>
              <w:rPr>
                <w:rFonts w:ascii="Arial" w:eastAsia="宋体" w:hAnsi="Arial" w:cs="Arial"/>
                <w:color w:val="0068B5"/>
                <w:sz w:val="28"/>
                <w:szCs w:val="28"/>
              </w:rPr>
              <w:t>Investments</w:t>
            </w:r>
          </w:p>
        </w:tc>
      </w:tr>
    </w:tbl>
    <w:p w14:paraId="39D9816F" w14:textId="77777777" w:rsidR="00996AD7" w:rsidRDefault="00D96458">
      <w:pPr>
        <w:spacing w:before="180" w:after="180"/>
      </w:pPr>
      <w:r>
        <w:rPr>
          <w:rFonts w:ascii="Arial" w:eastAsia="宋体" w:hAnsi="Arial" w:cs="Arial"/>
          <w:color w:val="0068B5"/>
        </w:rPr>
        <w:t>Debt Investments</w:t>
      </w:r>
    </w:p>
    <w:p w14:paraId="39D98170" w14:textId="77777777" w:rsidR="00996AD7" w:rsidRDefault="00D96458">
      <w:pPr>
        <w:spacing w:after="120"/>
      </w:pPr>
      <w:r>
        <w:rPr>
          <w:rFonts w:ascii="Arial" w:eastAsia="宋体" w:hAnsi="Arial" w:cs="Arial"/>
          <w:color w:val="0068B5"/>
          <w:sz w:val="20"/>
          <w:szCs w:val="20"/>
        </w:rPr>
        <w:t>Trading Assets</w:t>
      </w:r>
    </w:p>
    <w:p w14:paraId="39D98171" w14:textId="77777777" w:rsidR="00996AD7" w:rsidRDefault="00D96458">
      <w:pPr>
        <w:spacing w:after="180"/>
      </w:pPr>
      <w:r>
        <w:rPr>
          <w:rFonts w:ascii="Arial" w:eastAsia="宋体" w:hAnsi="Arial" w:cs="Arial"/>
          <w:color w:val="262626"/>
          <w:sz w:val="18"/>
          <w:szCs w:val="18"/>
        </w:rPr>
        <w:t xml:space="preserve">For trading assets still held at the reporting date we recorded net losses of $144 million in the third quarter of 2021 and $329 million in the first nine months of 2021 ($205 million of net gains in the third quarter of 2020 and $347 million of net gains </w:t>
      </w:r>
      <w:r>
        <w:rPr>
          <w:rFonts w:ascii="Arial" w:eastAsia="宋体" w:hAnsi="Arial" w:cs="Arial"/>
          <w:color w:val="262626"/>
          <w:sz w:val="18"/>
          <w:szCs w:val="18"/>
        </w:rPr>
        <w:t>in the first nine months of 2020). Net gains on the related derivatives were $156 million in the third quarter of 2021 and $346 million in the first nine months of 2021 ($163 million of net losses in the third quarter of 2020 and $334 million of net losses</w:t>
      </w:r>
      <w:r>
        <w:rPr>
          <w:rFonts w:ascii="Arial" w:eastAsia="宋体" w:hAnsi="Arial" w:cs="Arial"/>
          <w:color w:val="262626"/>
          <w:sz w:val="18"/>
          <w:szCs w:val="18"/>
        </w:rPr>
        <w:t xml:space="preserve"> in the first nine months of 2020). </w:t>
      </w:r>
    </w:p>
    <w:p w14:paraId="39D98172" w14:textId="77777777" w:rsidR="00996AD7" w:rsidRDefault="00D96458">
      <w:pPr>
        <w:spacing w:after="120"/>
      </w:pPr>
      <w:r>
        <w:rPr>
          <w:rFonts w:ascii="Arial" w:eastAsia="宋体" w:hAnsi="Arial" w:cs="Arial"/>
          <w:color w:val="0068B5"/>
          <w:sz w:val="20"/>
          <w:szCs w:val="20"/>
        </w:rPr>
        <w:t>Available-for-Sale Debt Investments</w:t>
      </w:r>
    </w:p>
    <w:p w14:paraId="39D98173" w14:textId="77777777" w:rsidR="00996AD7" w:rsidRDefault="00D96458">
      <w:pPr>
        <w:spacing w:after="180"/>
      </w:pPr>
      <w:r>
        <w:rPr>
          <w:rFonts w:ascii="Arial" w:eastAsia="宋体" w:hAnsi="Arial" w:cs="Arial"/>
          <w:color w:val="262626"/>
          <w:sz w:val="18"/>
          <w:szCs w:val="18"/>
        </w:rPr>
        <w:t>Available-for-sale investments include corporate debt, government debt, and financial institution instruments. Government debt includes instruments such as non-U.S. government bonds a</w:t>
      </w:r>
      <w:r>
        <w:rPr>
          <w:rFonts w:ascii="Arial" w:eastAsia="宋体" w:hAnsi="Arial" w:cs="Arial"/>
          <w:color w:val="262626"/>
          <w:sz w:val="18"/>
          <w:szCs w:val="18"/>
        </w:rPr>
        <w:t>nd U.S. agency securities. Financial institution instruments include instruments issued or managed by financial institutions in various forms, such as commercial paper, fixed- and floating-rate bonds, money market fund deposits, and time deposits. As of Se</w:t>
      </w:r>
      <w:r>
        <w:rPr>
          <w:rFonts w:ascii="Arial" w:eastAsia="宋体" w:hAnsi="Arial" w:cs="Arial"/>
          <w:color w:val="262626"/>
          <w:sz w:val="18"/>
          <w:szCs w:val="18"/>
        </w:rPr>
        <w:t xml:space="preserve">ptember 25, 2021 and December 26, 2020, </w:t>
      </w:r>
      <w:r>
        <w:rPr>
          <w:rFonts w:ascii="Arial" w:eastAsia="宋体" w:hAnsi="Arial" w:cs="Arial"/>
          <w:color w:val="000000"/>
          <w:sz w:val="18"/>
          <w:szCs w:val="18"/>
        </w:rPr>
        <w:t>substantially all</w:t>
      </w:r>
      <w:r>
        <w:rPr>
          <w:rFonts w:ascii="Arial" w:eastAsia="宋体" w:hAnsi="Arial" w:cs="Arial"/>
          <w:color w:val="262626"/>
          <w:sz w:val="18"/>
          <w:szCs w:val="18"/>
        </w:rPr>
        <w:t xml:space="preserve"> time deposits were issued by institutions outside the U.S. The adjusted cost of our available-for-sale investments was $10.8 billion as of September 25, 2021 and $7.8 billion as of December 26, 2020</w:t>
      </w:r>
      <w:r>
        <w:rPr>
          <w:rFonts w:ascii="Arial" w:eastAsia="宋体" w:hAnsi="Arial" w:cs="Arial"/>
          <w:color w:val="262626"/>
          <w:sz w:val="18"/>
          <w:szCs w:val="18"/>
        </w:rPr>
        <w:t>. The adjusted cost of our available-for-sale investments approximated the fair value for these periods.</w:t>
      </w:r>
    </w:p>
    <w:p w14:paraId="39D98174" w14:textId="77777777" w:rsidR="00996AD7" w:rsidRDefault="00996AD7">
      <w:pPr>
        <w:spacing w:after="180"/>
      </w:pPr>
    </w:p>
    <w:p w14:paraId="39D98175" w14:textId="77777777" w:rsidR="00996AD7" w:rsidRDefault="00996AD7">
      <w:pPr>
        <w:spacing w:after="180"/>
      </w:pPr>
    </w:p>
    <w:p w14:paraId="39D98176" w14:textId="77777777" w:rsidR="00996AD7" w:rsidRDefault="00996AD7">
      <w:pPr>
        <w:spacing w:after="180"/>
      </w:pPr>
    </w:p>
    <w:p w14:paraId="39D98177" w14:textId="77777777" w:rsidR="00996AD7" w:rsidRDefault="00996AD7">
      <w:pPr>
        <w:spacing w:after="180"/>
      </w:pPr>
    </w:p>
    <w:p w14:paraId="39D98178" w14:textId="77777777" w:rsidR="00996AD7" w:rsidRDefault="00996AD7">
      <w:pPr>
        <w:spacing w:after="180"/>
      </w:pPr>
    </w:p>
    <w:p w14:paraId="39D98179" w14:textId="77777777" w:rsidR="00996AD7" w:rsidRDefault="00996AD7">
      <w:pPr>
        <w:spacing w:after="180"/>
      </w:pPr>
    </w:p>
    <w:p w14:paraId="39D9817A"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8187" w14:textId="77777777">
        <w:tc>
          <w:tcPr>
            <w:tcW w:w="50" w:type="pct"/>
            <w:shd w:val="clear" w:color="auto" w:fill="auto"/>
            <w:vAlign w:val="bottom"/>
          </w:tcPr>
          <w:p w14:paraId="39D9817B" w14:textId="77777777" w:rsidR="00996AD7" w:rsidRDefault="00996AD7">
            <w:pPr>
              <w:rPr>
                <w:rFonts w:ascii="宋体"/>
              </w:rPr>
            </w:pPr>
          </w:p>
        </w:tc>
        <w:tc>
          <w:tcPr>
            <w:tcW w:w="238" w:type="pct"/>
            <w:shd w:val="clear" w:color="auto" w:fill="auto"/>
            <w:vAlign w:val="bottom"/>
          </w:tcPr>
          <w:p w14:paraId="39D9817C" w14:textId="77777777" w:rsidR="00996AD7" w:rsidRDefault="00996AD7">
            <w:pPr>
              <w:rPr>
                <w:rFonts w:ascii="宋体"/>
              </w:rPr>
            </w:pPr>
          </w:p>
        </w:tc>
        <w:tc>
          <w:tcPr>
            <w:tcW w:w="5" w:type="pct"/>
            <w:shd w:val="clear" w:color="auto" w:fill="auto"/>
            <w:vAlign w:val="bottom"/>
          </w:tcPr>
          <w:p w14:paraId="39D9817D" w14:textId="77777777" w:rsidR="00996AD7" w:rsidRDefault="00996AD7">
            <w:pPr>
              <w:rPr>
                <w:rFonts w:ascii="宋体"/>
              </w:rPr>
            </w:pPr>
          </w:p>
        </w:tc>
        <w:tc>
          <w:tcPr>
            <w:tcW w:w="50" w:type="pct"/>
            <w:shd w:val="clear" w:color="auto" w:fill="auto"/>
            <w:vAlign w:val="bottom"/>
          </w:tcPr>
          <w:p w14:paraId="39D9817E" w14:textId="77777777" w:rsidR="00996AD7" w:rsidRDefault="00996AD7">
            <w:pPr>
              <w:rPr>
                <w:rFonts w:ascii="宋体"/>
              </w:rPr>
            </w:pPr>
          </w:p>
        </w:tc>
        <w:tc>
          <w:tcPr>
            <w:tcW w:w="983" w:type="pct"/>
            <w:shd w:val="clear" w:color="auto" w:fill="auto"/>
            <w:vAlign w:val="bottom"/>
          </w:tcPr>
          <w:p w14:paraId="39D9817F" w14:textId="77777777" w:rsidR="00996AD7" w:rsidRDefault="00996AD7">
            <w:pPr>
              <w:rPr>
                <w:rFonts w:ascii="宋体"/>
              </w:rPr>
            </w:pPr>
          </w:p>
        </w:tc>
        <w:tc>
          <w:tcPr>
            <w:tcW w:w="5" w:type="pct"/>
            <w:shd w:val="clear" w:color="auto" w:fill="auto"/>
            <w:vAlign w:val="bottom"/>
          </w:tcPr>
          <w:p w14:paraId="39D98180" w14:textId="77777777" w:rsidR="00996AD7" w:rsidRDefault="00996AD7">
            <w:pPr>
              <w:rPr>
                <w:rFonts w:ascii="宋体"/>
              </w:rPr>
            </w:pPr>
          </w:p>
        </w:tc>
        <w:tc>
          <w:tcPr>
            <w:tcW w:w="50" w:type="pct"/>
            <w:shd w:val="clear" w:color="auto" w:fill="auto"/>
            <w:vAlign w:val="bottom"/>
          </w:tcPr>
          <w:p w14:paraId="39D98181" w14:textId="77777777" w:rsidR="00996AD7" w:rsidRDefault="00996AD7">
            <w:pPr>
              <w:rPr>
                <w:rFonts w:ascii="宋体"/>
              </w:rPr>
            </w:pPr>
          </w:p>
        </w:tc>
        <w:tc>
          <w:tcPr>
            <w:tcW w:w="2035" w:type="pct"/>
            <w:shd w:val="clear" w:color="auto" w:fill="auto"/>
            <w:vAlign w:val="bottom"/>
          </w:tcPr>
          <w:p w14:paraId="39D98182" w14:textId="77777777" w:rsidR="00996AD7" w:rsidRDefault="00996AD7">
            <w:pPr>
              <w:rPr>
                <w:rFonts w:ascii="宋体"/>
              </w:rPr>
            </w:pPr>
          </w:p>
        </w:tc>
        <w:tc>
          <w:tcPr>
            <w:tcW w:w="5" w:type="pct"/>
            <w:shd w:val="clear" w:color="auto" w:fill="auto"/>
            <w:vAlign w:val="bottom"/>
          </w:tcPr>
          <w:p w14:paraId="39D98183" w14:textId="77777777" w:rsidR="00996AD7" w:rsidRDefault="00996AD7">
            <w:pPr>
              <w:rPr>
                <w:rFonts w:ascii="宋体"/>
              </w:rPr>
            </w:pPr>
          </w:p>
        </w:tc>
        <w:tc>
          <w:tcPr>
            <w:tcW w:w="50" w:type="pct"/>
            <w:shd w:val="clear" w:color="auto" w:fill="auto"/>
            <w:vAlign w:val="bottom"/>
          </w:tcPr>
          <w:p w14:paraId="39D98184" w14:textId="77777777" w:rsidR="00996AD7" w:rsidRDefault="00996AD7">
            <w:pPr>
              <w:rPr>
                <w:rFonts w:ascii="宋体"/>
              </w:rPr>
            </w:pPr>
          </w:p>
        </w:tc>
        <w:tc>
          <w:tcPr>
            <w:tcW w:w="1522" w:type="pct"/>
            <w:shd w:val="clear" w:color="auto" w:fill="auto"/>
            <w:vAlign w:val="bottom"/>
          </w:tcPr>
          <w:p w14:paraId="39D98185" w14:textId="77777777" w:rsidR="00996AD7" w:rsidRDefault="00996AD7">
            <w:pPr>
              <w:rPr>
                <w:rFonts w:ascii="宋体"/>
              </w:rPr>
            </w:pPr>
          </w:p>
        </w:tc>
        <w:tc>
          <w:tcPr>
            <w:tcW w:w="5" w:type="pct"/>
            <w:shd w:val="clear" w:color="auto" w:fill="auto"/>
            <w:vAlign w:val="bottom"/>
          </w:tcPr>
          <w:p w14:paraId="39D98186" w14:textId="77777777" w:rsidR="00996AD7" w:rsidRDefault="00996AD7">
            <w:pPr>
              <w:rPr>
                <w:rFonts w:ascii="宋体"/>
              </w:rPr>
            </w:pPr>
          </w:p>
        </w:tc>
      </w:tr>
      <w:tr w:rsidR="00996AD7" w14:paraId="39D9818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188"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B4" wp14:editId="39D9A3B5">
                  <wp:extent cx="304800" cy="304800"/>
                  <wp:effectExtent l="0" t="0" r="0" b="0"/>
                  <wp:docPr id="78" name="图片 6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1"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189"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818A"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18B" w14:textId="77777777" w:rsidR="00996AD7" w:rsidRDefault="00D96458">
            <w:pPr>
              <w:jc w:val="right"/>
              <w:textAlignment w:val="center"/>
            </w:pPr>
            <w:r>
              <w:rPr>
                <w:rFonts w:ascii="Arial" w:eastAsia="宋体" w:hAnsi="Arial" w:cs="Arial"/>
                <w:color w:val="262626"/>
                <w:sz w:val="16"/>
                <w:szCs w:val="16"/>
              </w:rPr>
              <w:t>11</w:t>
            </w:r>
          </w:p>
        </w:tc>
      </w:tr>
    </w:tbl>
    <w:p w14:paraId="39D9818D" w14:textId="77777777" w:rsidR="00996AD7" w:rsidRDefault="00D96458">
      <w:r>
        <w:pict w14:anchorId="39D9A3B6">
          <v:rect id="_x0000_i1037" style="width:415.3pt;height:1.5pt" o:hralign="center" o:hrstd="t" o:hr="t" fillcolor="#a0a0a0" stroked="f"/>
        </w:pict>
      </w:r>
    </w:p>
    <w:p w14:paraId="39D9818E" w14:textId="77777777" w:rsidR="00996AD7" w:rsidRDefault="00D96458">
      <w:pPr>
        <w:spacing w:after="180"/>
        <w:jc w:val="right"/>
      </w:pPr>
      <w:hyperlink r:id="rId38" w:anchor="i94e6cc3aa83643b8b968bd5bab038338_7" w:history="1">
        <w:r>
          <w:rPr>
            <w:rStyle w:val="a5"/>
            <w:rFonts w:ascii="Arial" w:eastAsia="宋体" w:hAnsi="Arial" w:cs="Arial"/>
            <w:b/>
            <w:bCs/>
            <w:color w:val="0068B5"/>
            <w:sz w:val="16"/>
            <w:szCs w:val="16"/>
          </w:rPr>
          <w:t>Table of Contents</w:t>
        </w:r>
      </w:hyperlink>
    </w:p>
    <w:p w14:paraId="39D9818F" w14:textId="77777777" w:rsidR="00996AD7" w:rsidRDefault="00996AD7">
      <w:pPr>
        <w:spacing w:after="180"/>
        <w:jc w:val="right"/>
      </w:pPr>
    </w:p>
    <w:p w14:paraId="39D98190" w14:textId="77777777" w:rsidR="00996AD7" w:rsidRDefault="00D96458">
      <w:pPr>
        <w:spacing w:after="120"/>
      </w:pPr>
      <w:r>
        <w:rPr>
          <w:rFonts w:ascii="Arial" w:eastAsia="宋体" w:hAnsi="Arial" w:cs="Arial"/>
          <w:color w:val="262626"/>
          <w:sz w:val="18"/>
          <w:szCs w:val="18"/>
        </w:rPr>
        <w:t xml:space="preserve">The fair value of available-for-sale debt investments, by contractual </w:t>
      </w:r>
      <w:r>
        <w:rPr>
          <w:rFonts w:ascii="Arial" w:eastAsia="宋体" w:hAnsi="Arial" w:cs="Arial"/>
          <w:color w:val="262626"/>
          <w:sz w:val="18"/>
          <w:szCs w:val="18"/>
        </w:rPr>
        <w:t>maturity, as of September 25, 2021, was as follows:</w:t>
      </w:r>
    </w:p>
    <w:tbl>
      <w:tblPr>
        <w:tblW w:w="5000" w:type="pct"/>
        <w:tblCellMar>
          <w:top w:w="15" w:type="dxa"/>
          <w:left w:w="15" w:type="dxa"/>
          <w:bottom w:w="15" w:type="dxa"/>
          <w:right w:w="15" w:type="dxa"/>
        </w:tblCellMar>
        <w:tblLook w:val="04A0" w:firstRow="1" w:lastRow="0" w:firstColumn="1" w:lastColumn="0" w:noHBand="0" w:noVBand="1"/>
      </w:tblPr>
      <w:tblGrid>
        <w:gridCol w:w="45"/>
        <w:gridCol w:w="7159"/>
        <w:gridCol w:w="37"/>
        <w:gridCol w:w="36"/>
        <w:gridCol w:w="36"/>
        <w:gridCol w:w="36"/>
        <w:gridCol w:w="122"/>
        <w:gridCol w:w="829"/>
        <w:gridCol w:w="36"/>
      </w:tblGrid>
      <w:tr w:rsidR="00996AD7" w14:paraId="39D9819A" w14:textId="77777777">
        <w:tc>
          <w:tcPr>
            <w:tcW w:w="50" w:type="pct"/>
            <w:shd w:val="clear" w:color="auto" w:fill="auto"/>
            <w:vAlign w:val="bottom"/>
          </w:tcPr>
          <w:p w14:paraId="39D98191" w14:textId="77777777" w:rsidR="00996AD7" w:rsidRDefault="00996AD7">
            <w:pPr>
              <w:rPr>
                <w:rFonts w:ascii="宋体"/>
              </w:rPr>
            </w:pPr>
          </w:p>
        </w:tc>
        <w:tc>
          <w:tcPr>
            <w:tcW w:w="4316" w:type="pct"/>
            <w:shd w:val="clear" w:color="auto" w:fill="auto"/>
            <w:vAlign w:val="bottom"/>
          </w:tcPr>
          <w:p w14:paraId="39D98192" w14:textId="77777777" w:rsidR="00996AD7" w:rsidRDefault="00996AD7">
            <w:pPr>
              <w:rPr>
                <w:rFonts w:ascii="宋体"/>
              </w:rPr>
            </w:pPr>
          </w:p>
        </w:tc>
        <w:tc>
          <w:tcPr>
            <w:tcW w:w="5" w:type="pct"/>
            <w:shd w:val="clear" w:color="auto" w:fill="auto"/>
            <w:vAlign w:val="bottom"/>
          </w:tcPr>
          <w:p w14:paraId="39D98193" w14:textId="77777777" w:rsidR="00996AD7" w:rsidRDefault="00996AD7">
            <w:pPr>
              <w:rPr>
                <w:rFonts w:ascii="宋体"/>
              </w:rPr>
            </w:pPr>
          </w:p>
        </w:tc>
        <w:tc>
          <w:tcPr>
            <w:tcW w:w="5" w:type="pct"/>
            <w:shd w:val="clear" w:color="auto" w:fill="auto"/>
            <w:vAlign w:val="bottom"/>
          </w:tcPr>
          <w:p w14:paraId="39D98194" w14:textId="77777777" w:rsidR="00996AD7" w:rsidRDefault="00996AD7">
            <w:pPr>
              <w:rPr>
                <w:rFonts w:ascii="宋体"/>
              </w:rPr>
            </w:pPr>
          </w:p>
        </w:tc>
        <w:tc>
          <w:tcPr>
            <w:tcW w:w="24" w:type="pct"/>
            <w:shd w:val="clear" w:color="auto" w:fill="auto"/>
            <w:vAlign w:val="bottom"/>
          </w:tcPr>
          <w:p w14:paraId="39D98195" w14:textId="77777777" w:rsidR="00996AD7" w:rsidRDefault="00996AD7">
            <w:pPr>
              <w:rPr>
                <w:rFonts w:ascii="宋体"/>
              </w:rPr>
            </w:pPr>
          </w:p>
        </w:tc>
        <w:tc>
          <w:tcPr>
            <w:tcW w:w="5" w:type="pct"/>
            <w:shd w:val="clear" w:color="auto" w:fill="auto"/>
            <w:vAlign w:val="bottom"/>
          </w:tcPr>
          <w:p w14:paraId="39D98196" w14:textId="77777777" w:rsidR="00996AD7" w:rsidRDefault="00996AD7">
            <w:pPr>
              <w:rPr>
                <w:rFonts w:ascii="宋体"/>
              </w:rPr>
            </w:pPr>
          </w:p>
        </w:tc>
        <w:tc>
          <w:tcPr>
            <w:tcW w:w="50" w:type="pct"/>
            <w:shd w:val="clear" w:color="auto" w:fill="auto"/>
            <w:vAlign w:val="bottom"/>
          </w:tcPr>
          <w:p w14:paraId="39D98197" w14:textId="77777777" w:rsidR="00996AD7" w:rsidRDefault="00996AD7">
            <w:pPr>
              <w:rPr>
                <w:rFonts w:ascii="宋体"/>
              </w:rPr>
            </w:pPr>
          </w:p>
        </w:tc>
        <w:tc>
          <w:tcPr>
            <w:tcW w:w="539" w:type="pct"/>
            <w:shd w:val="clear" w:color="auto" w:fill="auto"/>
            <w:vAlign w:val="bottom"/>
          </w:tcPr>
          <w:p w14:paraId="39D98198" w14:textId="77777777" w:rsidR="00996AD7" w:rsidRDefault="00996AD7">
            <w:pPr>
              <w:rPr>
                <w:rFonts w:ascii="宋体"/>
              </w:rPr>
            </w:pPr>
          </w:p>
        </w:tc>
        <w:tc>
          <w:tcPr>
            <w:tcW w:w="5" w:type="pct"/>
            <w:shd w:val="clear" w:color="auto" w:fill="auto"/>
            <w:vAlign w:val="bottom"/>
          </w:tcPr>
          <w:p w14:paraId="39D98199" w14:textId="77777777" w:rsidR="00996AD7" w:rsidRDefault="00996AD7">
            <w:pPr>
              <w:rPr>
                <w:rFonts w:ascii="宋体"/>
              </w:rPr>
            </w:pPr>
          </w:p>
        </w:tc>
      </w:tr>
      <w:tr w:rsidR="00996AD7" w14:paraId="39D9819E" w14:textId="77777777">
        <w:tc>
          <w:tcPr>
            <w:tcW w:w="0" w:type="auto"/>
            <w:gridSpan w:val="3"/>
            <w:shd w:val="clear" w:color="auto" w:fill="auto"/>
            <w:tcMar>
              <w:top w:w="40" w:type="dxa"/>
              <w:left w:w="20" w:type="dxa"/>
              <w:bottom w:w="40" w:type="dxa"/>
              <w:right w:w="20" w:type="dxa"/>
            </w:tcMar>
            <w:vAlign w:val="bottom"/>
          </w:tcPr>
          <w:p w14:paraId="39D9819B" w14:textId="77777777" w:rsidR="00996AD7" w:rsidRDefault="00D964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19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19D" w14:textId="77777777" w:rsidR="00996AD7" w:rsidRDefault="00D96458">
            <w:pPr>
              <w:jc w:val="center"/>
              <w:textAlignment w:val="bottom"/>
            </w:pPr>
            <w:r>
              <w:rPr>
                <w:rFonts w:ascii="Arial" w:eastAsia="宋体" w:hAnsi="Arial" w:cs="Arial"/>
                <w:b/>
                <w:bCs/>
                <w:color w:val="262626"/>
                <w:sz w:val="18"/>
                <w:szCs w:val="18"/>
              </w:rPr>
              <w:t>Fair Value</w:t>
            </w:r>
          </w:p>
        </w:tc>
      </w:tr>
      <w:tr w:rsidR="00996AD7" w14:paraId="39D981A4"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819F" w14:textId="77777777" w:rsidR="00996AD7" w:rsidRDefault="00D96458">
            <w:pPr>
              <w:ind w:hanging="180"/>
              <w:textAlignment w:val="top"/>
            </w:pPr>
            <w:r>
              <w:rPr>
                <w:rFonts w:ascii="Arial" w:eastAsia="宋体" w:hAnsi="Arial" w:cs="Arial"/>
                <w:color w:val="262626"/>
                <w:sz w:val="18"/>
                <w:szCs w:val="18"/>
              </w:rPr>
              <w:t>Due in 1 year or less</w:t>
            </w:r>
          </w:p>
        </w:tc>
        <w:tc>
          <w:tcPr>
            <w:tcW w:w="0" w:type="auto"/>
            <w:gridSpan w:val="3"/>
            <w:shd w:val="clear" w:color="auto" w:fill="auto"/>
            <w:tcMar>
              <w:top w:w="0" w:type="dxa"/>
              <w:left w:w="20" w:type="dxa"/>
              <w:bottom w:w="0" w:type="dxa"/>
              <w:right w:w="20" w:type="dxa"/>
            </w:tcMar>
            <w:vAlign w:val="bottom"/>
          </w:tcPr>
          <w:p w14:paraId="39D981A0"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1A1"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1A2" w14:textId="77777777" w:rsidR="00996AD7" w:rsidRDefault="00D96458">
            <w:pPr>
              <w:jc w:val="right"/>
              <w:textAlignment w:val="bottom"/>
            </w:pPr>
            <w:r>
              <w:rPr>
                <w:rFonts w:ascii="Arial" w:eastAsia="宋体" w:hAnsi="Arial" w:cs="Arial"/>
                <w:color w:val="0068B5"/>
                <w:sz w:val="18"/>
                <w:szCs w:val="18"/>
              </w:rPr>
              <w:t>7,823 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1A3" w14:textId="77777777" w:rsidR="00996AD7" w:rsidRDefault="00996AD7">
            <w:pPr>
              <w:jc w:val="right"/>
              <w:rPr>
                <w:rFonts w:ascii="宋体"/>
              </w:rPr>
            </w:pPr>
          </w:p>
        </w:tc>
      </w:tr>
      <w:tr w:rsidR="00996AD7" w14:paraId="39D981A9" w14:textId="77777777">
        <w:tc>
          <w:tcPr>
            <w:tcW w:w="0" w:type="auto"/>
            <w:gridSpan w:val="3"/>
            <w:shd w:val="clear" w:color="auto" w:fill="auto"/>
            <w:tcMar>
              <w:top w:w="40" w:type="dxa"/>
              <w:left w:w="20" w:type="dxa"/>
              <w:bottom w:w="40" w:type="dxa"/>
              <w:right w:w="20" w:type="dxa"/>
            </w:tcMar>
          </w:tcPr>
          <w:p w14:paraId="39D981A5" w14:textId="77777777" w:rsidR="00996AD7" w:rsidRDefault="00D96458">
            <w:pPr>
              <w:ind w:hanging="180"/>
              <w:textAlignment w:val="top"/>
            </w:pPr>
            <w:r>
              <w:rPr>
                <w:rFonts w:ascii="Arial" w:eastAsia="宋体" w:hAnsi="Arial" w:cs="Arial"/>
                <w:color w:val="262626"/>
                <w:sz w:val="18"/>
                <w:szCs w:val="18"/>
              </w:rPr>
              <w:t>Due in 1–2 years</w:t>
            </w:r>
          </w:p>
        </w:tc>
        <w:tc>
          <w:tcPr>
            <w:tcW w:w="0" w:type="auto"/>
            <w:gridSpan w:val="3"/>
            <w:shd w:val="clear" w:color="auto" w:fill="auto"/>
            <w:tcMar>
              <w:top w:w="0" w:type="dxa"/>
              <w:left w:w="20" w:type="dxa"/>
              <w:bottom w:w="0" w:type="dxa"/>
              <w:right w:w="20" w:type="dxa"/>
            </w:tcMar>
            <w:vAlign w:val="bottom"/>
          </w:tcPr>
          <w:p w14:paraId="39D981A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A7" w14:textId="77777777" w:rsidR="00996AD7" w:rsidRDefault="00D96458">
            <w:pPr>
              <w:jc w:val="right"/>
              <w:textAlignment w:val="bottom"/>
            </w:pPr>
            <w:r>
              <w:rPr>
                <w:rFonts w:ascii="Arial" w:eastAsia="宋体" w:hAnsi="Arial" w:cs="Arial"/>
                <w:color w:val="0068B5"/>
                <w:sz w:val="18"/>
                <w:szCs w:val="18"/>
              </w:rPr>
              <w:t>631 </w:t>
            </w:r>
          </w:p>
        </w:tc>
        <w:tc>
          <w:tcPr>
            <w:tcW w:w="0" w:type="auto"/>
            <w:shd w:val="clear" w:color="auto" w:fill="auto"/>
            <w:tcMar>
              <w:top w:w="40" w:type="dxa"/>
              <w:left w:w="0" w:type="dxa"/>
              <w:bottom w:w="40" w:type="dxa"/>
              <w:right w:w="20" w:type="dxa"/>
            </w:tcMar>
            <w:vAlign w:val="bottom"/>
          </w:tcPr>
          <w:p w14:paraId="39D981A8" w14:textId="77777777" w:rsidR="00996AD7" w:rsidRDefault="00996AD7">
            <w:pPr>
              <w:jc w:val="right"/>
              <w:rPr>
                <w:rFonts w:ascii="宋体"/>
              </w:rPr>
            </w:pPr>
          </w:p>
        </w:tc>
      </w:tr>
      <w:tr w:rsidR="00996AD7" w14:paraId="39D981AE" w14:textId="77777777">
        <w:tc>
          <w:tcPr>
            <w:tcW w:w="0" w:type="auto"/>
            <w:gridSpan w:val="3"/>
            <w:shd w:val="clear" w:color="auto" w:fill="auto"/>
            <w:tcMar>
              <w:top w:w="40" w:type="dxa"/>
              <w:left w:w="20" w:type="dxa"/>
              <w:bottom w:w="40" w:type="dxa"/>
              <w:right w:w="20" w:type="dxa"/>
            </w:tcMar>
          </w:tcPr>
          <w:p w14:paraId="39D981AA" w14:textId="77777777" w:rsidR="00996AD7" w:rsidRDefault="00D96458">
            <w:pPr>
              <w:ind w:hanging="180"/>
              <w:textAlignment w:val="top"/>
            </w:pPr>
            <w:r>
              <w:rPr>
                <w:rFonts w:ascii="Arial" w:eastAsia="宋体" w:hAnsi="Arial" w:cs="Arial"/>
                <w:color w:val="262626"/>
                <w:sz w:val="18"/>
                <w:szCs w:val="18"/>
              </w:rPr>
              <w:t>Due in 2–5 years</w:t>
            </w:r>
          </w:p>
        </w:tc>
        <w:tc>
          <w:tcPr>
            <w:tcW w:w="0" w:type="auto"/>
            <w:gridSpan w:val="3"/>
            <w:shd w:val="clear" w:color="auto" w:fill="auto"/>
            <w:tcMar>
              <w:top w:w="0" w:type="dxa"/>
              <w:left w:w="20" w:type="dxa"/>
              <w:bottom w:w="0" w:type="dxa"/>
              <w:right w:w="20" w:type="dxa"/>
            </w:tcMar>
            <w:vAlign w:val="bottom"/>
          </w:tcPr>
          <w:p w14:paraId="39D981A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AC" w14:textId="77777777" w:rsidR="00996AD7" w:rsidRDefault="00D96458">
            <w:pPr>
              <w:jc w:val="right"/>
              <w:textAlignment w:val="bottom"/>
            </w:pPr>
            <w:r>
              <w:rPr>
                <w:rFonts w:ascii="Arial" w:eastAsia="宋体" w:hAnsi="Arial" w:cs="Arial"/>
                <w:color w:val="0068B5"/>
                <w:sz w:val="18"/>
                <w:szCs w:val="18"/>
              </w:rPr>
              <w:t>322 </w:t>
            </w:r>
          </w:p>
        </w:tc>
        <w:tc>
          <w:tcPr>
            <w:tcW w:w="0" w:type="auto"/>
            <w:shd w:val="clear" w:color="auto" w:fill="auto"/>
            <w:tcMar>
              <w:top w:w="40" w:type="dxa"/>
              <w:left w:w="0" w:type="dxa"/>
              <w:bottom w:w="40" w:type="dxa"/>
              <w:right w:w="20" w:type="dxa"/>
            </w:tcMar>
            <w:vAlign w:val="bottom"/>
          </w:tcPr>
          <w:p w14:paraId="39D981AD" w14:textId="77777777" w:rsidR="00996AD7" w:rsidRDefault="00996AD7">
            <w:pPr>
              <w:jc w:val="right"/>
              <w:rPr>
                <w:rFonts w:ascii="宋体"/>
              </w:rPr>
            </w:pPr>
          </w:p>
        </w:tc>
      </w:tr>
      <w:tr w:rsidR="00996AD7" w14:paraId="39D981B3" w14:textId="77777777">
        <w:tc>
          <w:tcPr>
            <w:tcW w:w="0" w:type="auto"/>
            <w:gridSpan w:val="3"/>
            <w:shd w:val="clear" w:color="auto" w:fill="auto"/>
            <w:tcMar>
              <w:top w:w="40" w:type="dxa"/>
              <w:left w:w="20" w:type="dxa"/>
              <w:bottom w:w="40" w:type="dxa"/>
              <w:right w:w="20" w:type="dxa"/>
            </w:tcMar>
          </w:tcPr>
          <w:p w14:paraId="39D981AF" w14:textId="77777777" w:rsidR="00996AD7" w:rsidRDefault="00D96458">
            <w:pPr>
              <w:ind w:hanging="180"/>
              <w:textAlignment w:val="top"/>
            </w:pPr>
            <w:r>
              <w:rPr>
                <w:rFonts w:ascii="Arial" w:eastAsia="宋体" w:hAnsi="Arial" w:cs="Arial"/>
                <w:color w:val="262626"/>
                <w:sz w:val="18"/>
                <w:szCs w:val="18"/>
              </w:rPr>
              <w:t>Due after 5 years</w:t>
            </w:r>
          </w:p>
        </w:tc>
        <w:tc>
          <w:tcPr>
            <w:tcW w:w="0" w:type="auto"/>
            <w:gridSpan w:val="3"/>
            <w:shd w:val="clear" w:color="auto" w:fill="auto"/>
            <w:tcMar>
              <w:top w:w="0" w:type="dxa"/>
              <w:left w:w="20" w:type="dxa"/>
              <w:bottom w:w="0" w:type="dxa"/>
              <w:right w:w="20" w:type="dxa"/>
            </w:tcMar>
            <w:vAlign w:val="bottom"/>
          </w:tcPr>
          <w:p w14:paraId="39D981B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B1"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1B2" w14:textId="77777777" w:rsidR="00996AD7" w:rsidRDefault="00996AD7">
            <w:pPr>
              <w:jc w:val="right"/>
              <w:rPr>
                <w:rFonts w:ascii="宋体"/>
              </w:rPr>
            </w:pPr>
          </w:p>
        </w:tc>
      </w:tr>
      <w:tr w:rsidR="00996AD7" w14:paraId="39D981B8" w14:textId="77777777">
        <w:tc>
          <w:tcPr>
            <w:tcW w:w="0" w:type="auto"/>
            <w:gridSpan w:val="3"/>
            <w:shd w:val="clear" w:color="auto" w:fill="auto"/>
            <w:tcMar>
              <w:top w:w="40" w:type="dxa"/>
              <w:left w:w="20" w:type="dxa"/>
              <w:bottom w:w="40" w:type="dxa"/>
              <w:right w:w="20" w:type="dxa"/>
            </w:tcMar>
          </w:tcPr>
          <w:p w14:paraId="39D981B4" w14:textId="77777777" w:rsidR="00996AD7" w:rsidRDefault="00D96458">
            <w:pPr>
              <w:ind w:hanging="180"/>
              <w:textAlignment w:val="top"/>
            </w:pPr>
            <w:r>
              <w:rPr>
                <w:rFonts w:ascii="Arial" w:eastAsia="宋体" w:hAnsi="Arial" w:cs="Arial"/>
                <w:color w:val="262626"/>
                <w:sz w:val="18"/>
                <w:szCs w:val="18"/>
              </w:rPr>
              <w:t>Instruments not due at a single maturity date</w:t>
            </w:r>
          </w:p>
        </w:tc>
        <w:tc>
          <w:tcPr>
            <w:tcW w:w="0" w:type="auto"/>
            <w:gridSpan w:val="3"/>
            <w:shd w:val="clear" w:color="auto" w:fill="auto"/>
            <w:tcMar>
              <w:top w:w="0" w:type="dxa"/>
              <w:left w:w="20" w:type="dxa"/>
              <w:bottom w:w="0" w:type="dxa"/>
              <w:right w:w="20" w:type="dxa"/>
            </w:tcMar>
            <w:vAlign w:val="bottom"/>
          </w:tcPr>
          <w:p w14:paraId="39D981B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B6" w14:textId="77777777" w:rsidR="00996AD7" w:rsidRDefault="00D96458">
            <w:pPr>
              <w:jc w:val="right"/>
              <w:textAlignment w:val="bottom"/>
            </w:pPr>
            <w:r>
              <w:rPr>
                <w:rFonts w:ascii="Arial" w:eastAsia="宋体" w:hAnsi="Arial" w:cs="Arial"/>
                <w:color w:val="0068B5"/>
                <w:sz w:val="18"/>
                <w:szCs w:val="18"/>
              </w:rPr>
              <w:t>2,035 </w:t>
            </w:r>
          </w:p>
        </w:tc>
        <w:tc>
          <w:tcPr>
            <w:tcW w:w="0" w:type="auto"/>
            <w:shd w:val="clear" w:color="auto" w:fill="auto"/>
            <w:tcMar>
              <w:top w:w="40" w:type="dxa"/>
              <w:left w:w="0" w:type="dxa"/>
              <w:bottom w:w="40" w:type="dxa"/>
              <w:right w:w="20" w:type="dxa"/>
            </w:tcMar>
            <w:vAlign w:val="bottom"/>
          </w:tcPr>
          <w:p w14:paraId="39D981B7" w14:textId="77777777" w:rsidR="00996AD7" w:rsidRDefault="00996AD7">
            <w:pPr>
              <w:jc w:val="right"/>
              <w:rPr>
                <w:rFonts w:ascii="宋体"/>
              </w:rPr>
            </w:pPr>
          </w:p>
        </w:tc>
      </w:tr>
      <w:tr w:rsidR="00996AD7" w14:paraId="39D981BE" w14:textId="77777777">
        <w:tc>
          <w:tcPr>
            <w:tcW w:w="0" w:type="auto"/>
            <w:gridSpan w:val="3"/>
            <w:shd w:val="clear" w:color="auto" w:fill="auto"/>
            <w:tcMar>
              <w:top w:w="40" w:type="dxa"/>
              <w:left w:w="20" w:type="dxa"/>
              <w:bottom w:w="40" w:type="dxa"/>
              <w:right w:w="20" w:type="dxa"/>
            </w:tcMar>
          </w:tcPr>
          <w:p w14:paraId="39D981B9" w14:textId="77777777" w:rsidR="00996AD7" w:rsidRDefault="00D9645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39D981BA"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1BB"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1BC" w14:textId="77777777" w:rsidR="00996AD7" w:rsidRDefault="00D96458">
            <w:pPr>
              <w:jc w:val="right"/>
              <w:textAlignment w:val="bottom"/>
            </w:pPr>
            <w:r>
              <w:rPr>
                <w:rFonts w:ascii="Arial" w:eastAsia="宋体" w:hAnsi="Arial" w:cs="Arial"/>
                <w:b/>
                <w:bCs/>
                <w:color w:val="0068B5"/>
                <w:sz w:val="18"/>
                <w:szCs w:val="18"/>
              </w:rPr>
              <w:t>10,811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1BD" w14:textId="77777777" w:rsidR="00996AD7" w:rsidRDefault="00996AD7">
            <w:pPr>
              <w:jc w:val="right"/>
              <w:rPr>
                <w:rFonts w:ascii="宋体"/>
              </w:rPr>
            </w:pPr>
          </w:p>
        </w:tc>
      </w:tr>
    </w:tbl>
    <w:p w14:paraId="39D981BF" w14:textId="77777777" w:rsidR="00996AD7" w:rsidRDefault="00D96458">
      <w:pPr>
        <w:spacing w:before="180" w:after="180"/>
      </w:pPr>
      <w:r>
        <w:rPr>
          <w:rFonts w:ascii="Arial" w:eastAsia="宋体" w:hAnsi="Arial" w:cs="Arial"/>
          <w:color w:val="0068B5"/>
        </w:rPr>
        <w:t>Equity Investments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996AD7" w14:paraId="39D981CF" w14:textId="77777777">
        <w:tc>
          <w:tcPr>
            <w:tcW w:w="50" w:type="pct"/>
            <w:shd w:val="clear" w:color="auto" w:fill="auto"/>
            <w:vAlign w:val="bottom"/>
          </w:tcPr>
          <w:p w14:paraId="39D981C0" w14:textId="77777777" w:rsidR="00996AD7" w:rsidRDefault="00996AD7">
            <w:pPr>
              <w:rPr>
                <w:rFonts w:ascii="宋体"/>
              </w:rPr>
            </w:pPr>
          </w:p>
        </w:tc>
        <w:tc>
          <w:tcPr>
            <w:tcW w:w="3688" w:type="pct"/>
            <w:shd w:val="clear" w:color="auto" w:fill="auto"/>
            <w:vAlign w:val="bottom"/>
          </w:tcPr>
          <w:p w14:paraId="39D981C1" w14:textId="77777777" w:rsidR="00996AD7" w:rsidRDefault="00996AD7">
            <w:pPr>
              <w:rPr>
                <w:rFonts w:ascii="宋体"/>
              </w:rPr>
            </w:pPr>
          </w:p>
        </w:tc>
        <w:tc>
          <w:tcPr>
            <w:tcW w:w="5" w:type="pct"/>
            <w:shd w:val="clear" w:color="auto" w:fill="auto"/>
            <w:vAlign w:val="bottom"/>
          </w:tcPr>
          <w:p w14:paraId="39D981C2" w14:textId="77777777" w:rsidR="00996AD7" w:rsidRDefault="00996AD7">
            <w:pPr>
              <w:rPr>
                <w:rFonts w:ascii="宋体"/>
              </w:rPr>
            </w:pPr>
          </w:p>
        </w:tc>
        <w:tc>
          <w:tcPr>
            <w:tcW w:w="5" w:type="pct"/>
            <w:shd w:val="clear" w:color="auto" w:fill="auto"/>
            <w:vAlign w:val="bottom"/>
          </w:tcPr>
          <w:p w14:paraId="39D981C3" w14:textId="77777777" w:rsidR="00996AD7" w:rsidRDefault="00996AD7">
            <w:pPr>
              <w:rPr>
                <w:rFonts w:ascii="宋体"/>
              </w:rPr>
            </w:pPr>
          </w:p>
        </w:tc>
        <w:tc>
          <w:tcPr>
            <w:tcW w:w="24" w:type="pct"/>
            <w:shd w:val="clear" w:color="auto" w:fill="auto"/>
            <w:vAlign w:val="bottom"/>
          </w:tcPr>
          <w:p w14:paraId="39D981C4" w14:textId="77777777" w:rsidR="00996AD7" w:rsidRDefault="00996AD7">
            <w:pPr>
              <w:rPr>
                <w:rFonts w:ascii="宋体"/>
              </w:rPr>
            </w:pPr>
          </w:p>
        </w:tc>
        <w:tc>
          <w:tcPr>
            <w:tcW w:w="5" w:type="pct"/>
            <w:shd w:val="clear" w:color="auto" w:fill="auto"/>
            <w:vAlign w:val="bottom"/>
          </w:tcPr>
          <w:p w14:paraId="39D981C5" w14:textId="77777777" w:rsidR="00996AD7" w:rsidRDefault="00996AD7">
            <w:pPr>
              <w:rPr>
                <w:rFonts w:ascii="宋体"/>
              </w:rPr>
            </w:pPr>
          </w:p>
        </w:tc>
        <w:tc>
          <w:tcPr>
            <w:tcW w:w="50" w:type="pct"/>
            <w:shd w:val="clear" w:color="auto" w:fill="auto"/>
            <w:vAlign w:val="bottom"/>
          </w:tcPr>
          <w:p w14:paraId="39D981C6" w14:textId="77777777" w:rsidR="00996AD7" w:rsidRDefault="00996AD7">
            <w:pPr>
              <w:rPr>
                <w:rFonts w:ascii="宋体"/>
              </w:rPr>
            </w:pPr>
          </w:p>
        </w:tc>
        <w:tc>
          <w:tcPr>
            <w:tcW w:w="539" w:type="pct"/>
            <w:shd w:val="clear" w:color="auto" w:fill="auto"/>
            <w:vAlign w:val="bottom"/>
          </w:tcPr>
          <w:p w14:paraId="39D981C7" w14:textId="77777777" w:rsidR="00996AD7" w:rsidRDefault="00996AD7">
            <w:pPr>
              <w:rPr>
                <w:rFonts w:ascii="宋体"/>
              </w:rPr>
            </w:pPr>
          </w:p>
        </w:tc>
        <w:tc>
          <w:tcPr>
            <w:tcW w:w="5" w:type="pct"/>
            <w:shd w:val="clear" w:color="auto" w:fill="auto"/>
            <w:vAlign w:val="bottom"/>
          </w:tcPr>
          <w:p w14:paraId="39D981C8" w14:textId="77777777" w:rsidR="00996AD7" w:rsidRDefault="00996AD7">
            <w:pPr>
              <w:rPr>
                <w:rFonts w:ascii="宋体"/>
              </w:rPr>
            </w:pPr>
          </w:p>
        </w:tc>
        <w:tc>
          <w:tcPr>
            <w:tcW w:w="5" w:type="pct"/>
            <w:shd w:val="clear" w:color="auto" w:fill="auto"/>
            <w:vAlign w:val="bottom"/>
          </w:tcPr>
          <w:p w14:paraId="39D981C9" w14:textId="77777777" w:rsidR="00996AD7" w:rsidRDefault="00996AD7">
            <w:pPr>
              <w:rPr>
                <w:rFonts w:ascii="宋体"/>
              </w:rPr>
            </w:pPr>
          </w:p>
        </w:tc>
        <w:tc>
          <w:tcPr>
            <w:tcW w:w="24" w:type="pct"/>
            <w:shd w:val="clear" w:color="auto" w:fill="auto"/>
            <w:vAlign w:val="bottom"/>
          </w:tcPr>
          <w:p w14:paraId="39D981CA" w14:textId="77777777" w:rsidR="00996AD7" w:rsidRDefault="00996AD7">
            <w:pPr>
              <w:rPr>
                <w:rFonts w:ascii="宋体"/>
              </w:rPr>
            </w:pPr>
          </w:p>
        </w:tc>
        <w:tc>
          <w:tcPr>
            <w:tcW w:w="5" w:type="pct"/>
            <w:shd w:val="clear" w:color="auto" w:fill="auto"/>
            <w:vAlign w:val="bottom"/>
          </w:tcPr>
          <w:p w14:paraId="39D981CB" w14:textId="77777777" w:rsidR="00996AD7" w:rsidRDefault="00996AD7">
            <w:pPr>
              <w:rPr>
                <w:rFonts w:ascii="宋体"/>
              </w:rPr>
            </w:pPr>
          </w:p>
        </w:tc>
        <w:tc>
          <w:tcPr>
            <w:tcW w:w="50" w:type="pct"/>
            <w:shd w:val="clear" w:color="auto" w:fill="auto"/>
            <w:vAlign w:val="bottom"/>
          </w:tcPr>
          <w:p w14:paraId="39D981CC" w14:textId="77777777" w:rsidR="00996AD7" w:rsidRDefault="00996AD7">
            <w:pPr>
              <w:rPr>
                <w:rFonts w:ascii="宋体"/>
              </w:rPr>
            </w:pPr>
          </w:p>
        </w:tc>
        <w:tc>
          <w:tcPr>
            <w:tcW w:w="539" w:type="pct"/>
            <w:shd w:val="clear" w:color="auto" w:fill="auto"/>
            <w:vAlign w:val="bottom"/>
          </w:tcPr>
          <w:p w14:paraId="39D981CD" w14:textId="77777777" w:rsidR="00996AD7" w:rsidRDefault="00996AD7">
            <w:pPr>
              <w:rPr>
                <w:rFonts w:ascii="宋体"/>
              </w:rPr>
            </w:pPr>
          </w:p>
        </w:tc>
        <w:tc>
          <w:tcPr>
            <w:tcW w:w="5" w:type="pct"/>
            <w:shd w:val="clear" w:color="auto" w:fill="auto"/>
            <w:vAlign w:val="bottom"/>
          </w:tcPr>
          <w:p w14:paraId="39D981CE" w14:textId="77777777" w:rsidR="00996AD7" w:rsidRDefault="00996AD7">
            <w:pPr>
              <w:rPr>
                <w:rFonts w:ascii="宋体"/>
              </w:rPr>
            </w:pPr>
          </w:p>
        </w:tc>
      </w:tr>
      <w:tr w:rsidR="00996AD7" w14:paraId="39D981D5" w14:textId="77777777">
        <w:tc>
          <w:tcPr>
            <w:tcW w:w="0" w:type="auto"/>
            <w:gridSpan w:val="3"/>
            <w:shd w:val="clear" w:color="auto" w:fill="auto"/>
            <w:tcMar>
              <w:top w:w="40" w:type="dxa"/>
              <w:left w:w="20" w:type="dxa"/>
              <w:bottom w:w="40" w:type="dxa"/>
              <w:right w:w="20" w:type="dxa"/>
            </w:tcMar>
            <w:vAlign w:val="bottom"/>
          </w:tcPr>
          <w:p w14:paraId="39D981D0"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1D1"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1D2"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39D981D3"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1D4" w14:textId="77777777" w:rsidR="00996AD7" w:rsidRDefault="00D96458">
            <w:pPr>
              <w:jc w:val="center"/>
              <w:textAlignment w:val="bottom"/>
            </w:pPr>
            <w:r>
              <w:rPr>
                <w:rFonts w:ascii="Arial" w:eastAsia="宋体" w:hAnsi="Arial" w:cs="Arial"/>
                <w:b/>
                <w:bCs/>
                <w:color w:val="262626"/>
                <w:sz w:val="18"/>
                <w:szCs w:val="18"/>
              </w:rPr>
              <w:t>Dec 26, 2020</w:t>
            </w:r>
          </w:p>
        </w:tc>
      </w:tr>
      <w:tr w:rsidR="00996AD7" w14:paraId="39D981DF"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81D6" w14:textId="77777777" w:rsidR="00996AD7" w:rsidRDefault="00D96458">
            <w:pPr>
              <w:textAlignment w:val="top"/>
            </w:pP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vAlign w:val="bottom"/>
          </w:tcPr>
          <w:p w14:paraId="39D981D7"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1D8"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1D9" w14:textId="77777777" w:rsidR="00996AD7" w:rsidRDefault="00D96458">
            <w:pPr>
              <w:jc w:val="right"/>
              <w:textAlignment w:val="bottom"/>
            </w:pPr>
            <w:r>
              <w:rPr>
                <w:rFonts w:ascii="Arial" w:eastAsia="宋体" w:hAnsi="Arial" w:cs="Arial"/>
                <w:color w:val="0068B5"/>
                <w:sz w:val="18"/>
                <w:szCs w:val="18"/>
              </w:rPr>
              <w:t>2,064 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1D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DB"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1DC"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1DD" w14:textId="77777777" w:rsidR="00996AD7" w:rsidRDefault="00D96458">
            <w:pPr>
              <w:jc w:val="right"/>
              <w:textAlignment w:val="bottom"/>
            </w:pPr>
            <w:r>
              <w:rPr>
                <w:rFonts w:ascii="Arial" w:eastAsia="宋体" w:hAnsi="Arial" w:cs="Arial"/>
                <w:color w:val="262626"/>
                <w:sz w:val="18"/>
                <w:szCs w:val="18"/>
              </w:rPr>
              <w:t>1,830 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1DE" w14:textId="77777777" w:rsidR="00996AD7" w:rsidRDefault="00996AD7">
            <w:pPr>
              <w:jc w:val="right"/>
              <w:rPr>
                <w:rFonts w:ascii="宋体"/>
              </w:rPr>
            </w:pPr>
          </w:p>
        </w:tc>
      </w:tr>
      <w:tr w:rsidR="00996AD7" w14:paraId="39D981E7" w14:textId="77777777">
        <w:tc>
          <w:tcPr>
            <w:tcW w:w="0" w:type="auto"/>
            <w:gridSpan w:val="3"/>
            <w:shd w:val="clear" w:color="auto" w:fill="auto"/>
            <w:tcMar>
              <w:top w:w="40" w:type="dxa"/>
              <w:left w:w="20" w:type="dxa"/>
              <w:bottom w:w="40" w:type="dxa"/>
              <w:right w:w="20" w:type="dxa"/>
            </w:tcMar>
          </w:tcPr>
          <w:p w14:paraId="39D981E0" w14:textId="77777777" w:rsidR="00996AD7" w:rsidRDefault="00D96458">
            <w:pPr>
              <w:textAlignment w:val="top"/>
            </w:pPr>
            <w:r>
              <w:rPr>
                <w:rFonts w:ascii="Arial" w:eastAsia="宋体" w:hAnsi="Arial" w:cs="Arial"/>
                <w:color w:val="262626"/>
                <w:sz w:val="18"/>
                <w:szCs w:val="18"/>
              </w:rPr>
              <w:t xml:space="preserve">Non-marketable equity securities </w:t>
            </w:r>
          </w:p>
        </w:tc>
        <w:tc>
          <w:tcPr>
            <w:tcW w:w="0" w:type="auto"/>
            <w:gridSpan w:val="3"/>
            <w:shd w:val="clear" w:color="auto" w:fill="auto"/>
            <w:tcMar>
              <w:top w:w="0" w:type="dxa"/>
              <w:left w:w="20" w:type="dxa"/>
              <w:bottom w:w="0" w:type="dxa"/>
              <w:right w:w="20" w:type="dxa"/>
            </w:tcMar>
            <w:vAlign w:val="bottom"/>
          </w:tcPr>
          <w:p w14:paraId="39D981E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E2" w14:textId="77777777" w:rsidR="00996AD7" w:rsidRDefault="00D96458">
            <w:pPr>
              <w:jc w:val="right"/>
              <w:textAlignment w:val="bottom"/>
            </w:pPr>
            <w:r>
              <w:rPr>
                <w:rFonts w:ascii="Arial" w:eastAsia="宋体" w:hAnsi="Arial" w:cs="Arial"/>
                <w:color w:val="0068B5"/>
                <w:sz w:val="18"/>
                <w:szCs w:val="18"/>
              </w:rPr>
              <w:t>3,970 </w:t>
            </w:r>
          </w:p>
        </w:tc>
        <w:tc>
          <w:tcPr>
            <w:tcW w:w="0" w:type="auto"/>
            <w:shd w:val="clear" w:color="auto" w:fill="auto"/>
            <w:tcMar>
              <w:top w:w="40" w:type="dxa"/>
              <w:left w:w="0" w:type="dxa"/>
              <w:bottom w:w="40" w:type="dxa"/>
              <w:right w:w="20" w:type="dxa"/>
            </w:tcMar>
            <w:vAlign w:val="bottom"/>
          </w:tcPr>
          <w:p w14:paraId="39D981E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E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E5" w14:textId="77777777" w:rsidR="00996AD7" w:rsidRDefault="00D96458">
            <w:pPr>
              <w:jc w:val="right"/>
              <w:textAlignment w:val="bottom"/>
            </w:pPr>
            <w:r>
              <w:rPr>
                <w:rFonts w:ascii="Arial" w:eastAsia="宋体" w:hAnsi="Arial" w:cs="Arial"/>
                <w:color w:val="262626"/>
                <w:sz w:val="18"/>
                <w:szCs w:val="18"/>
              </w:rPr>
              <w:t>3,304 </w:t>
            </w:r>
          </w:p>
        </w:tc>
        <w:tc>
          <w:tcPr>
            <w:tcW w:w="0" w:type="auto"/>
            <w:shd w:val="clear" w:color="auto" w:fill="auto"/>
            <w:tcMar>
              <w:top w:w="40" w:type="dxa"/>
              <w:left w:w="0" w:type="dxa"/>
              <w:bottom w:w="40" w:type="dxa"/>
              <w:right w:w="20" w:type="dxa"/>
            </w:tcMar>
            <w:vAlign w:val="bottom"/>
          </w:tcPr>
          <w:p w14:paraId="39D981E6" w14:textId="77777777" w:rsidR="00996AD7" w:rsidRDefault="00996AD7">
            <w:pPr>
              <w:jc w:val="right"/>
              <w:rPr>
                <w:rFonts w:ascii="宋体"/>
              </w:rPr>
            </w:pPr>
          </w:p>
        </w:tc>
      </w:tr>
      <w:tr w:rsidR="00996AD7" w14:paraId="39D981EF" w14:textId="77777777">
        <w:tc>
          <w:tcPr>
            <w:tcW w:w="0" w:type="auto"/>
            <w:gridSpan w:val="3"/>
            <w:shd w:val="clear" w:color="auto" w:fill="auto"/>
            <w:tcMar>
              <w:top w:w="40" w:type="dxa"/>
              <w:left w:w="20" w:type="dxa"/>
              <w:bottom w:w="40" w:type="dxa"/>
              <w:right w:w="20" w:type="dxa"/>
            </w:tcMar>
          </w:tcPr>
          <w:p w14:paraId="39D981E8" w14:textId="77777777" w:rsidR="00996AD7" w:rsidRDefault="00D96458">
            <w:pPr>
              <w:textAlignment w:val="top"/>
            </w:pPr>
            <w:r>
              <w:rPr>
                <w:rFonts w:ascii="Arial" w:eastAsia="宋体" w:hAnsi="Arial" w:cs="Arial"/>
                <w:color w:val="262626"/>
                <w:sz w:val="18"/>
                <w:szCs w:val="18"/>
              </w:rPr>
              <w:t>Equity method investments</w:t>
            </w:r>
          </w:p>
        </w:tc>
        <w:tc>
          <w:tcPr>
            <w:tcW w:w="0" w:type="auto"/>
            <w:gridSpan w:val="3"/>
            <w:shd w:val="clear" w:color="auto" w:fill="auto"/>
            <w:tcMar>
              <w:top w:w="0" w:type="dxa"/>
              <w:left w:w="20" w:type="dxa"/>
              <w:bottom w:w="0" w:type="dxa"/>
              <w:right w:w="20" w:type="dxa"/>
            </w:tcMar>
            <w:vAlign w:val="bottom"/>
          </w:tcPr>
          <w:p w14:paraId="39D981E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EA" w14:textId="77777777" w:rsidR="00996AD7" w:rsidRDefault="00D96458">
            <w:pPr>
              <w:jc w:val="right"/>
              <w:textAlignment w:val="bottom"/>
            </w:pPr>
            <w:r>
              <w:rPr>
                <w:rFonts w:ascii="Arial" w:eastAsia="宋体" w:hAnsi="Arial" w:cs="Arial"/>
                <w:color w:val="0068B5"/>
                <w:sz w:val="18"/>
                <w:szCs w:val="18"/>
              </w:rPr>
              <w:t>16 </w:t>
            </w:r>
          </w:p>
        </w:tc>
        <w:tc>
          <w:tcPr>
            <w:tcW w:w="0" w:type="auto"/>
            <w:shd w:val="clear" w:color="auto" w:fill="auto"/>
            <w:tcMar>
              <w:top w:w="40" w:type="dxa"/>
              <w:left w:w="0" w:type="dxa"/>
              <w:bottom w:w="40" w:type="dxa"/>
              <w:right w:w="20" w:type="dxa"/>
            </w:tcMar>
            <w:vAlign w:val="bottom"/>
          </w:tcPr>
          <w:p w14:paraId="39D981E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E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1ED" w14:textId="77777777" w:rsidR="00996AD7" w:rsidRDefault="00D96458">
            <w:pPr>
              <w:jc w:val="right"/>
              <w:textAlignment w:val="bottom"/>
            </w:pPr>
            <w:r>
              <w:rPr>
                <w:rFonts w:ascii="Arial" w:eastAsia="宋体" w:hAnsi="Arial" w:cs="Arial"/>
                <w:color w:val="262626"/>
                <w:sz w:val="18"/>
                <w:szCs w:val="18"/>
              </w:rPr>
              <w:t>18 </w:t>
            </w:r>
          </w:p>
        </w:tc>
        <w:tc>
          <w:tcPr>
            <w:tcW w:w="0" w:type="auto"/>
            <w:shd w:val="clear" w:color="auto" w:fill="auto"/>
            <w:tcMar>
              <w:top w:w="40" w:type="dxa"/>
              <w:left w:w="0" w:type="dxa"/>
              <w:bottom w:w="40" w:type="dxa"/>
              <w:right w:w="20" w:type="dxa"/>
            </w:tcMar>
            <w:vAlign w:val="bottom"/>
          </w:tcPr>
          <w:p w14:paraId="39D981EE" w14:textId="77777777" w:rsidR="00996AD7" w:rsidRDefault="00996AD7">
            <w:pPr>
              <w:jc w:val="right"/>
              <w:rPr>
                <w:rFonts w:ascii="宋体"/>
              </w:rPr>
            </w:pPr>
          </w:p>
        </w:tc>
      </w:tr>
      <w:tr w:rsidR="00996AD7" w14:paraId="39D981F9" w14:textId="77777777">
        <w:tc>
          <w:tcPr>
            <w:tcW w:w="0" w:type="auto"/>
            <w:gridSpan w:val="3"/>
            <w:shd w:val="clear" w:color="auto" w:fill="auto"/>
            <w:tcMar>
              <w:top w:w="40" w:type="dxa"/>
              <w:left w:w="20" w:type="dxa"/>
              <w:bottom w:w="40" w:type="dxa"/>
              <w:right w:w="20" w:type="dxa"/>
            </w:tcMar>
          </w:tcPr>
          <w:p w14:paraId="39D981F0" w14:textId="77777777" w:rsidR="00996AD7" w:rsidRDefault="00D9645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39D981F1"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1F2"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1F3" w14:textId="77777777" w:rsidR="00996AD7" w:rsidRDefault="00D96458">
            <w:pPr>
              <w:jc w:val="right"/>
              <w:textAlignment w:val="bottom"/>
            </w:pPr>
            <w:r>
              <w:rPr>
                <w:rFonts w:ascii="Arial" w:eastAsia="宋体" w:hAnsi="Arial" w:cs="Arial"/>
                <w:b/>
                <w:bCs/>
                <w:color w:val="0068B5"/>
                <w:sz w:val="18"/>
                <w:szCs w:val="18"/>
              </w:rPr>
              <w:t>6,050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1F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1F5"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1F6"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1F7" w14:textId="77777777" w:rsidR="00996AD7" w:rsidRDefault="00D96458">
            <w:pPr>
              <w:jc w:val="right"/>
              <w:textAlignment w:val="bottom"/>
            </w:pPr>
            <w:r>
              <w:rPr>
                <w:rFonts w:ascii="Arial" w:eastAsia="宋体" w:hAnsi="Arial" w:cs="Arial"/>
                <w:b/>
                <w:bCs/>
                <w:color w:val="262626"/>
                <w:sz w:val="18"/>
                <w:szCs w:val="18"/>
              </w:rPr>
              <w:t>5,152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1F8" w14:textId="77777777" w:rsidR="00996AD7" w:rsidRDefault="00996AD7">
            <w:pPr>
              <w:jc w:val="right"/>
              <w:rPr>
                <w:rFonts w:ascii="宋体"/>
              </w:rPr>
            </w:pPr>
          </w:p>
        </w:tc>
      </w:tr>
    </w:tbl>
    <w:p w14:paraId="39D981FA" w14:textId="77777777" w:rsidR="00996AD7" w:rsidRDefault="00D96458">
      <w:pPr>
        <w:spacing w:after="120"/>
      </w:pPr>
      <w:r>
        <w:rPr>
          <w:rFonts w:ascii="Arial" w:eastAsia="宋体" w:hAnsi="Arial" w:cs="Arial"/>
          <w:color w:val="262626"/>
          <w:sz w:val="18"/>
          <w:szCs w:val="18"/>
        </w:rPr>
        <w:t>The components of gains (losses) on equity investments, net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870"/>
        <w:gridCol w:w="36"/>
        <w:gridCol w:w="36"/>
        <w:gridCol w:w="36"/>
        <w:gridCol w:w="36"/>
        <w:gridCol w:w="121"/>
        <w:gridCol w:w="721"/>
        <w:gridCol w:w="36"/>
        <w:gridCol w:w="36"/>
        <w:gridCol w:w="36"/>
        <w:gridCol w:w="36"/>
        <w:gridCol w:w="121"/>
        <w:gridCol w:w="798"/>
        <w:gridCol w:w="36"/>
        <w:gridCol w:w="36"/>
        <w:gridCol w:w="36"/>
        <w:gridCol w:w="36"/>
        <w:gridCol w:w="121"/>
        <w:gridCol w:w="798"/>
        <w:gridCol w:w="36"/>
        <w:gridCol w:w="36"/>
        <w:gridCol w:w="36"/>
        <w:gridCol w:w="36"/>
        <w:gridCol w:w="121"/>
        <w:gridCol w:w="798"/>
        <w:gridCol w:w="36"/>
        <w:gridCol w:w="36"/>
        <w:gridCol w:w="36"/>
        <w:gridCol w:w="36"/>
        <w:gridCol w:w="36"/>
        <w:gridCol w:w="36"/>
        <w:gridCol w:w="36"/>
      </w:tblGrid>
      <w:tr w:rsidR="00996AD7" w14:paraId="39D9821A" w14:textId="77777777">
        <w:tc>
          <w:tcPr>
            <w:tcW w:w="50" w:type="pct"/>
            <w:shd w:val="clear" w:color="auto" w:fill="auto"/>
            <w:vAlign w:val="bottom"/>
          </w:tcPr>
          <w:p w14:paraId="39D981FB" w14:textId="77777777" w:rsidR="00996AD7" w:rsidRDefault="00996AD7">
            <w:pPr>
              <w:rPr>
                <w:rFonts w:ascii="宋体"/>
              </w:rPr>
            </w:pPr>
          </w:p>
        </w:tc>
        <w:tc>
          <w:tcPr>
            <w:tcW w:w="2451" w:type="pct"/>
            <w:shd w:val="clear" w:color="auto" w:fill="auto"/>
            <w:vAlign w:val="bottom"/>
          </w:tcPr>
          <w:p w14:paraId="39D981FC" w14:textId="77777777" w:rsidR="00996AD7" w:rsidRDefault="00996AD7">
            <w:pPr>
              <w:rPr>
                <w:rFonts w:ascii="宋体"/>
              </w:rPr>
            </w:pPr>
          </w:p>
        </w:tc>
        <w:tc>
          <w:tcPr>
            <w:tcW w:w="5" w:type="pct"/>
            <w:shd w:val="clear" w:color="auto" w:fill="auto"/>
            <w:vAlign w:val="bottom"/>
          </w:tcPr>
          <w:p w14:paraId="39D981FD" w14:textId="77777777" w:rsidR="00996AD7" w:rsidRDefault="00996AD7">
            <w:pPr>
              <w:rPr>
                <w:rFonts w:ascii="宋体"/>
              </w:rPr>
            </w:pPr>
          </w:p>
        </w:tc>
        <w:tc>
          <w:tcPr>
            <w:tcW w:w="5" w:type="pct"/>
            <w:shd w:val="clear" w:color="auto" w:fill="auto"/>
            <w:vAlign w:val="bottom"/>
          </w:tcPr>
          <w:p w14:paraId="39D981FE" w14:textId="77777777" w:rsidR="00996AD7" w:rsidRDefault="00996AD7">
            <w:pPr>
              <w:rPr>
                <w:rFonts w:ascii="宋体"/>
              </w:rPr>
            </w:pPr>
          </w:p>
        </w:tc>
        <w:tc>
          <w:tcPr>
            <w:tcW w:w="24" w:type="pct"/>
            <w:shd w:val="clear" w:color="auto" w:fill="auto"/>
            <w:vAlign w:val="bottom"/>
          </w:tcPr>
          <w:p w14:paraId="39D981FF" w14:textId="77777777" w:rsidR="00996AD7" w:rsidRDefault="00996AD7">
            <w:pPr>
              <w:rPr>
                <w:rFonts w:ascii="宋体"/>
              </w:rPr>
            </w:pPr>
          </w:p>
        </w:tc>
        <w:tc>
          <w:tcPr>
            <w:tcW w:w="5" w:type="pct"/>
            <w:shd w:val="clear" w:color="auto" w:fill="auto"/>
            <w:vAlign w:val="bottom"/>
          </w:tcPr>
          <w:p w14:paraId="39D98200" w14:textId="77777777" w:rsidR="00996AD7" w:rsidRDefault="00996AD7">
            <w:pPr>
              <w:rPr>
                <w:rFonts w:ascii="宋体"/>
              </w:rPr>
            </w:pPr>
          </w:p>
        </w:tc>
        <w:tc>
          <w:tcPr>
            <w:tcW w:w="50" w:type="pct"/>
            <w:shd w:val="clear" w:color="auto" w:fill="auto"/>
            <w:vAlign w:val="bottom"/>
          </w:tcPr>
          <w:p w14:paraId="39D98201" w14:textId="77777777" w:rsidR="00996AD7" w:rsidRDefault="00996AD7">
            <w:pPr>
              <w:rPr>
                <w:rFonts w:ascii="宋体"/>
              </w:rPr>
            </w:pPr>
          </w:p>
        </w:tc>
        <w:tc>
          <w:tcPr>
            <w:tcW w:w="539" w:type="pct"/>
            <w:shd w:val="clear" w:color="auto" w:fill="auto"/>
            <w:vAlign w:val="bottom"/>
          </w:tcPr>
          <w:p w14:paraId="39D98202" w14:textId="77777777" w:rsidR="00996AD7" w:rsidRDefault="00996AD7">
            <w:pPr>
              <w:rPr>
                <w:rFonts w:ascii="宋体"/>
              </w:rPr>
            </w:pPr>
          </w:p>
        </w:tc>
        <w:tc>
          <w:tcPr>
            <w:tcW w:w="5" w:type="pct"/>
            <w:shd w:val="clear" w:color="auto" w:fill="auto"/>
            <w:vAlign w:val="bottom"/>
          </w:tcPr>
          <w:p w14:paraId="39D98203" w14:textId="77777777" w:rsidR="00996AD7" w:rsidRDefault="00996AD7">
            <w:pPr>
              <w:rPr>
                <w:rFonts w:ascii="宋体"/>
              </w:rPr>
            </w:pPr>
          </w:p>
        </w:tc>
        <w:tc>
          <w:tcPr>
            <w:tcW w:w="5" w:type="pct"/>
            <w:shd w:val="clear" w:color="auto" w:fill="auto"/>
            <w:vAlign w:val="bottom"/>
          </w:tcPr>
          <w:p w14:paraId="39D98204" w14:textId="77777777" w:rsidR="00996AD7" w:rsidRDefault="00996AD7">
            <w:pPr>
              <w:rPr>
                <w:rFonts w:ascii="宋体"/>
              </w:rPr>
            </w:pPr>
          </w:p>
        </w:tc>
        <w:tc>
          <w:tcPr>
            <w:tcW w:w="17" w:type="pct"/>
            <w:shd w:val="clear" w:color="auto" w:fill="auto"/>
            <w:vAlign w:val="bottom"/>
          </w:tcPr>
          <w:p w14:paraId="39D98205" w14:textId="77777777" w:rsidR="00996AD7" w:rsidRDefault="00996AD7">
            <w:pPr>
              <w:rPr>
                <w:rFonts w:ascii="宋体"/>
              </w:rPr>
            </w:pPr>
          </w:p>
        </w:tc>
        <w:tc>
          <w:tcPr>
            <w:tcW w:w="5" w:type="pct"/>
            <w:shd w:val="clear" w:color="auto" w:fill="auto"/>
            <w:vAlign w:val="bottom"/>
          </w:tcPr>
          <w:p w14:paraId="39D98206" w14:textId="77777777" w:rsidR="00996AD7" w:rsidRDefault="00996AD7">
            <w:pPr>
              <w:rPr>
                <w:rFonts w:ascii="宋体"/>
              </w:rPr>
            </w:pPr>
          </w:p>
        </w:tc>
        <w:tc>
          <w:tcPr>
            <w:tcW w:w="50" w:type="pct"/>
            <w:shd w:val="clear" w:color="auto" w:fill="auto"/>
            <w:vAlign w:val="bottom"/>
          </w:tcPr>
          <w:p w14:paraId="39D98207" w14:textId="77777777" w:rsidR="00996AD7" w:rsidRDefault="00996AD7">
            <w:pPr>
              <w:rPr>
                <w:rFonts w:ascii="宋体"/>
              </w:rPr>
            </w:pPr>
          </w:p>
        </w:tc>
        <w:tc>
          <w:tcPr>
            <w:tcW w:w="539" w:type="pct"/>
            <w:shd w:val="clear" w:color="auto" w:fill="auto"/>
            <w:vAlign w:val="bottom"/>
          </w:tcPr>
          <w:p w14:paraId="39D98208" w14:textId="77777777" w:rsidR="00996AD7" w:rsidRDefault="00996AD7">
            <w:pPr>
              <w:rPr>
                <w:rFonts w:ascii="宋体"/>
              </w:rPr>
            </w:pPr>
          </w:p>
        </w:tc>
        <w:tc>
          <w:tcPr>
            <w:tcW w:w="5" w:type="pct"/>
            <w:shd w:val="clear" w:color="auto" w:fill="auto"/>
            <w:vAlign w:val="bottom"/>
          </w:tcPr>
          <w:p w14:paraId="39D98209" w14:textId="77777777" w:rsidR="00996AD7" w:rsidRDefault="00996AD7">
            <w:pPr>
              <w:rPr>
                <w:rFonts w:ascii="宋体"/>
              </w:rPr>
            </w:pPr>
          </w:p>
        </w:tc>
        <w:tc>
          <w:tcPr>
            <w:tcW w:w="5" w:type="pct"/>
            <w:shd w:val="clear" w:color="auto" w:fill="auto"/>
            <w:vAlign w:val="bottom"/>
          </w:tcPr>
          <w:p w14:paraId="39D9820A" w14:textId="77777777" w:rsidR="00996AD7" w:rsidRDefault="00996AD7">
            <w:pPr>
              <w:rPr>
                <w:rFonts w:ascii="宋体"/>
              </w:rPr>
            </w:pPr>
          </w:p>
        </w:tc>
        <w:tc>
          <w:tcPr>
            <w:tcW w:w="17" w:type="pct"/>
            <w:shd w:val="clear" w:color="auto" w:fill="auto"/>
            <w:vAlign w:val="bottom"/>
          </w:tcPr>
          <w:p w14:paraId="39D9820B" w14:textId="77777777" w:rsidR="00996AD7" w:rsidRDefault="00996AD7">
            <w:pPr>
              <w:rPr>
                <w:rFonts w:ascii="宋体"/>
              </w:rPr>
            </w:pPr>
          </w:p>
        </w:tc>
        <w:tc>
          <w:tcPr>
            <w:tcW w:w="5" w:type="pct"/>
            <w:shd w:val="clear" w:color="auto" w:fill="auto"/>
            <w:vAlign w:val="bottom"/>
          </w:tcPr>
          <w:p w14:paraId="39D9820C" w14:textId="77777777" w:rsidR="00996AD7" w:rsidRDefault="00996AD7">
            <w:pPr>
              <w:rPr>
                <w:rFonts w:ascii="宋体"/>
              </w:rPr>
            </w:pPr>
          </w:p>
        </w:tc>
        <w:tc>
          <w:tcPr>
            <w:tcW w:w="50" w:type="pct"/>
            <w:shd w:val="clear" w:color="auto" w:fill="auto"/>
            <w:vAlign w:val="bottom"/>
          </w:tcPr>
          <w:p w14:paraId="39D9820D" w14:textId="77777777" w:rsidR="00996AD7" w:rsidRDefault="00996AD7">
            <w:pPr>
              <w:rPr>
                <w:rFonts w:ascii="宋体"/>
              </w:rPr>
            </w:pPr>
          </w:p>
        </w:tc>
        <w:tc>
          <w:tcPr>
            <w:tcW w:w="539" w:type="pct"/>
            <w:shd w:val="clear" w:color="auto" w:fill="auto"/>
            <w:vAlign w:val="bottom"/>
          </w:tcPr>
          <w:p w14:paraId="39D9820E" w14:textId="77777777" w:rsidR="00996AD7" w:rsidRDefault="00996AD7">
            <w:pPr>
              <w:rPr>
                <w:rFonts w:ascii="宋体"/>
              </w:rPr>
            </w:pPr>
          </w:p>
        </w:tc>
        <w:tc>
          <w:tcPr>
            <w:tcW w:w="5" w:type="pct"/>
            <w:shd w:val="clear" w:color="auto" w:fill="auto"/>
            <w:vAlign w:val="bottom"/>
          </w:tcPr>
          <w:p w14:paraId="39D9820F" w14:textId="77777777" w:rsidR="00996AD7" w:rsidRDefault="00996AD7">
            <w:pPr>
              <w:rPr>
                <w:rFonts w:ascii="宋体"/>
              </w:rPr>
            </w:pPr>
          </w:p>
        </w:tc>
        <w:tc>
          <w:tcPr>
            <w:tcW w:w="5" w:type="pct"/>
            <w:shd w:val="clear" w:color="auto" w:fill="auto"/>
            <w:vAlign w:val="bottom"/>
          </w:tcPr>
          <w:p w14:paraId="39D98210" w14:textId="77777777" w:rsidR="00996AD7" w:rsidRDefault="00996AD7">
            <w:pPr>
              <w:rPr>
                <w:rFonts w:ascii="宋体"/>
              </w:rPr>
            </w:pPr>
          </w:p>
        </w:tc>
        <w:tc>
          <w:tcPr>
            <w:tcW w:w="17" w:type="pct"/>
            <w:shd w:val="clear" w:color="auto" w:fill="auto"/>
            <w:vAlign w:val="bottom"/>
          </w:tcPr>
          <w:p w14:paraId="39D98211" w14:textId="77777777" w:rsidR="00996AD7" w:rsidRDefault="00996AD7">
            <w:pPr>
              <w:rPr>
                <w:rFonts w:ascii="宋体"/>
              </w:rPr>
            </w:pPr>
          </w:p>
        </w:tc>
        <w:tc>
          <w:tcPr>
            <w:tcW w:w="5" w:type="pct"/>
            <w:shd w:val="clear" w:color="auto" w:fill="auto"/>
            <w:vAlign w:val="bottom"/>
          </w:tcPr>
          <w:p w14:paraId="39D98212" w14:textId="77777777" w:rsidR="00996AD7" w:rsidRDefault="00996AD7">
            <w:pPr>
              <w:rPr>
                <w:rFonts w:ascii="宋体"/>
              </w:rPr>
            </w:pPr>
          </w:p>
        </w:tc>
        <w:tc>
          <w:tcPr>
            <w:tcW w:w="50" w:type="pct"/>
            <w:shd w:val="clear" w:color="auto" w:fill="auto"/>
            <w:vAlign w:val="bottom"/>
          </w:tcPr>
          <w:p w14:paraId="39D98213" w14:textId="77777777" w:rsidR="00996AD7" w:rsidRDefault="00996AD7">
            <w:pPr>
              <w:rPr>
                <w:rFonts w:ascii="宋体"/>
              </w:rPr>
            </w:pPr>
          </w:p>
        </w:tc>
        <w:tc>
          <w:tcPr>
            <w:tcW w:w="539" w:type="pct"/>
            <w:shd w:val="clear" w:color="auto" w:fill="auto"/>
            <w:vAlign w:val="bottom"/>
          </w:tcPr>
          <w:p w14:paraId="39D98214" w14:textId="77777777" w:rsidR="00996AD7" w:rsidRDefault="00996AD7">
            <w:pPr>
              <w:rPr>
                <w:rFonts w:ascii="宋体"/>
              </w:rPr>
            </w:pPr>
          </w:p>
        </w:tc>
        <w:tc>
          <w:tcPr>
            <w:tcW w:w="5" w:type="pct"/>
            <w:shd w:val="clear" w:color="auto" w:fill="auto"/>
            <w:vAlign w:val="bottom"/>
          </w:tcPr>
          <w:p w14:paraId="39D98215" w14:textId="77777777" w:rsidR="00996AD7" w:rsidRDefault="00996AD7">
            <w:pPr>
              <w:rPr>
                <w:rFonts w:ascii="宋体"/>
              </w:rPr>
            </w:pPr>
          </w:p>
        </w:tc>
        <w:tc>
          <w:tcPr>
            <w:tcW w:w="0" w:type="auto"/>
            <w:shd w:val="clear" w:color="auto" w:fill="auto"/>
            <w:vAlign w:val="bottom"/>
          </w:tcPr>
          <w:p w14:paraId="39D98216" w14:textId="77777777" w:rsidR="00996AD7" w:rsidRDefault="00996AD7">
            <w:pPr>
              <w:rPr>
                <w:rFonts w:ascii="宋体"/>
                <w:vanish/>
              </w:rPr>
            </w:pPr>
          </w:p>
        </w:tc>
        <w:tc>
          <w:tcPr>
            <w:tcW w:w="0" w:type="auto"/>
            <w:shd w:val="clear" w:color="auto" w:fill="auto"/>
            <w:vAlign w:val="bottom"/>
          </w:tcPr>
          <w:p w14:paraId="39D98217" w14:textId="77777777" w:rsidR="00996AD7" w:rsidRDefault="00996AD7">
            <w:pPr>
              <w:rPr>
                <w:rFonts w:ascii="宋体"/>
                <w:vanish/>
              </w:rPr>
            </w:pPr>
          </w:p>
        </w:tc>
        <w:tc>
          <w:tcPr>
            <w:tcW w:w="0" w:type="auto"/>
            <w:shd w:val="clear" w:color="auto" w:fill="auto"/>
            <w:vAlign w:val="bottom"/>
          </w:tcPr>
          <w:p w14:paraId="39D98218" w14:textId="77777777" w:rsidR="00996AD7" w:rsidRDefault="00996AD7">
            <w:pPr>
              <w:rPr>
                <w:rFonts w:ascii="宋体"/>
                <w:vanish/>
              </w:rPr>
            </w:pPr>
          </w:p>
        </w:tc>
        <w:tc>
          <w:tcPr>
            <w:tcW w:w="0" w:type="auto"/>
            <w:gridSpan w:val="3"/>
            <w:shd w:val="clear" w:color="auto" w:fill="auto"/>
            <w:vAlign w:val="bottom"/>
          </w:tcPr>
          <w:p w14:paraId="39D98219" w14:textId="77777777" w:rsidR="00996AD7" w:rsidRDefault="00996AD7">
            <w:pPr>
              <w:rPr>
                <w:rFonts w:ascii="宋体"/>
                <w:vanish/>
              </w:rPr>
            </w:pPr>
          </w:p>
        </w:tc>
      </w:tr>
      <w:tr w:rsidR="00996AD7" w14:paraId="39D98226" w14:textId="77777777">
        <w:tc>
          <w:tcPr>
            <w:tcW w:w="0" w:type="auto"/>
            <w:gridSpan w:val="3"/>
            <w:shd w:val="clear" w:color="auto" w:fill="auto"/>
            <w:tcMar>
              <w:top w:w="40" w:type="dxa"/>
              <w:left w:w="200" w:type="dxa"/>
              <w:bottom w:w="40" w:type="dxa"/>
              <w:right w:w="20" w:type="dxa"/>
            </w:tcMar>
            <w:vAlign w:val="bottom"/>
          </w:tcPr>
          <w:p w14:paraId="39D9821B" w14:textId="77777777" w:rsidR="00996AD7" w:rsidRDefault="00D96458">
            <w:pPr>
              <w:textAlignment w:val="bottom"/>
            </w:pPr>
            <w:r>
              <w:rPr>
                <w:rFonts w:ascii="Arial" w:eastAsia="宋体" w:hAnsi="Arial" w:cs="Arial"/>
                <w:color w:val="262626"/>
                <w:sz w:val="16"/>
                <w:szCs w:val="16"/>
              </w:rPr>
              <w:t> </w:t>
            </w:r>
          </w:p>
        </w:tc>
        <w:tc>
          <w:tcPr>
            <w:tcW w:w="0" w:type="auto"/>
            <w:gridSpan w:val="3"/>
            <w:shd w:val="clear" w:color="auto" w:fill="auto"/>
            <w:tcMar>
              <w:top w:w="0" w:type="dxa"/>
              <w:left w:w="20" w:type="dxa"/>
              <w:bottom w:w="0" w:type="dxa"/>
              <w:right w:w="20" w:type="dxa"/>
            </w:tcMar>
            <w:vAlign w:val="bottom"/>
          </w:tcPr>
          <w:p w14:paraId="39D9821C"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21D" w14:textId="77777777" w:rsidR="00996AD7" w:rsidRDefault="00D964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39D9821E"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21F" w14:textId="77777777" w:rsidR="00996AD7" w:rsidRDefault="00D96458">
            <w:pPr>
              <w:jc w:val="center"/>
              <w:textAlignment w:val="bottom"/>
            </w:pPr>
            <w:r>
              <w:rPr>
                <w:rFonts w:ascii="Arial" w:eastAsia="宋体" w:hAnsi="Arial" w:cs="Arial"/>
                <w:b/>
                <w:bCs/>
                <w:color w:val="262626"/>
                <w:sz w:val="18"/>
                <w:szCs w:val="18"/>
              </w:rPr>
              <w:t>Nine Months Ended</w:t>
            </w:r>
          </w:p>
        </w:tc>
        <w:tc>
          <w:tcPr>
            <w:tcW w:w="0" w:type="auto"/>
            <w:shd w:val="clear" w:color="auto" w:fill="auto"/>
            <w:vAlign w:val="bottom"/>
          </w:tcPr>
          <w:p w14:paraId="39D98220" w14:textId="77777777" w:rsidR="00996AD7" w:rsidRDefault="00996AD7">
            <w:pPr>
              <w:rPr>
                <w:rFonts w:ascii="宋体"/>
                <w:vanish/>
              </w:rPr>
            </w:pPr>
          </w:p>
        </w:tc>
        <w:tc>
          <w:tcPr>
            <w:tcW w:w="0" w:type="auto"/>
            <w:shd w:val="clear" w:color="auto" w:fill="auto"/>
            <w:vAlign w:val="bottom"/>
          </w:tcPr>
          <w:p w14:paraId="39D98221" w14:textId="77777777" w:rsidR="00996AD7" w:rsidRDefault="00996AD7">
            <w:pPr>
              <w:rPr>
                <w:rFonts w:ascii="宋体"/>
                <w:vanish/>
              </w:rPr>
            </w:pPr>
          </w:p>
        </w:tc>
        <w:tc>
          <w:tcPr>
            <w:tcW w:w="0" w:type="auto"/>
            <w:shd w:val="clear" w:color="auto" w:fill="auto"/>
            <w:vAlign w:val="bottom"/>
          </w:tcPr>
          <w:p w14:paraId="39D98222" w14:textId="77777777" w:rsidR="00996AD7" w:rsidRDefault="00996AD7">
            <w:pPr>
              <w:rPr>
                <w:rFonts w:ascii="宋体"/>
                <w:vanish/>
              </w:rPr>
            </w:pPr>
          </w:p>
        </w:tc>
        <w:tc>
          <w:tcPr>
            <w:tcW w:w="0" w:type="auto"/>
            <w:shd w:val="clear" w:color="auto" w:fill="auto"/>
            <w:vAlign w:val="bottom"/>
          </w:tcPr>
          <w:p w14:paraId="39D98223" w14:textId="77777777" w:rsidR="00996AD7" w:rsidRDefault="00996AD7">
            <w:pPr>
              <w:rPr>
                <w:rFonts w:ascii="宋体"/>
              </w:rPr>
            </w:pPr>
          </w:p>
        </w:tc>
        <w:tc>
          <w:tcPr>
            <w:tcW w:w="0" w:type="auto"/>
            <w:shd w:val="clear" w:color="auto" w:fill="auto"/>
            <w:vAlign w:val="bottom"/>
          </w:tcPr>
          <w:p w14:paraId="39D98224" w14:textId="77777777" w:rsidR="00996AD7" w:rsidRDefault="00996AD7">
            <w:pPr>
              <w:rPr>
                <w:rFonts w:ascii="宋体"/>
              </w:rPr>
            </w:pPr>
          </w:p>
        </w:tc>
        <w:tc>
          <w:tcPr>
            <w:tcW w:w="0" w:type="auto"/>
            <w:shd w:val="clear" w:color="auto" w:fill="auto"/>
            <w:vAlign w:val="bottom"/>
          </w:tcPr>
          <w:p w14:paraId="39D98225" w14:textId="77777777" w:rsidR="00996AD7" w:rsidRDefault="00996AD7">
            <w:pPr>
              <w:rPr>
                <w:rFonts w:ascii="宋体"/>
              </w:rPr>
            </w:pPr>
          </w:p>
        </w:tc>
      </w:tr>
      <w:tr w:rsidR="00996AD7" w14:paraId="39D98234" w14:textId="77777777">
        <w:tc>
          <w:tcPr>
            <w:tcW w:w="0" w:type="auto"/>
            <w:gridSpan w:val="3"/>
            <w:shd w:val="clear" w:color="auto" w:fill="auto"/>
            <w:tcMar>
              <w:top w:w="40" w:type="dxa"/>
              <w:left w:w="20" w:type="dxa"/>
              <w:bottom w:w="40" w:type="dxa"/>
              <w:right w:w="20" w:type="dxa"/>
            </w:tcMar>
            <w:vAlign w:val="bottom"/>
          </w:tcPr>
          <w:p w14:paraId="39D98227"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228"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229"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22A"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22B"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gridSpan w:val="3"/>
            <w:shd w:val="clear" w:color="auto" w:fill="auto"/>
            <w:tcMar>
              <w:top w:w="0" w:type="dxa"/>
              <w:left w:w="20" w:type="dxa"/>
              <w:bottom w:w="0" w:type="dxa"/>
              <w:right w:w="20" w:type="dxa"/>
            </w:tcMar>
            <w:vAlign w:val="bottom"/>
          </w:tcPr>
          <w:p w14:paraId="39D9822C"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22D"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22E"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22F"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shd w:val="clear" w:color="auto" w:fill="auto"/>
            <w:vAlign w:val="bottom"/>
          </w:tcPr>
          <w:p w14:paraId="39D98230" w14:textId="77777777" w:rsidR="00996AD7" w:rsidRDefault="00996AD7">
            <w:pPr>
              <w:rPr>
                <w:rFonts w:ascii="宋体"/>
                <w:vanish/>
              </w:rPr>
            </w:pPr>
          </w:p>
        </w:tc>
        <w:tc>
          <w:tcPr>
            <w:tcW w:w="0" w:type="auto"/>
            <w:shd w:val="clear" w:color="auto" w:fill="auto"/>
            <w:vAlign w:val="bottom"/>
          </w:tcPr>
          <w:p w14:paraId="39D98231" w14:textId="77777777" w:rsidR="00996AD7" w:rsidRDefault="00996AD7">
            <w:pPr>
              <w:rPr>
                <w:rFonts w:ascii="宋体"/>
                <w:vanish/>
              </w:rPr>
            </w:pPr>
          </w:p>
        </w:tc>
        <w:tc>
          <w:tcPr>
            <w:tcW w:w="0" w:type="auto"/>
            <w:shd w:val="clear" w:color="auto" w:fill="auto"/>
            <w:vAlign w:val="bottom"/>
          </w:tcPr>
          <w:p w14:paraId="39D98232" w14:textId="77777777" w:rsidR="00996AD7" w:rsidRDefault="00996AD7">
            <w:pPr>
              <w:rPr>
                <w:rFonts w:ascii="宋体"/>
                <w:vanish/>
              </w:rPr>
            </w:pPr>
          </w:p>
        </w:tc>
        <w:tc>
          <w:tcPr>
            <w:tcW w:w="0" w:type="auto"/>
            <w:gridSpan w:val="3"/>
            <w:shd w:val="clear" w:color="auto" w:fill="auto"/>
            <w:vAlign w:val="bottom"/>
          </w:tcPr>
          <w:p w14:paraId="39D98233" w14:textId="77777777" w:rsidR="00996AD7" w:rsidRDefault="00996AD7">
            <w:pPr>
              <w:rPr>
                <w:rFonts w:ascii="宋体"/>
                <w:vanish/>
              </w:rPr>
            </w:pPr>
          </w:p>
        </w:tc>
      </w:tr>
      <w:tr w:rsidR="00996AD7" w14:paraId="39D9824A"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8235" w14:textId="77777777" w:rsidR="00996AD7" w:rsidRDefault="00D96458">
            <w:pPr>
              <w:textAlignment w:val="top"/>
            </w:pPr>
            <w:r>
              <w:rPr>
                <w:rFonts w:ascii="Arial" w:eastAsia="宋体" w:hAnsi="Arial" w:cs="Arial"/>
                <w:color w:val="262626"/>
                <w:sz w:val="18"/>
                <w:szCs w:val="18"/>
              </w:rPr>
              <w:t xml:space="preserve">Ongoing mark-to-market adjustments on </w:t>
            </w: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vAlign w:val="bottom"/>
          </w:tcPr>
          <w:p w14:paraId="39D98236"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237"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238" w14:textId="77777777" w:rsidR="00996AD7" w:rsidRDefault="00D96458">
            <w:pPr>
              <w:jc w:val="right"/>
              <w:textAlignment w:val="bottom"/>
            </w:pPr>
            <w:r>
              <w:rPr>
                <w:rFonts w:ascii="Arial" w:eastAsia="宋体" w:hAnsi="Arial" w:cs="Arial"/>
                <w:color w:val="0068B5"/>
                <w:sz w:val="18"/>
                <w:szCs w:val="18"/>
              </w:rPr>
              <w:t>(192)</w:t>
            </w:r>
          </w:p>
        </w:tc>
        <w:tc>
          <w:tcPr>
            <w:tcW w:w="0" w:type="auto"/>
            <w:tcBorders>
              <w:top w:val="single" w:sz="8" w:space="0" w:color="0068B5"/>
            </w:tcBorders>
            <w:shd w:val="clear" w:color="auto" w:fill="auto"/>
            <w:tcMar>
              <w:top w:w="40" w:type="dxa"/>
              <w:left w:w="0" w:type="dxa"/>
              <w:bottom w:w="40" w:type="dxa"/>
              <w:right w:w="20" w:type="dxa"/>
            </w:tcMar>
            <w:vAlign w:val="bottom"/>
          </w:tcPr>
          <w:p w14:paraId="39D9823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3A"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23B"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23C" w14:textId="77777777" w:rsidR="00996AD7" w:rsidRDefault="00D96458">
            <w:pPr>
              <w:jc w:val="right"/>
              <w:textAlignment w:val="bottom"/>
            </w:pPr>
            <w:r>
              <w:rPr>
                <w:rFonts w:ascii="Arial" w:eastAsia="宋体" w:hAnsi="Arial" w:cs="Arial"/>
                <w:color w:val="262626"/>
                <w:sz w:val="18"/>
                <w:szCs w:val="18"/>
              </w:rPr>
              <w:t>(146)</w:t>
            </w:r>
          </w:p>
        </w:tc>
        <w:tc>
          <w:tcPr>
            <w:tcW w:w="0" w:type="auto"/>
            <w:tcBorders>
              <w:top w:val="single" w:sz="8" w:space="0" w:color="0068B5"/>
            </w:tcBorders>
            <w:shd w:val="clear" w:color="auto" w:fill="auto"/>
            <w:tcMar>
              <w:top w:w="40" w:type="dxa"/>
              <w:left w:w="0" w:type="dxa"/>
              <w:bottom w:w="40" w:type="dxa"/>
              <w:right w:w="20" w:type="dxa"/>
            </w:tcMar>
            <w:vAlign w:val="bottom"/>
          </w:tcPr>
          <w:p w14:paraId="39D9823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3E"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23F"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240" w14:textId="77777777" w:rsidR="00996AD7" w:rsidRDefault="00D96458">
            <w:pPr>
              <w:jc w:val="right"/>
              <w:textAlignment w:val="bottom"/>
            </w:pPr>
            <w:r>
              <w:rPr>
                <w:rFonts w:ascii="Arial" w:eastAsia="宋体" w:hAnsi="Arial" w:cs="Arial"/>
                <w:color w:val="0068B5"/>
                <w:sz w:val="18"/>
                <w:szCs w:val="18"/>
              </w:rPr>
              <w:t>(345)</w:t>
            </w:r>
          </w:p>
        </w:tc>
        <w:tc>
          <w:tcPr>
            <w:tcW w:w="0" w:type="auto"/>
            <w:tcBorders>
              <w:top w:val="single" w:sz="8" w:space="0" w:color="0068B5"/>
            </w:tcBorders>
            <w:shd w:val="clear" w:color="auto" w:fill="auto"/>
            <w:tcMar>
              <w:top w:w="40" w:type="dxa"/>
              <w:left w:w="0" w:type="dxa"/>
              <w:bottom w:w="40" w:type="dxa"/>
              <w:right w:w="20" w:type="dxa"/>
            </w:tcMar>
            <w:vAlign w:val="bottom"/>
          </w:tcPr>
          <w:p w14:paraId="39D9824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42"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243"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244" w14:textId="77777777" w:rsidR="00996AD7" w:rsidRDefault="00D96458">
            <w:pPr>
              <w:jc w:val="right"/>
              <w:textAlignment w:val="bottom"/>
            </w:pPr>
            <w:r>
              <w:rPr>
                <w:rFonts w:ascii="Arial" w:eastAsia="宋体" w:hAnsi="Arial" w:cs="Arial"/>
                <w:color w:val="262626"/>
                <w:sz w:val="18"/>
                <w:szCs w:val="18"/>
              </w:rPr>
              <w:t>(84)</w:t>
            </w:r>
          </w:p>
        </w:tc>
        <w:tc>
          <w:tcPr>
            <w:tcW w:w="0" w:type="auto"/>
            <w:tcBorders>
              <w:top w:val="single" w:sz="8" w:space="0" w:color="0068B5"/>
            </w:tcBorders>
            <w:shd w:val="clear" w:color="auto" w:fill="auto"/>
            <w:tcMar>
              <w:top w:w="40" w:type="dxa"/>
              <w:left w:w="0" w:type="dxa"/>
              <w:bottom w:w="40" w:type="dxa"/>
              <w:right w:w="20" w:type="dxa"/>
            </w:tcMar>
            <w:vAlign w:val="bottom"/>
          </w:tcPr>
          <w:p w14:paraId="39D98245" w14:textId="77777777" w:rsidR="00996AD7" w:rsidRDefault="00996AD7">
            <w:pPr>
              <w:jc w:val="right"/>
              <w:rPr>
                <w:rFonts w:ascii="宋体"/>
              </w:rPr>
            </w:pPr>
          </w:p>
        </w:tc>
        <w:tc>
          <w:tcPr>
            <w:tcW w:w="0" w:type="auto"/>
            <w:shd w:val="clear" w:color="auto" w:fill="auto"/>
            <w:vAlign w:val="bottom"/>
          </w:tcPr>
          <w:p w14:paraId="39D98246" w14:textId="77777777" w:rsidR="00996AD7" w:rsidRDefault="00996AD7">
            <w:pPr>
              <w:rPr>
                <w:rFonts w:ascii="宋体"/>
                <w:vanish/>
              </w:rPr>
            </w:pPr>
          </w:p>
        </w:tc>
        <w:tc>
          <w:tcPr>
            <w:tcW w:w="0" w:type="auto"/>
            <w:shd w:val="clear" w:color="auto" w:fill="auto"/>
            <w:vAlign w:val="bottom"/>
          </w:tcPr>
          <w:p w14:paraId="39D98247" w14:textId="77777777" w:rsidR="00996AD7" w:rsidRDefault="00996AD7">
            <w:pPr>
              <w:rPr>
                <w:rFonts w:ascii="宋体"/>
                <w:vanish/>
              </w:rPr>
            </w:pPr>
          </w:p>
        </w:tc>
        <w:tc>
          <w:tcPr>
            <w:tcW w:w="0" w:type="auto"/>
            <w:shd w:val="clear" w:color="auto" w:fill="auto"/>
            <w:vAlign w:val="bottom"/>
          </w:tcPr>
          <w:p w14:paraId="39D98248" w14:textId="77777777" w:rsidR="00996AD7" w:rsidRDefault="00996AD7">
            <w:pPr>
              <w:rPr>
                <w:rFonts w:ascii="宋体"/>
                <w:vanish/>
              </w:rPr>
            </w:pPr>
          </w:p>
        </w:tc>
        <w:tc>
          <w:tcPr>
            <w:tcW w:w="0" w:type="auto"/>
            <w:gridSpan w:val="3"/>
            <w:shd w:val="clear" w:color="auto" w:fill="auto"/>
            <w:vAlign w:val="bottom"/>
          </w:tcPr>
          <w:p w14:paraId="39D98249" w14:textId="77777777" w:rsidR="00996AD7" w:rsidRDefault="00996AD7">
            <w:pPr>
              <w:rPr>
                <w:rFonts w:ascii="宋体"/>
                <w:vanish/>
              </w:rPr>
            </w:pPr>
          </w:p>
        </w:tc>
      </w:tr>
      <w:tr w:rsidR="00996AD7" w14:paraId="39D9825C" w14:textId="77777777">
        <w:tc>
          <w:tcPr>
            <w:tcW w:w="0" w:type="auto"/>
            <w:gridSpan w:val="3"/>
            <w:shd w:val="clear" w:color="auto" w:fill="auto"/>
            <w:tcMar>
              <w:top w:w="40" w:type="dxa"/>
              <w:left w:w="20" w:type="dxa"/>
              <w:bottom w:w="40" w:type="dxa"/>
              <w:right w:w="20" w:type="dxa"/>
            </w:tcMar>
            <w:vAlign w:val="bottom"/>
          </w:tcPr>
          <w:p w14:paraId="39D9824B" w14:textId="77777777" w:rsidR="00996AD7" w:rsidRDefault="00D96458">
            <w:pPr>
              <w:textAlignment w:val="bottom"/>
            </w:pPr>
            <w:r>
              <w:rPr>
                <w:rFonts w:ascii="Arial" w:eastAsia="宋体" w:hAnsi="Arial" w:cs="Arial"/>
                <w:color w:val="262626"/>
                <w:sz w:val="18"/>
                <w:szCs w:val="18"/>
              </w:rPr>
              <w:t xml:space="preserve">Observable </w:t>
            </w:r>
            <w:r>
              <w:rPr>
                <w:rFonts w:ascii="Arial" w:eastAsia="宋体" w:hAnsi="Arial" w:cs="Arial"/>
                <w:color w:val="262626"/>
                <w:sz w:val="18"/>
                <w:szCs w:val="18"/>
              </w:rPr>
              <w:t>price adjustments on non-marketable equity securities</w:t>
            </w:r>
          </w:p>
        </w:tc>
        <w:tc>
          <w:tcPr>
            <w:tcW w:w="0" w:type="auto"/>
            <w:gridSpan w:val="3"/>
            <w:shd w:val="clear" w:color="auto" w:fill="auto"/>
            <w:tcMar>
              <w:top w:w="0" w:type="dxa"/>
              <w:left w:w="20" w:type="dxa"/>
              <w:bottom w:w="0" w:type="dxa"/>
              <w:right w:w="20" w:type="dxa"/>
            </w:tcMar>
            <w:vAlign w:val="bottom"/>
          </w:tcPr>
          <w:p w14:paraId="39D9824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4D" w14:textId="77777777" w:rsidR="00996AD7" w:rsidRDefault="00D96458">
            <w:pPr>
              <w:jc w:val="right"/>
              <w:textAlignment w:val="bottom"/>
            </w:pPr>
            <w:r>
              <w:rPr>
                <w:rFonts w:ascii="Arial" w:eastAsia="宋体" w:hAnsi="Arial" w:cs="Arial"/>
                <w:color w:val="0068B5"/>
                <w:sz w:val="18"/>
                <w:szCs w:val="18"/>
              </w:rPr>
              <w:t>79 </w:t>
            </w:r>
          </w:p>
        </w:tc>
        <w:tc>
          <w:tcPr>
            <w:tcW w:w="0" w:type="auto"/>
            <w:shd w:val="clear" w:color="auto" w:fill="auto"/>
            <w:tcMar>
              <w:top w:w="40" w:type="dxa"/>
              <w:left w:w="0" w:type="dxa"/>
              <w:bottom w:w="40" w:type="dxa"/>
              <w:right w:w="20" w:type="dxa"/>
            </w:tcMar>
            <w:vAlign w:val="bottom"/>
          </w:tcPr>
          <w:p w14:paraId="39D9824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4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50" w14:textId="77777777" w:rsidR="00996AD7" w:rsidRDefault="00D96458">
            <w:pPr>
              <w:jc w:val="right"/>
              <w:textAlignment w:val="bottom"/>
            </w:pPr>
            <w:r>
              <w:rPr>
                <w:rFonts w:ascii="Arial" w:eastAsia="宋体" w:hAnsi="Arial" w:cs="Arial"/>
                <w:color w:val="262626"/>
                <w:sz w:val="18"/>
                <w:szCs w:val="18"/>
              </w:rPr>
              <w:t>5 </w:t>
            </w:r>
          </w:p>
        </w:tc>
        <w:tc>
          <w:tcPr>
            <w:tcW w:w="0" w:type="auto"/>
            <w:shd w:val="clear" w:color="auto" w:fill="auto"/>
            <w:tcMar>
              <w:top w:w="40" w:type="dxa"/>
              <w:left w:w="0" w:type="dxa"/>
              <w:bottom w:w="40" w:type="dxa"/>
              <w:right w:w="20" w:type="dxa"/>
            </w:tcMar>
            <w:vAlign w:val="bottom"/>
          </w:tcPr>
          <w:p w14:paraId="39D9825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5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53" w14:textId="77777777" w:rsidR="00996AD7" w:rsidRDefault="00D96458">
            <w:pPr>
              <w:jc w:val="right"/>
              <w:textAlignment w:val="bottom"/>
            </w:pPr>
            <w:r>
              <w:rPr>
                <w:rFonts w:ascii="Arial" w:eastAsia="宋体" w:hAnsi="Arial" w:cs="Arial"/>
                <w:color w:val="0068B5"/>
                <w:sz w:val="18"/>
                <w:szCs w:val="18"/>
              </w:rPr>
              <w:t>702 </w:t>
            </w:r>
          </w:p>
        </w:tc>
        <w:tc>
          <w:tcPr>
            <w:tcW w:w="0" w:type="auto"/>
            <w:shd w:val="clear" w:color="auto" w:fill="auto"/>
            <w:tcMar>
              <w:top w:w="40" w:type="dxa"/>
              <w:left w:w="0" w:type="dxa"/>
              <w:bottom w:w="40" w:type="dxa"/>
              <w:right w:w="20" w:type="dxa"/>
            </w:tcMar>
            <w:vAlign w:val="bottom"/>
          </w:tcPr>
          <w:p w14:paraId="39D9825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5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56" w14:textId="77777777" w:rsidR="00996AD7" w:rsidRDefault="00D96458">
            <w:pPr>
              <w:jc w:val="right"/>
              <w:textAlignment w:val="bottom"/>
            </w:pPr>
            <w:r>
              <w:rPr>
                <w:rFonts w:ascii="Arial" w:eastAsia="宋体" w:hAnsi="Arial" w:cs="Arial"/>
                <w:color w:val="262626"/>
                <w:sz w:val="18"/>
                <w:szCs w:val="18"/>
              </w:rPr>
              <w:t>142 </w:t>
            </w:r>
          </w:p>
        </w:tc>
        <w:tc>
          <w:tcPr>
            <w:tcW w:w="0" w:type="auto"/>
            <w:shd w:val="clear" w:color="auto" w:fill="auto"/>
            <w:tcMar>
              <w:top w:w="40" w:type="dxa"/>
              <w:left w:w="0" w:type="dxa"/>
              <w:bottom w:w="40" w:type="dxa"/>
              <w:right w:w="20" w:type="dxa"/>
            </w:tcMar>
            <w:vAlign w:val="bottom"/>
          </w:tcPr>
          <w:p w14:paraId="39D98257" w14:textId="77777777" w:rsidR="00996AD7" w:rsidRDefault="00996AD7">
            <w:pPr>
              <w:jc w:val="right"/>
              <w:rPr>
                <w:rFonts w:ascii="宋体"/>
              </w:rPr>
            </w:pPr>
          </w:p>
        </w:tc>
        <w:tc>
          <w:tcPr>
            <w:tcW w:w="0" w:type="auto"/>
            <w:shd w:val="clear" w:color="auto" w:fill="auto"/>
            <w:vAlign w:val="bottom"/>
          </w:tcPr>
          <w:p w14:paraId="39D98258" w14:textId="77777777" w:rsidR="00996AD7" w:rsidRDefault="00996AD7">
            <w:pPr>
              <w:rPr>
                <w:rFonts w:ascii="宋体"/>
                <w:vanish/>
              </w:rPr>
            </w:pPr>
          </w:p>
        </w:tc>
        <w:tc>
          <w:tcPr>
            <w:tcW w:w="0" w:type="auto"/>
            <w:shd w:val="clear" w:color="auto" w:fill="auto"/>
            <w:vAlign w:val="bottom"/>
          </w:tcPr>
          <w:p w14:paraId="39D98259" w14:textId="77777777" w:rsidR="00996AD7" w:rsidRDefault="00996AD7">
            <w:pPr>
              <w:rPr>
                <w:rFonts w:ascii="宋体"/>
                <w:vanish/>
              </w:rPr>
            </w:pPr>
          </w:p>
        </w:tc>
        <w:tc>
          <w:tcPr>
            <w:tcW w:w="0" w:type="auto"/>
            <w:shd w:val="clear" w:color="auto" w:fill="auto"/>
            <w:vAlign w:val="bottom"/>
          </w:tcPr>
          <w:p w14:paraId="39D9825A" w14:textId="77777777" w:rsidR="00996AD7" w:rsidRDefault="00996AD7">
            <w:pPr>
              <w:rPr>
                <w:rFonts w:ascii="宋体"/>
                <w:vanish/>
              </w:rPr>
            </w:pPr>
          </w:p>
        </w:tc>
        <w:tc>
          <w:tcPr>
            <w:tcW w:w="0" w:type="auto"/>
            <w:gridSpan w:val="3"/>
            <w:shd w:val="clear" w:color="auto" w:fill="auto"/>
            <w:vAlign w:val="bottom"/>
          </w:tcPr>
          <w:p w14:paraId="39D9825B" w14:textId="77777777" w:rsidR="00996AD7" w:rsidRDefault="00996AD7">
            <w:pPr>
              <w:rPr>
                <w:rFonts w:ascii="宋体"/>
                <w:vanish/>
              </w:rPr>
            </w:pPr>
          </w:p>
        </w:tc>
      </w:tr>
      <w:tr w:rsidR="00996AD7" w14:paraId="39D9826E" w14:textId="77777777">
        <w:tc>
          <w:tcPr>
            <w:tcW w:w="0" w:type="auto"/>
            <w:gridSpan w:val="3"/>
            <w:shd w:val="clear" w:color="auto" w:fill="auto"/>
            <w:tcMar>
              <w:top w:w="40" w:type="dxa"/>
              <w:left w:w="20" w:type="dxa"/>
              <w:bottom w:w="40" w:type="dxa"/>
              <w:right w:w="20" w:type="dxa"/>
            </w:tcMar>
          </w:tcPr>
          <w:p w14:paraId="39D9825D" w14:textId="77777777" w:rsidR="00996AD7" w:rsidRDefault="00D96458">
            <w:pPr>
              <w:ind w:hanging="180"/>
              <w:textAlignment w:val="top"/>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39D9825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5F" w14:textId="77777777" w:rsidR="00996AD7" w:rsidRDefault="00D96458">
            <w:pPr>
              <w:jc w:val="right"/>
              <w:textAlignment w:val="bottom"/>
            </w:pPr>
            <w:r>
              <w:rPr>
                <w:rFonts w:ascii="Arial" w:eastAsia="宋体" w:hAnsi="Arial" w:cs="Arial"/>
                <w:color w:val="0068B5"/>
                <w:sz w:val="18"/>
                <w:szCs w:val="18"/>
              </w:rPr>
              <w:t>(38)</w:t>
            </w:r>
          </w:p>
        </w:tc>
        <w:tc>
          <w:tcPr>
            <w:tcW w:w="0" w:type="auto"/>
            <w:shd w:val="clear" w:color="auto" w:fill="auto"/>
            <w:tcMar>
              <w:top w:w="40" w:type="dxa"/>
              <w:left w:w="0" w:type="dxa"/>
              <w:bottom w:w="40" w:type="dxa"/>
              <w:right w:w="20" w:type="dxa"/>
            </w:tcMar>
            <w:vAlign w:val="bottom"/>
          </w:tcPr>
          <w:p w14:paraId="39D9826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6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62" w14:textId="77777777" w:rsidR="00996AD7" w:rsidRDefault="00D96458">
            <w:pPr>
              <w:jc w:val="right"/>
              <w:textAlignment w:val="bottom"/>
            </w:pPr>
            <w:r>
              <w:rPr>
                <w:rFonts w:ascii="Arial" w:eastAsia="宋体" w:hAnsi="Arial" w:cs="Arial"/>
                <w:color w:val="262626"/>
                <w:sz w:val="18"/>
                <w:szCs w:val="18"/>
              </w:rPr>
              <w:t>(40)</w:t>
            </w:r>
          </w:p>
        </w:tc>
        <w:tc>
          <w:tcPr>
            <w:tcW w:w="0" w:type="auto"/>
            <w:shd w:val="clear" w:color="auto" w:fill="auto"/>
            <w:tcMar>
              <w:top w:w="40" w:type="dxa"/>
              <w:left w:w="0" w:type="dxa"/>
              <w:bottom w:w="40" w:type="dxa"/>
              <w:right w:w="20" w:type="dxa"/>
            </w:tcMar>
            <w:vAlign w:val="bottom"/>
          </w:tcPr>
          <w:p w14:paraId="39D9826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6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65" w14:textId="77777777" w:rsidR="00996AD7" w:rsidRDefault="00D96458">
            <w:pPr>
              <w:jc w:val="right"/>
              <w:textAlignment w:val="bottom"/>
            </w:pPr>
            <w:r>
              <w:rPr>
                <w:rFonts w:ascii="Arial" w:eastAsia="宋体" w:hAnsi="Arial" w:cs="Arial"/>
                <w:color w:val="0068B5"/>
                <w:sz w:val="18"/>
                <w:szCs w:val="18"/>
              </w:rPr>
              <w:t>(111)</w:t>
            </w:r>
          </w:p>
        </w:tc>
        <w:tc>
          <w:tcPr>
            <w:tcW w:w="0" w:type="auto"/>
            <w:shd w:val="clear" w:color="auto" w:fill="auto"/>
            <w:tcMar>
              <w:top w:w="40" w:type="dxa"/>
              <w:left w:w="0" w:type="dxa"/>
              <w:bottom w:w="40" w:type="dxa"/>
              <w:right w:w="20" w:type="dxa"/>
            </w:tcMar>
            <w:vAlign w:val="bottom"/>
          </w:tcPr>
          <w:p w14:paraId="39D9826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6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68" w14:textId="77777777" w:rsidR="00996AD7" w:rsidRDefault="00D96458">
            <w:pPr>
              <w:jc w:val="right"/>
              <w:textAlignment w:val="bottom"/>
            </w:pPr>
            <w:r>
              <w:rPr>
                <w:rFonts w:ascii="Arial" w:eastAsia="宋体" w:hAnsi="Arial" w:cs="Arial"/>
                <w:color w:val="262626"/>
                <w:sz w:val="18"/>
                <w:szCs w:val="18"/>
              </w:rPr>
              <w:t>(233)</w:t>
            </w:r>
          </w:p>
        </w:tc>
        <w:tc>
          <w:tcPr>
            <w:tcW w:w="0" w:type="auto"/>
            <w:shd w:val="clear" w:color="auto" w:fill="auto"/>
            <w:tcMar>
              <w:top w:w="40" w:type="dxa"/>
              <w:left w:w="0" w:type="dxa"/>
              <w:bottom w:w="40" w:type="dxa"/>
              <w:right w:w="20" w:type="dxa"/>
            </w:tcMar>
            <w:vAlign w:val="bottom"/>
          </w:tcPr>
          <w:p w14:paraId="39D98269" w14:textId="77777777" w:rsidR="00996AD7" w:rsidRDefault="00996AD7">
            <w:pPr>
              <w:jc w:val="right"/>
              <w:rPr>
                <w:rFonts w:ascii="宋体"/>
              </w:rPr>
            </w:pPr>
          </w:p>
        </w:tc>
        <w:tc>
          <w:tcPr>
            <w:tcW w:w="0" w:type="auto"/>
            <w:shd w:val="clear" w:color="auto" w:fill="auto"/>
            <w:vAlign w:val="bottom"/>
          </w:tcPr>
          <w:p w14:paraId="39D9826A" w14:textId="77777777" w:rsidR="00996AD7" w:rsidRDefault="00996AD7">
            <w:pPr>
              <w:rPr>
                <w:rFonts w:ascii="宋体"/>
                <w:vanish/>
              </w:rPr>
            </w:pPr>
          </w:p>
        </w:tc>
        <w:tc>
          <w:tcPr>
            <w:tcW w:w="0" w:type="auto"/>
            <w:shd w:val="clear" w:color="auto" w:fill="auto"/>
            <w:vAlign w:val="bottom"/>
          </w:tcPr>
          <w:p w14:paraId="39D9826B" w14:textId="77777777" w:rsidR="00996AD7" w:rsidRDefault="00996AD7">
            <w:pPr>
              <w:rPr>
                <w:rFonts w:ascii="宋体"/>
                <w:vanish/>
              </w:rPr>
            </w:pPr>
          </w:p>
        </w:tc>
        <w:tc>
          <w:tcPr>
            <w:tcW w:w="0" w:type="auto"/>
            <w:shd w:val="clear" w:color="auto" w:fill="auto"/>
            <w:vAlign w:val="bottom"/>
          </w:tcPr>
          <w:p w14:paraId="39D9826C" w14:textId="77777777" w:rsidR="00996AD7" w:rsidRDefault="00996AD7">
            <w:pPr>
              <w:rPr>
                <w:rFonts w:ascii="宋体"/>
                <w:vanish/>
              </w:rPr>
            </w:pPr>
          </w:p>
        </w:tc>
        <w:tc>
          <w:tcPr>
            <w:tcW w:w="0" w:type="auto"/>
            <w:gridSpan w:val="3"/>
            <w:shd w:val="clear" w:color="auto" w:fill="auto"/>
            <w:vAlign w:val="bottom"/>
          </w:tcPr>
          <w:p w14:paraId="39D9826D" w14:textId="77777777" w:rsidR="00996AD7" w:rsidRDefault="00996AD7">
            <w:pPr>
              <w:rPr>
                <w:rFonts w:ascii="宋体"/>
                <w:vanish/>
              </w:rPr>
            </w:pPr>
          </w:p>
        </w:tc>
      </w:tr>
      <w:tr w:rsidR="00996AD7" w14:paraId="39D98280" w14:textId="77777777">
        <w:tc>
          <w:tcPr>
            <w:tcW w:w="0" w:type="auto"/>
            <w:gridSpan w:val="3"/>
            <w:shd w:val="clear" w:color="auto" w:fill="auto"/>
            <w:tcMar>
              <w:top w:w="40" w:type="dxa"/>
              <w:left w:w="20" w:type="dxa"/>
              <w:bottom w:w="40" w:type="dxa"/>
              <w:right w:w="20" w:type="dxa"/>
            </w:tcMar>
          </w:tcPr>
          <w:p w14:paraId="39D9826F" w14:textId="77777777" w:rsidR="00996AD7" w:rsidRDefault="00D96458">
            <w:pPr>
              <w:textAlignment w:val="top"/>
            </w:pPr>
            <w:r>
              <w:rPr>
                <w:rFonts w:ascii="Arial" w:eastAsia="宋体" w:hAnsi="Arial" w:cs="Arial"/>
                <w:color w:val="262626"/>
                <w:sz w:val="18"/>
                <w:szCs w:val="18"/>
              </w:rPr>
              <w:t>Sale of equity investments and other¹</w:t>
            </w:r>
          </w:p>
        </w:tc>
        <w:tc>
          <w:tcPr>
            <w:tcW w:w="0" w:type="auto"/>
            <w:gridSpan w:val="3"/>
            <w:shd w:val="clear" w:color="auto" w:fill="auto"/>
            <w:tcMar>
              <w:top w:w="0" w:type="dxa"/>
              <w:left w:w="20" w:type="dxa"/>
              <w:bottom w:w="0" w:type="dxa"/>
              <w:right w:w="20" w:type="dxa"/>
            </w:tcMar>
            <w:vAlign w:val="bottom"/>
          </w:tcPr>
          <w:p w14:paraId="39D9827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71" w14:textId="77777777" w:rsidR="00996AD7" w:rsidRDefault="00D96458">
            <w:pPr>
              <w:jc w:val="right"/>
              <w:textAlignment w:val="bottom"/>
            </w:pPr>
            <w:r>
              <w:rPr>
                <w:rFonts w:ascii="Arial" w:eastAsia="宋体" w:hAnsi="Arial" w:cs="Arial"/>
                <w:color w:val="0068B5"/>
                <w:sz w:val="18"/>
                <w:szCs w:val="18"/>
              </w:rPr>
              <w:t>1,858 </w:t>
            </w:r>
          </w:p>
        </w:tc>
        <w:tc>
          <w:tcPr>
            <w:tcW w:w="0" w:type="auto"/>
            <w:shd w:val="clear" w:color="auto" w:fill="auto"/>
            <w:tcMar>
              <w:top w:w="40" w:type="dxa"/>
              <w:left w:w="0" w:type="dxa"/>
              <w:bottom w:w="40" w:type="dxa"/>
              <w:right w:w="20" w:type="dxa"/>
            </w:tcMar>
            <w:vAlign w:val="bottom"/>
          </w:tcPr>
          <w:p w14:paraId="39D9827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7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74" w14:textId="77777777" w:rsidR="00996AD7" w:rsidRDefault="00D96458">
            <w:pPr>
              <w:jc w:val="right"/>
              <w:textAlignment w:val="bottom"/>
            </w:pPr>
            <w:r>
              <w:rPr>
                <w:rFonts w:ascii="Arial" w:eastAsia="宋体" w:hAnsi="Arial" w:cs="Arial"/>
                <w:color w:val="262626"/>
                <w:sz w:val="18"/>
                <w:szCs w:val="18"/>
              </w:rPr>
              <w:t>237 </w:t>
            </w:r>
          </w:p>
        </w:tc>
        <w:tc>
          <w:tcPr>
            <w:tcW w:w="0" w:type="auto"/>
            <w:shd w:val="clear" w:color="auto" w:fill="auto"/>
            <w:tcMar>
              <w:top w:w="40" w:type="dxa"/>
              <w:left w:w="0" w:type="dxa"/>
              <w:bottom w:w="40" w:type="dxa"/>
              <w:right w:w="20" w:type="dxa"/>
            </w:tcMar>
            <w:vAlign w:val="bottom"/>
          </w:tcPr>
          <w:p w14:paraId="39D9827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7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77" w14:textId="77777777" w:rsidR="00996AD7" w:rsidRDefault="00D96458">
            <w:pPr>
              <w:jc w:val="right"/>
              <w:textAlignment w:val="bottom"/>
            </w:pPr>
            <w:r>
              <w:rPr>
                <w:rFonts w:ascii="Arial" w:eastAsia="宋体" w:hAnsi="Arial" w:cs="Arial"/>
                <w:color w:val="0068B5"/>
                <w:sz w:val="18"/>
                <w:szCs w:val="18"/>
              </w:rPr>
              <w:t>2,124 </w:t>
            </w:r>
          </w:p>
        </w:tc>
        <w:tc>
          <w:tcPr>
            <w:tcW w:w="0" w:type="auto"/>
            <w:shd w:val="clear" w:color="auto" w:fill="auto"/>
            <w:tcMar>
              <w:top w:w="40" w:type="dxa"/>
              <w:left w:w="0" w:type="dxa"/>
              <w:bottom w:w="40" w:type="dxa"/>
              <w:right w:w="20" w:type="dxa"/>
            </w:tcMar>
            <w:vAlign w:val="bottom"/>
          </w:tcPr>
          <w:p w14:paraId="39D9827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7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7A" w14:textId="77777777" w:rsidR="00996AD7" w:rsidRDefault="00D96458">
            <w:pPr>
              <w:jc w:val="right"/>
              <w:textAlignment w:val="bottom"/>
            </w:pPr>
            <w:r>
              <w:rPr>
                <w:rFonts w:ascii="Arial" w:eastAsia="宋体" w:hAnsi="Arial" w:cs="Arial"/>
                <w:color w:val="262626"/>
                <w:sz w:val="18"/>
                <w:szCs w:val="18"/>
              </w:rPr>
              <w:t>387 </w:t>
            </w:r>
          </w:p>
        </w:tc>
        <w:tc>
          <w:tcPr>
            <w:tcW w:w="0" w:type="auto"/>
            <w:shd w:val="clear" w:color="auto" w:fill="auto"/>
            <w:tcMar>
              <w:top w:w="40" w:type="dxa"/>
              <w:left w:w="0" w:type="dxa"/>
              <w:bottom w:w="40" w:type="dxa"/>
              <w:right w:w="20" w:type="dxa"/>
            </w:tcMar>
            <w:vAlign w:val="bottom"/>
          </w:tcPr>
          <w:p w14:paraId="39D9827B" w14:textId="77777777" w:rsidR="00996AD7" w:rsidRDefault="00996AD7">
            <w:pPr>
              <w:jc w:val="right"/>
              <w:rPr>
                <w:rFonts w:ascii="宋体"/>
              </w:rPr>
            </w:pPr>
          </w:p>
        </w:tc>
        <w:tc>
          <w:tcPr>
            <w:tcW w:w="0" w:type="auto"/>
            <w:shd w:val="clear" w:color="auto" w:fill="auto"/>
            <w:vAlign w:val="bottom"/>
          </w:tcPr>
          <w:p w14:paraId="39D9827C" w14:textId="77777777" w:rsidR="00996AD7" w:rsidRDefault="00996AD7">
            <w:pPr>
              <w:rPr>
                <w:rFonts w:ascii="宋体"/>
                <w:vanish/>
              </w:rPr>
            </w:pPr>
          </w:p>
        </w:tc>
        <w:tc>
          <w:tcPr>
            <w:tcW w:w="0" w:type="auto"/>
            <w:shd w:val="clear" w:color="auto" w:fill="auto"/>
            <w:vAlign w:val="bottom"/>
          </w:tcPr>
          <w:p w14:paraId="39D9827D" w14:textId="77777777" w:rsidR="00996AD7" w:rsidRDefault="00996AD7">
            <w:pPr>
              <w:rPr>
                <w:rFonts w:ascii="宋体"/>
                <w:vanish/>
              </w:rPr>
            </w:pPr>
          </w:p>
        </w:tc>
        <w:tc>
          <w:tcPr>
            <w:tcW w:w="0" w:type="auto"/>
            <w:shd w:val="clear" w:color="auto" w:fill="auto"/>
            <w:vAlign w:val="bottom"/>
          </w:tcPr>
          <w:p w14:paraId="39D9827E" w14:textId="77777777" w:rsidR="00996AD7" w:rsidRDefault="00996AD7">
            <w:pPr>
              <w:rPr>
                <w:rFonts w:ascii="宋体"/>
                <w:vanish/>
              </w:rPr>
            </w:pPr>
          </w:p>
        </w:tc>
        <w:tc>
          <w:tcPr>
            <w:tcW w:w="0" w:type="auto"/>
            <w:gridSpan w:val="3"/>
            <w:shd w:val="clear" w:color="auto" w:fill="auto"/>
            <w:vAlign w:val="bottom"/>
          </w:tcPr>
          <w:p w14:paraId="39D9827F" w14:textId="77777777" w:rsidR="00996AD7" w:rsidRDefault="00996AD7">
            <w:pPr>
              <w:rPr>
                <w:rFonts w:ascii="宋体"/>
                <w:vanish/>
              </w:rPr>
            </w:pPr>
          </w:p>
        </w:tc>
      </w:tr>
      <w:tr w:rsidR="00996AD7" w14:paraId="39D98296" w14:textId="77777777">
        <w:tc>
          <w:tcPr>
            <w:tcW w:w="0" w:type="auto"/>
            <w:gridSpan w:val="3"/>
            <w:shd w:val="clear" w:color="auto" w:fill="auto"/>
            <w:tcMar>
              <w:top w:w="40" w:type="dxa"/>
              <w:left w:w="20" w:type="dxa"/>
              <w:bottom w:w="40" w:type="dxa"/>
              <w:right w:w="20" w:type="dxa"/>
            </w:tcMar>
          </w:tcPr>
          <w:p w14:paraId="39D98281" w14:textId="77777777" w:rsidR="00996AD7" w:rsidRDefault="00D96458">
            <w:pPr>
              <w:textAlignment w:val="top"/>
            </w:pPr>
            <w:r>
              <w:rPr>
                <w:rFonts w:ascii="Arial" w:eastAsia="宋体" w:hAnsi="Arial" w:cs="Arial"/>
                <w:b/>
                <w:bCs/>
                <w:color w:val="262626"/>
                <w:sz w:val="18"/>
                <w:szCs w:val="18"/>
              </w:rPr>
              <w:t>Total gains (losses) on equity investments, net</w:t>
            </w:r>
          </w:p>
        </w:tc>
        <w:tc>
          <w:tcPr>
            <w:tcW w:w="0" w:type="auto"/>
            <w:gridSpan w:val="3"/>
            <w:shd w:val="clear" w:color="auto" w:fill="auto"/>
            <w:tcMar>
              <w:top w:w="0" w:type="dxa"/>
              <w:left w:w="20" w:type="dxa"/>
              <w:bottom w:w="0" w:type="dxa"/>
              <w:right w:w="20" w:type="dxa"/>
            </w:tcMar>
            <w:vAlign w:val="bottom"/>
          </w:tcPr>
          <w:p w14:paraId="39D98282"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283"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284" w14:textId="77777777" w:rsidR="00996AD7" w:rsidRDefault="00D96458">
            <w:pPr>
              <w:jc w:val="right"/>
              <w:textAlignment w:val="bottom"/>
            </w:pPr>
            <w:r>
              <w:rPr>
                <w:rFonts w:ascii="Arial" w:eastAsia="宋体" w:hAnsi="Arial" w:cs="Arial"/>
                <w:b/>
                <w:bCs/>
                <w:color w:val="0068B5"/>
                <w:sz w:val="18"/>
                <w:szCs w:val="18"/>
              </w:rPr>
              <w:t>1,707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28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86"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287"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288" w14:textId="77777777" w:rsidR="00996AD7" w:rsidRDefault="00D96458">
            <w:pPr>
              <w:jc w:val="right"/>
              <w:textAlignment w:val="bottom"/>
            </w:pPr>
            <w:r>
              <w:rPr>
                <w:rFonts w:ascii="Arial" w:eastAsia="宋体" w:hAnsi="Arial" w:cs="Arial"/>
                <w:b/>
                <w:bCs/>
                <w:color w:val="262626"/>
                <w:sz w:val="18"/>
                <w:szCs w:val="18"/>
              </w:rPr>
              <w:t>56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28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8A"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28B"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28C" w14:textId="77777777" w:rsidR="00996AD7" w:rsidRDefault="00D96458">
            <w:pPr>
              <w:jc w:val="right"/>
              <w:textAlignment w:val="bottom"/>
            </w:pPr>
            <w:r>
              <w:rPr>
                <w:rFonts w:ascii="Arial" w:eastAsia="宋体" w:hAnsi="Arial" w:cs="Arial"/>
                <w:b/>
                <w:bCs/>
                <w:color w:val="0068B5"/>
                <w:sz w:val="18"/>
                <w:szCs w:val="18"/>
              </w:rPr>
              <w:t>2,370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28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8E"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28F"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290" w14:textId="77777777" w:rsidR="00996AD7" w:rsidRDefault="00D96458">
            <w:pPr>
              <w:jc w:val="right"/>
              <w:textAlignment w:val="bottom"/>
            </w:pPr>
            <w:r>
              <w:rPr>
                <w:rFonts w:ascii="Arial" w:eastAsia="宋体" w:hAnsi="Arial" w:cs="Arial"/>
                <w:b/>
                <w:bCs/>
                <w:color w:val="262626"/>
                <w:sz w:val="18"/>
                <w:szCs w:val="18"/>
              </w:rPr>
              <w:t>212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291" w14:textId="77777777" w:rsidR="00996AD7" w:rsidRDefault="00996AD7">
            <w:pPr>
              <w:jc w:val="right"/>
              <w:rPr>
                <w:rFonts w:ascii="宋体"/>
              </w:rPr>
            </w:pPr>
          </w:p>
        </w:tc>
        <w:tc>
          <w:tcPr>
            <w:tcW w:w="0" w:type="auto"/>
            <w:shd w:val="clear" w:color="auto" w:fill="auto"/>
            <w:vAlign w:val="bottom"/>
          </w:tcPr>
          <w:p w14:paraId="39D98292" w14:textId="77777777" w:rsidR="00996AD7" w:rsidRDefault="00996AD7">
            <w:pPr>
              <w:rPr>
                <w:rFonts w:ascii="宋体"/>
                <w:vanish/>
              </w:rPr>
            </w:pPr>
          </w:p>
        </w:tc>
        <w:tc>
          <w:tcPr>
            <w:tcW w:w="0" w:type="auto"/>
            <w:shd w:val="clear" w:color="auto" w:fill="auto"/>
            <w:vAlign w:val="bottom"/>
          </w:tcPr>
          <w:p w14:paraId="39D98293" w14:textId="77777777" w:rsidR="00996AD7" w:rsidRDefault="00996AD7">
            <w:pPr>
              <w:rPr>
                <w:rFonts w:ascii="宋体"/>
                <w:vanish/>
              </w:rPr>
            </w:pPr>
          </w:p>
        </w:tc>
        <w:tc>
          <w:tcPr>
            <w:tcW w:w="0" w:type="auto"/>
            <w:shd w:val="clear" w:color="auto" w:fill="auto"/>
            <w:vAlign w:val="bottom"/>
          </w:tcPr>
          <w:p w14:paraId="39D98294" w14:textId="77777777" w:rsidR="00996AD7" w:rsidRDefault="00996AD7">
            <w:pPr>
              <w:rPr>
                <w:rFonts w:ascii="宋体"/>
                <w:vanish/>
              </w:rPr>
            </w:pPr>
          </w:p>
        </w:tc>
        <w:tc>
          <w:tcPr>
            <w:tcW w:w="0" w:type="auto"/>
            <w:gridSpan w:val="3"/>
            <w:shd w:val="clear" w:color="auto" w:fill="auto"/>
            <w:vAlign w:val="bottom"/>
          </w:tcPr>
          <w:p w14:paraId="39D98295" w14:textId="77777777" w:rsidR="00996AD7" w:rsidRDefault="00996AD7">
            <w:pPr>
              <w:rPr>
                <w:rFonts w:ascii="宋体"/>
                <w:vanish/>
              </w:rPr>
            </w:pPr>
          </w:p>
        </w:tc>
      </w:tr>
    </w:tbl>
    <w:p w14:paraId="39D98297" w14:textId="77777777" w:rsidR="00996AD7" w:rsidRDefault="00D96458">
      <w:pPr>
        <w:spacing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 xml:space="preserve"> Sale of equity investments and other includes realized gains (losses)</w:t>
      </w:r>
      <w:r>
        <w:rPr>
          <w:rFonts w:ascii="Arial" w:eastAsia="宋体" w:hAnsi="Arial" w:cs="Arial"/>
          <w:i/>
          <w:iCs/>
          <w:color w:val="262626"/>
          <w:sz w:val="16"/>
          <w:szCs w:val="16"/>
        </w:rPr>
        <w:t xml:space="preserve"> on sales of non-marketable equity investments, our share of equity method investees' gains (losses) and distributions, and initial fair value adjustments recorded upon a security becoming marketable. </w:t>
      </w:r>
    </w:p>
    <w:p w14:paraId="39D98298" w14:textId="77777777" w:rsidR="00996AD7" w:rsidRDefault="00D96458">
      <w:pPr>
        <w:spacing w:after="120"/>
      </w:pPr>
      <w:r>
        <w:rPr>
          <w:rFonts w:ascii="Arial" w:eastAsia="宋体" w:hAnsi="Arial" w:cs="Arial"/>
          <w:color w:val="262626"/>
          <w:sz w:val="18"/>
          <w:szCs w:val="18"/>
        </w:rPr>
        <w:t>Gains and losses for our marketable and non-marketable</w:t>
      </w:r>
      <w:r>
        <w:rPr>
          <w:rFonts w:ascii="Arial" w:eastAsia="宋体" w:hAnsi="Arial" w:cs="Arial"/>
          <w:color w:val="262626"/>
          <w:sz w:val="18"/>
          <w:szCs w:val="18"/>
        </w:rPr>
        <w:t xml:space="preserve"> equity securities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970"/>
        <w:gridCol w:w="38"/>
        <w:gridCol w:w="36"/>
        <w:gridCol w:w="36"/>
        <w:gridCol w:w="36"/>
        <w:gridCol w:w="121"/>
        <w:gridCol w:w="766"/>
        <w:gridCol w:w="36"/>
        <w:gridCol w:w="36"/>
        <w:gridCol w:w="36"/>
        <w:gridCol w:w="36"/>
        <w:gridCol w:w="122"/>
        <w:gridCol w:w="767"/>
        <w:gridCol w:w="37"/>
        <w:gridCol w:w="36"/>
        <w:gridCol w:w="36"/>
        <w:gridCol w:w="36"/>
        <w:gridCol w:w="121"/>
        <w:gridCol w:w="829"/>
        <w:gridCol w:w="36"/>
        <w:gridCol w:w="36"/>
        <w:gridCol w:w="36"/>
        <w:gridCol w:w="36"/>
        <w:gridCol w:w="121"/>
        <w:gridCol w:w="829"/>
        <w:gridCol w:w="36"/>
        <w:gridCol w:w="36"/>
      </w:tblGrid>
      <w:tr w:rsidR="00996AD7" w14:paraId="39D982B5" w14:textId="77777777">
        <w:tc>
          <w:tcPr>
            <w:tcW w:w="50" w:type="pct"/>
            <w:shd w:val="clear" w:color="auto" w:fill="auto"/>
            <w:vAlign w:val="bottom"/>
          </w:tcPr>
          <w:p w14:paraId="39D98299" w14:textId="77777777" w:rsidR="00996AD7" w:rsidRDefault="00996AD7">
            <w:pPr>
              <w:rPr>
                <w:rFonts w:ascii="宋体"/>
              </w:rPr>
            </w:pPr>
          </w:p>
        </w:tc>
        <w:tc>
          <w:tcPr>
            <w:tcW w:w="2445" w:type="pct"/>
            <w:shd w:val="clear" w:color="auto" w:fill="auto"/>
            <w:vAlign w:val="bottom"/>
          </w:tcPr>
          <w:p w14:paraId="39D9829A" w14:textId="77777777" w:rsidR="00996AD7" w:rsidRDefault="00996AD7">
            <w:pPr>
              <w:rPr>
                <w:rFonts w:ascii="宋体"/>
              </w:rPr>
            </w:pPr>
          </w:p>
        </w:tc>
        <w:tc>
          <w:tcPr>
            <w:tcW w:w="5" w:type="pct"/>
            <w:shd w:val="clear" w:color="auto" w:fill="auto"/>
            <w:vAlign w:val="bottom"/>
          </w:tcPr>
          <w:p w14:paraId="39D9829B" w14:textId="77777777" w:rsidR="00996AD7" w:rsidRDefault="00996AD7">
            <w:pPr>
              <w:rPr>
                <w:rFonts w:ascii="宋体"/>
              </w:rPr>
            </w:pPr>
          </w:p>
        </w:tc>
        <w:tc>
          <w:tcPr>
            <w:tcW w:w="5" w:type="pct"/>
            <w:shd w:val="clear" w:color="auto" w:fill="auto"/>
            <w:vAlign w:val="bottom"/>
          </w:tcPr>
          <w:p w14:paraId="39D9829C" w14:textId="77777777" w:rsidR="00996AD7" w:rsidRDefault="00996AD7">
            <w:pPr>
              <w:rPr>
                <w:rFonts w:ascii="宋体"/>
              </w:rPr>
            </w:pPr>
          </w:p>
        </w:tc>
        <w:tc>
          <w:tcPr>
            <w:tcW w:w="24" w:type="pct"/>
            <w:shd w:val="clear" w:color="auto" w:fill="auto"/>
            <w:vAlign w:val="bottom"/>
          </w:tcPr>
          <w:p w14:paraId="39D9829D" w14:textId="77777777" w:rsidR="00996AD7" w:rsidRDefault="00996AD7">
            <w:pPr>
              <w:rPr>
                <w:rFonts w:ascii="宋体"/>
              </w:rPr>
            </w:pPr>
          </w:p>
        </w:tc>
        <w:tc>
          <w:tcPr>
            <w:tcW w:w="5" w:type="pct"/>
            <w:shd w:val="clear" w:color="auto" w:fill="auto"/>
            <w:vAlign w:val="bottom"/>
          </w:tcPr>
          <w:p w14:paraId="39D9829E" w14:textId="77777777" w:rsidR="00996AD7" w:rsidRDefault="00996AD7">
            <w:pPr>
              <w:rPr>
                <w:rFonts w:ascii="宋体"/>
              </w:rPr>
            </w:pPr>
          </w:p>
        </w:tc>
        <w:tc>
          <w:tcPr>
            <w:tcW w:w="50" w:type="pct"/>
            <w:shd w:val="clear" w:color="auto" w:fill="auto"/>
            <w:vAlign w:val="bottom"/>
          </w:tcPr>
          <w:p w14:paraId="39D9829F" w14:textId="77777777" w:rsidR="00996AD7" w:rsidRDefault="00996AD7">
            <w:pPr>
              <w:rPr>
                <w:rFonts w:ascii="宋体"/>
              </w:rPr>
            </w:pPr>
          </w:p>
        </w:tc>
        <w:tc>
          <w:tcPr>
            <w:tcW w:w="539" w:type="pct"/>
            <w:shd w:val="clear" w:color="auto" w:fill="auto"/>
            <w:vAlign w:val="bottom"/>
          </w:tcPr>
          <w:p w14:paraId="39D982A0" w14:textId="77777777" w:rsidR="00996AD7" w:rsidRDefault="00996AD7">
            <w:pPr>
              <w:rPr>
                <w:rFonts w:ascii="宋体"/>
              </w:rPr>
            </w:pPr>
          </w:p>
        </w:tc>
        <w:tc>
          <w:tcPr>
            <w:tcW w:w="5" w:type="pct"/>
            <w:shd w:val="clear" w:color="auto" w:fill="auto"/>
            <w:vAlign w:val="bottom"/>
          </w:tcPr>
          <w:p w14:paraId="39D982A1" w14:textId="77777777" w:rsidR="00996AD7" w:rsidRDefault="00996AD7">
            <w:pPr>
              <w:rPr>
                <w:rFonts w:ascii="宋体"/>
              </w:rPr>
            </w:pPr>
          </w:p>
        </w:tc>
        <w:tc>
          <w:tcPr>
            <w:tcW w:w="5" w:type="pct"/>
            <w:shd w:val="clear" w:color="auto" w:fill="auto"/>
            <w:vAlign w:val="bottom"/>
          </w:tcPr>
          <w:p w14:paraId="39D982A2" w14:textId="77777777" w:rsidR="00996AD7" w:rsidRDefault="00996AD7">
            <w:pPr>
              <w:rPr>
                <w:rFonts w:ascii="宋体"/>
              </w:rPr>
            </w:pPr>
          </w:p>
        </w:tc>
        <w:tc>
          <w:tcPr>
            <w:tcW w:w="24" w:type="pct"/>
            <w:shd w:val="clear" w:color="auto" w:fill="auto"/>
            <w:vAlign w:val="bottom"/>
          </w:tcPr>
          <w:p w14:paraId="39D982A3" w14:textId="77777777" w:rsidR="00996AD7" w:rsidRDefault="00996AD7">
            <w:pPr>
              <w:rPr>
                <w:rFonts w:ascii="宋体"/>
              </w:rPr>
            </w:pPr>
          </w:p>
        </w:tc>
        <w:tc>
          <w:tcPr>
            <w:tcW w:w="5" w:type="pct"/>
            <w:shd w:val="clear" w:color="auto" w:fill="auto"/>
            <w:vAlign w:val="bottom"/>
          </w:tcPr>
          <w:p w14:paraId="39D982A4" w14:textId="77777777" w:rsidR="00996AD7" w:rsidRDefault="00996AD7">
            <w:pPr>
              <w:rPr>
                <w:rFonts w:ascii="宋体"/>
              </w:rPr>
            </w:pPr>
          </w:p>
        </w:tc>
        <w:tc>
          <w:tcPr>
            <w:tcW w:w="50" w:type="pct"/>
            <w:shd w:val="clear" w:color="auto" w:fill="auto"/>
            <w:vAlign w:val="bottom"/>
          </w:tcPr>
          <w:p w14:paraId="39D982A5" w14:textId="77777777" w:rsidR="00996AD7" w:rsidRDefault="00996AD7">
            <w:pPr>
              <w:rPr>
                <w:rFonts w:ascii="宋体"/>
              </w:rPr>
            </w:pPr>
          </w:p>
        </w:tc>
        <w:tc>
          <w:tcPr>
            <w:tcW w:w="539" w:type="pct"/>
            <w:shd w:val="clear" w:color="auto" w:fill="auto"/>
            <w:vAlign w:val="bottom"/>
          </w:tcPr>
          <w:p w14:paraId="39D982A6" w14:textId="77777777" w:rsidR="00996AD7" w:rsidRDefault="00996AD7">
            <w:pPr>
              <w:rPr>
                <w:rFonts w:ascii="宋体"/>
              </w:rPr>
            </w:pPr>
          </w:p>
        </w:tc>
        <w:tc>
          <w:tcPr>
            <w:tcW w:w="5" w:type="pct"/>
            <w:shd w:val="clear" w:color="auto" w:fill="auto"/>
            <w:vAlign w:val="bottom"/>
          </w:tcPr>
          <w:p w14:paraId="39D982A7" w14:textId="77777777" w:rsidR="00996AD7" w:rsidRDefault="00996AD7">
            <w:pPr>
              <w:rPr>
                <w:rFonts w:ascii="宋体"/>
              </w:rPr>
            </w:pPr>
          </w:p>
        </w:tc>
        <w:tc>
          <w:tcPr>
            <w:tcW w:w="5" w:type="pct"/>
            <w:shd w:val="clear" w:color="auto" w:fill="auto"/>
            <w:vAlign w:val="bottom"/>
          </w:tcPr>
          <w:p w14:paraId="39D982A8" w14:textId="77777777" w:rsidR="00996AD7" w:rsidRDefault="00996AD7">
            <w:pPr>
              <w:rPr>
                <w:rFonts w:ascii="宋体"/>
              </w:rPr>
            </w:pPr>
          </w:p>
        </w:tc>
        <w:tc>
          <w:tcPr>
            <w:tcW w:w="17" w:type="pct"/>
            <w:shd w:val="clear" w:color="auto" w:fill="auto"/>
            <w:vAlign w:val="bottom"/>
          </w:tcPr>
          <w:p w14:paraId="39D982A9" w14:textId="77777777" w:rsidR="00996AD7" w:rsidRDefault="00996AD7">
            <w:pPr>
              <w:rPr>
                <w:rFonts w:ascii="宋体"/>
              </w:rPr>
            </w:pPr>
          </w:p>
        </w:tc>
        <w:tc>
          <w:tcPr>
            <w:tcW w:w="5" w:type="pct"/>
            <w:shd w:val="clear" w:color="auto" w:fill="auto"/>
            <w:vAlign w:val="bottom"/>
          </w:tcPr>
          <w:p w14:paraId="39D982AA" w14:textId="77777777" w:rsidR="00996AD7" w:rsidRDefault="00996AD7">
            <w:pPr>
              <w:rPr>
                <w:rFonts w:ascii="宋体"/>
              </w:rPr>
            </w:pPr>
          </w:p>
        </w:tc>
        <w:tc>
          <w:tcPr>
            <w:tcW w:w="50" w:type="pct"/>
            <w:shd w:val="clear" w:color="auto" w:fill="auto"/>
            <w:vAlign w:val="bottom"/>
          </w:tcPr>
          <w:p w14:paraId="39D982AB" w14:textId="77777777" w:rsidR="00996AD7" w:rsidRDefault="00996AD7">
            <w:pPr>
              <w:rPr>
                <w:rFonts w:ascii="宋体"/>
              </w:rPr>
            </w:pPr>
          </w:p>
        </w:tc>
        <w:tc>
          <w:tcPr>
            <w:tcW w:w="539" w:type="pct"/>
            <w:shd w:val="clear" w:color="auto" w:fill="auto"/>
            <w:vAlign w:val="bottom"/>
          </w:tcPr>
          <w:p w14:paraId="39D982AC" w14:textId="77777777" w:rsidR="00996AD7" w:rsidRDefault="00996AD7">
            <w:pPr>
              <w:rPr>
                <w:rFonts w:ascii="宋体"/>
              </w:rPr>
            </w:pPr>
          </w:p>
        </w:tc>
        <w:tc>
          <w:tcPr>
            <w:tcW w:w="5" w:type="pct"/>
            <w:shd w:val="clear" w:color="auto" w:fill="auto"/>
            <w:vAlign w:val="bottom"/>
          </w:tcPr>
          <w:p w14:paraId="39D982AD" w14:textId="77777777" w:rsidR="00996AD7" w:rsidRDefault="00996AD7">
            <w:pPr>
              <w:rPr>
                <w:rFonts w:ascii="宋体"/>
              </w:rPr>
            </w:pPr>
          </w:p>
        </w:tc>
        <w:tc>
          <w:tcPr>
            <w:tcW w:w="5" w:type="pct"/>
            <w:shd w:val="clear" w:color="auto" w:fill="auto"/>
            <w:vAlign w:val="bottom"/>
          </w:tcPr>
          <w:p w14:paraId="39D982AE" w14:textId="77777777" w:rsidR="00996AD7" w:rsidRDefault="00996AD7">
            <w:pPr>
              <w:rPr>
                <w:rFonts w:ascii="宋体"/>
              </w:rPr>
            </w:pPr>
          </w:p>
        </w:tc>
        <w:tc>
          <w:tcPr>
            <w:tcW w:w="17" w:type="pct"/>
            <w:shd w:val="clear" w:color="auto" w:fill="auto"/>
            <w:vAlign w:val="bottom"/>
          </w:tcPr>
          <w:p w14:paraId="39D982AF" w14:textId="77777777" w:rsidR="00996AD7" w:rsidRDefault="00996AD7">
            <w:pPr>
              <w:rPr>
                <w:rFonts w:ascii="宋体"/>
              </w:rPr>
            </w:pPr>
          </w:p>
        </w:tc>
        <w:tc>
          <w:tcPr>
            <w:tcW w:w="5" w:type="pct"/>
            <w:shd w:val="clear" w:color="auto" w:fill="auto"/>
            <w:vAlign w:val="bottom"/>
          </w:tcPr>
          <w:p w14:paraId="39D982B0" w14:textId="77777777" w:rsidR="00996AD7" w:rsidRDefault="00996AD7">
            <w:pPr>
              <w:rPr>
                <w:rFonts w:ascii="宋体"/>
              </w:rPr>
            </w:pPr>
          </w:p>
        </w:tc>
        <w:tc>
          <w:tcPr>
            <w:tcW w:w="50" w:type="pct"/>
            <w:shd w:val="clear" w:color="auto" w:fill="auto"/>
            <w:vAlign w:val="bottom"/>
          </w:tcPr>
          <w:p w14:paraId="39D982B1" w14:textId="77777777" w:rsidR="00996AD7" w:rsidRDefault="00996AD7">
            <w:pPr>
              <w:rPr>
                <w:rFonts w:ascii="宋体"/>
              </w:rPr>
            </w:pPr>
          </w:p>
        </w:tc>
        <w:tc>
          <w:tcPr>
            <w:tcW w:w="539" w:type="pct"/>
            <w:shd w:val="clear" w:color="auto" w:fill="auto"/>
            <w:vAlign w:val="bottom"/>
          </w:tcPr>
          <w:p w14:paraId="39D982B2" w14:textId="77777777" w:rsidR="00996AD7" w:rsidRDefault="00996AD7">
            <w:pPr>
              <w:rPr>
                <w:rFonts w:ascii="宋体"/>
              </w:rPr>
            </w:pPr>
          </w:p>
        </w:tc>
        <w:tc>
          <w:tcPr>
            <w:tcW w:w="5" w:type="pct"/>
            <w:shd w:val="clear" w:color="auto" w:fill="auto"/>
            <w:vAlign w:val="bottom"/>
          </w:tcPr>
          <w:p w14:paraId="39D982B3" w14:textId="77777777" w:rsidR="00996AD7" w:rsidRDefault="00996AD7">
            <w:pPr>
              <w:rPr>
                <w:rFonts w:ascii="宋体"/>
              </w:rPr>
            </w:pPr>
          </w:p>
        </w:tc>
        <w:tc>
          <w:tcPr>
            <w:tcW w:w="0" w:type="auto"/>
            <w:shd w:val="clear" w:color="auto" w:fill="auto"/>
            <w:vAlign w:val="bottom"/>
          </w:tcPr>
          <w:p w14:paraId="39D982B4" w14:textId="77777777" w:rsidR="00996AD7" w:rsidRDefault="00996AD7">
            <w:pPr>
              <w:rPr>
                <w:rFonts w:ascii="宋体"/>
                <w:vanish/>
              </w:rPr>
            </w:pPr>
          </w:p>
        </w:tc>
      </w:tr>
      <w:tr w:rsidR="00996AD7" w14:paraId="39D982BC" w14:textId="77777777">
        <w:tc>
          <w:tcPr>
            <w:tcW w:w="0" w:type="auto"/>
            <w:gridSpan w:val="3"/>
            <w:shd w:val="clear" w:color="auto" w:fill="auto"/>
            <w:tcMar>
              <w:top w:w="0" w:type="dxa"/>
              <w:left w:w="20" w:type="dxa"/>
              <w:bottom w:w="0" w:type="dxa"/>
              <w:right w:w="20" w:type="dxa"/>
            </w:tcMar>
            <w:vAlign w:val="bottom"/>
          </w:tcPr>
          <w:p w14:paraId="39D982B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2B7"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2B8" w14:textId="77777777" w:rsidR="00996AD7" w:rsidRDefault="00D964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39D982B9"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2BA" w14:textId="77777777" w:rsidR="00996AD7" w:rsidRDefault="00D96458">
            <w:pPr>
              <w:jc w:val="center"/>
              <w:textAlignment w:val="bottom"/>
            </w:pPr>
            <w:r>
              <w:rPr>
                <w:rFonts w:ascii="Arial" w:eastAsia="宋体" w:hAnsi="Arial" w:cs="Arial"/>
                <w:b/>
                <w:bCs/>
                <w:color w:val="262626"/>
                <w:sz w:val="18"/>
                <w:szCs w:val="18"/>
              </w:rPr>
              <w:t>Nine Months Ended</w:t>
            </w:r>
          </w:p>
        </w:tc>
        <w:tc>
          <w:tcPr>
            <w:tcW w:w="0" w:type="auto"/>
            <w:shd w:val="clear" w:color="auto" w:fill="auto"/>
            <w:vAlign w:val="bottom"/>
          </w:tcPr>
          <w:p w14:paraId="39D982BB" w14:textId="77777777" w:rsidR="00996AD7" w:rsidRDefault="00996AD7">
            <w:pPr>
              <w:rPr>
                <w:rFonts w:ascii="宋体"/>
                <w:vanish/>
              </w:rPr>
            </w:pPr>
          </w:p>
        </w:tc>
      </w:tr>
      <w:tr w:rsidR="00996AD7" w14:paraId="39D982C7" w14:textId="77777777">
        <w:tc>
          <w:tcPr>
            <w:tcW w:w="0" w:type="auto"/>
            <w:gridSpan w:val="3"/>
            <w:shd w:val="clear" w:color="auto" w:fill="auto"/>
            <w:tcMar>
              <w:top w:w="40" w:type="dxa"/>
              <w:left w:w="20" w:type="dxa"/>
              <w:bottom w:w="40" w:type="dxa"/>
              <w:right w:w="20" w:type="dxa"/>
            </w:tcMar>
            <w:vAlign w:val="bottom"/>
          </w:tcPr>
          <w:p w14:paraId="39D982BD"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2BE"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2BF"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2C0"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2C1"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gridSpan w:val="3"/>
            <w:shd w:val="clear" w:color="auto" w:fill="auto"/>
            <w:tcMar>
              <w:top w:w="0" w:type="dxa"/>
              <w:left w:w="20" w:type="dxa"/>
              <w:bottom w:w="0" w:type="dxa"/>
              <w:right w:w="20" w:type="dxa"/>
            </w:tcMar>
            <w:vAlign w:val="bottom"/>
          </w:tcPr>
          <w:p w14:paraId="39D982C2"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2C3"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2C4"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2C5"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shd w:val="clear" w:color="auto" w:fill="auto"/>
            <w:vAlign w:val="bottom"/>
          </w:tcPr>
          <w:p w14:paraId="39D982C6" w14:textId="77777777" w:rsidR="00996AD7" w:rsidRDefault="00996AD7">
            <w:pPr>
              <w:rPr>
                <w:rFonts w:ascii="宋体"/>
                <w:vanish/>
              </w:rPr>
            </w:pPr>
          </w:p>
        </w:tc>
      </w:tr>
      <w:tr w:rsidR="00996AD7" w14:paraId="39D982DA"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82C8" w14:textId="77777777" w:rsidR="00996AD7" w:rsidRDefault="00D96458">
            <w:pPr>
              <w:textAlignment w:val="top"/>
            </w:pPr>
            <w:r>
              <w:rPr>
                <w:rFonts w:ascii="Arial" w:eastAsia="宋体" w:hAnsi="Arial" w:cs="Arial"/>
                <w:color w:val="262626"/>
                <w:sz w:val="18"/>
                <w:szCs w:val="18"/>
              </w:rPr>
              <w:t>Net gains (losses) recognized during the period on equity securities</w:t>
            </w:r>
          </w:p>
        </w:tc>
        <w:tc>
          <w:tcPr>
            <w:tcW w:w="0" w:type="auto"/>
            <w:gridSpan w:val="3"/>
            <w:shd w:val="clear" w:color="auto" w:fill="auto"/>
            <w:tcMar>
              <w:top w:w="0" w:type="dxa"/>
              <w:left w:w="20" w:type="dxa"/>
              <w:bottom w:w="0" w:type="dxa"/>
              <w:right w:w="20" w:type="dxa"/>
            </w:tcMar>
            <w:vAlign w:val="bottom"/>
          </w:tcPr>
          <w:p w14:paraId="39D982C9"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2CA"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2CB" w14:textId="77777777" w:rsidR="00996AD7" w:rsidRDefault="00D96458">
            <w:pPr>
              <w:jc w:val="right"/>
              <w:textAlignment w:val="bottom"/>
            </w:pPr>
            <w:r>
              <w:rPr>
                <w:rFonts w:ascii="Arial" w:eastAsia="宋体" w:hAnsi="Arial" w:cs="Arial"/>
                <w:color w:val="0068B5"/>
                <w:sz w:val="18"/>
                <w:szCs w:val="18"/>
              </w:rPr>
              <w:t>346 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2C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CD"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2CE"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2CF" w14:textId="77777777" w:rsidR="00996AD7" w:rsidRDefault="00D96458">
            <w:pPr>
              <w:jc w:val="right"/>
              <w:textAlignment w:val="bottom"/>
            </w:pPr>
            <w:r>
              <w:rPr>
                <w:rFonts w:ascii="Arial" w:eastAsia="宋体" w:hAnsi="Arial" w:cs="Arial"/>
                <w:color w:val="262626"/>
                <w:sz w:val="18"/>
                <w:szCs w:val="18"/>
              </w:rPr>
              <w:t>19 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2D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D1"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2D2"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2D3" w14:textId="77777777" w:rsidR="00996AD7" w:rsidRDefault="00D96458">
            <w:pPr>
              <w:jc w:val="right"/>
              <w:textAlignment w:val="bottom"/>
            </w:pPr>
            <w:r>
              <w:rPr>
                <w:rFonts w:ascii="Arial" w:eastAsia="宋体" w:hAnsi="Arial" w:cs="Arial"/>
                <w:color w:val="0068B5"/>
                <w:sz w:val="18"/>
                <w:szCs w:val="18"/>
              </w:rPr>
              <w:t>883 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2D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D5"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2D6"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2D7" w14:textId="77777777" w:rsidR="00996AD7" w:rsidRDefault="00D96458">
            <w:pPr>
              <w:jc w:val="right"/>
              <w:textAlignment w:val="bottom"/>
            </w:pPr>
            <w:r>
              <w:rPr>
                <w:rFonts w:ascii="Arial" w:eastAsia="宋体" w:hAnsi="Arial" w:cs="Arial"/>
                <w:color w:val="262626"/>
                <w:sz w:val="18"/>
                <w:szCs w:val="18"/>
              </w:rPr>
              <w:t>102 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2D8" w14:textId="77777777" w:rsidR="00996AD7" w:rsidRDefault="00996AD7">
            <w:pPr>
              <w:jc w:val="right"/>
              <w:rPr>
                <w:rFonts w:ascii="宋体"/>
              </w:rPr>
            </w:pPr>
          </w:p>
        </w:tc>
        <w:tc>
          <w:tcPr>
            <w:tcW w:w="0" w:type="auto"/>
            <w:shd w:val="clear" w:color="auto" w:fill="auto"/>
            <w:vAlign w:val="bottom"/>
          </w:tcPr>
          <w:p w14:paraId="39D982D9" w14:textId="77777777" w:rsidR="00996AD7" w:rsidRDefault="00996AD7">
            <w:pPr>
              <w:rPr>
                <w:rFonts w:ascii="宋体"/>
                <w:vanish/>
              </w:rPr>
            </w:pPr>
          </w:p>
        </w:tc>
      </w:tr>
      <w:tr w:rsidR="00996AD7" w14:paraId="39D982E9" w14:textId="77777777">
        <w:tc>
          <w:tcPr>
            <w:tcW w:w="0" w:type="auto"/>
            <w:gridSpan w:val="3"/>
            <w:shd w:val="clear" w:color="auto" w:fill="auto"/>
            <w:tcMar>
              <w:top w:w="40" w:type="dxa"/>
              <w:left w:w="20" w:type="dxa"/>
              <w:bottom w:w="40" w:type="dxa"/>
              <w:right w:w="20" w:type="dxa"/>
            </w:tcMar>
          </w:tcPr>
          <w:p w14:paraId="39D982DB" w14:textId="77777777" w:rsidR="00996AD7" w:rsidRDefault="00D96458">
            <w:pPr>
              <w:textAlignment w:val="top"/>
            </w:pPr>
            <w:r>
              <w:rPr>
                <w:rFonts w:ascii="Arial" w:eastAsia="宋体" w:hAnsi="Arial" w:cs="Arial"/>
                <w:color w:val="262626"/>
                <w:sz w:val="18"/>
                <w:szCs w:val="18"/>
              </w:rPr>
              <w:t>Less: Net (gains) losses recognized during the period on equity securities sold during the period</w:t>
            </w:r>
          </w:p>
        </w:tc>
        <w:tc>
          <w:tcPr>
            <w:tcW w:w="0" w:type="auto"/>
            <w:gridSpan w:val="3"/>
            <w:shd w:val="clear" w:color="auto" w:fill="auto"/>
            <w:tcMar>
              <w:top w:w="0" w:type="dxa"/>
              <w:left w:w="20" w:type="dxa"/>
              <w:bottom w:w="0" w:type="dxa"/>
              <w:right w:w="20" w:type="dxa"/>
            </w:tcMar>
            <w:vAlign w:val="bottom"/>
          </w:tcPr>
          <w:p w14:paraId="39D982D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DD" w14:textId="77777777" w:rsidR="00996AD7" w:rsidRDefault="00D96458">
            <w:pPr>
              <w:jc w:val="right"/>
              <w:textAlignment w:val="bottom"/>
            </w:pPr>
            <w:r>
              <w:rPr>
                <w:rFonts w:ascii="Arial" w:eastAsia="宋体" w:hAnsi="Arial" w:cs="Arial"/>
                <w:color w:val="0068B5"/>
                <w:sz w:val="18"/>
                <w:szCs w:val="18"/>
              </w:rPr>
              <w:t>(46)</w:t>
            </w:r>
          </w:p>
        </w:tc>
        <w:tc>
          <w:tcPr>
            <w:tcW w:w="0" w:type="auto"/>
            <w:shd w:val="clear" w:color="auto" w:fill="auto"/>
            <w:tcMar>
              <w:top w:w="40" w:type="dxa"/>
              <w:left w:w="0" w:type="dxa"/>
              <w:bottom w:w="40" w:type="dxa"/>
              <w:right w:w="20" w:type="dxa"/>
            </w:tcMar>
            <w:vAlign w:val="bottom"/>
          </w:tcPr>
          <w:p w14:paraId="39D982D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D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E0" w14:textId="77777777" w:rsidR="00996AD7" w:rsidRDefault="00D96458">
            <w:pPr>
              <w:jc w:val="right"/>
              <w:textAlignment w:val="bottom"/>
            </w:pPr>
            <w:r>
              <w:rPr>
                <w:rFonts w:ascii="Arial" w:eastAsia="宋体" w:hAnsi="Arial" w:cs="Arial"/>
                <w:color w:val="262626"/>
                <w:sz w:val="18"/>
                <w:szCs w:val="18"/>
              </w:rPr>
              <w:t>(12)</w:t>
            </w:r>
          </w:p>
        </w:tc>
        <w:tc>
          <w:tcPr>
            <w:tcW w:w="0" w:type="auto"/>
            <w:shd w:val="clear" w:color="auto" w:fill="auto"/>
            <w:tcMar>
              <w:top w:w="40" w:type="dxa"/>
              <w:left w:w="0" w:type="dxa"/>
              <w:bottom w:w="40" w:type="dxa"/>
              <w:right w:w="20" w:type="dxa"/>
            </w:tcMar>
            <w:vAlign w:val="bottom"/>
          </w:tcPr>
          <w:p w14:paraId="39D982E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E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E3" w14:textId="77777777" w:rsidR="00996AD7" w:rsidRDefault="00D96458">
            <w:pPr>
              <w:jc w:val="right"/>
              <w:textAlignment w:val="bottom"/>
            </w:pPr>
            <w:r>
              <w:rPr>
                <w:rFonts w:ascii="Arial" w:eastAsia="宋体" w:hAnsi="Arial" w:cs="Arial"/>
                <w:color w:val="0068B5"/>
                <w:sz w:val="18"/>
                <w:szCs w:val="18"/>
              </w:rPr>
              <w:t>(189)</w:t>
            </w:r>
          </w:p>
        </w:tc>
        <w:tc>
          <w:tcPr>
            <w:tcW w:w="0" w:type="auto"/>
            <w:shd w:val="clear" w:color="auto" w:fill="auto"/>
            <w:tcMar>
              <w:top w:w="40" w:type="dxa"/>
              <w:left w:w="0" w:type="dxa"/>
              <w:bottom w:w="40" w:type="dxa"/>
              <w:right w:w="20" w:type="dxa"/>
            </w:tcMar>
            <w:vAlign w:val="bottom"/>
          </w:tcPr>
          <w:p w14:paraId="39D982E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E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2E6" w14:textId="77777777" w:rsidR="00996AD7" w:rsidRDefault="00D96458">
            <w:pPr>
              <w:jc w:val="right"/>
              <w:textAlignment w:val="bottom"/>
            </w:pPr>
            <w:r>
              <w:rPr>
                <w:rFonts w:ascii="Arial" w:eastAsia="宋体" w:hAnsi="Arial" w:cs="Arial"/>
                <w:color w:val="262626"/>
                <w:sz w:val="18"/>
                <w:szCs w:val="18"/>
              </w:rPr>
              <w:t>(87)</w:t>
            </w:r>
          </w:p>
        </w:tc>
        <w:tc>
          <w:tcPr>
            <w:tcW w:w="0" w:type="auto"/>
            <w:shd w:val="clear" w:color="auto" w:fill="auto"/>
            <w:tcMar>
              <w:top w:w="40" w:type="dxa"/>
              <w:left w:w="0" w:type="dxa"/>
              <w:bottom w:w="40" w:type="dxa"/>
              <w:right w:w="20" w:type="dxa"/>
            </w:tcMar>
            <w:vAlign w:val="bottom"/>
          </w:tcPr>
          <w:p w14:paraId="39D982E7" w14:textId="77777777" w:rsidR="00996AD7" w:rsidRDefault="00996AD7">
            <w:pPr>
              <w:jc w:val="right"/>
              <w:rPr>
                <w:rFonts w:ascii="宋体"/>
              </w:rPr>
            </w:pPr>
          </w:p>
        </w:tc>
        <w:tc>
          <w:tcPr>
            <w:tcW w:w="0" w:type="auto"/>
            <w:shd w:val="clear" w:color="auto" w:fill="auto"/>
            <w:vAlign w:val="bottom"/>
          </w:tcPr>
          <w:p w14:paraId="39D982E8" w14:textId="77777777" w:rsidR="00996AD7" w:rsidRDefault="00996AD7">
            <w:pPr>
              <w:rPr>
                <w:rFonts w:ascii="宋体"/>
                <w:vanish/>
              </w:rPr>
            </w:pPr>
          </w:p>
        </w:tc>
      </w:tr>
      <w:tr w:rsidR="00996AD7" w14:paraId="39D982FC" w14:textId="77777777">
        <w:tc>
          <w:tcPr>
            <w:tcW w:w="0" w:type="auto"/>
            <w:gridSpan w:val="3"/>
            <w:shd w:val="clear" w:color="auto" w:fill="auto"/>
            <w:tcMar>
              <w:top w:w="40" w:type="dxa"/>
              <w:left w:w="20" w:type="dxa"/>
              <w:bottom w:w="40" w:type="dxa"/>
              <w:right w:w="20" w:type="dxa"/>
            </w:tcMar>
          </w:tcPr>
          <w:p w14:paraId="39D982EA" w14:textId="77777777" w:rsidR="00996AD7" w:rsidRDefault="00D96458">
            <w:pPr>
              <w:textAlignment w:val="top"/>
            </w:pPr>
            <w:r>
              <w:rPr>
                <w:rFonts w:ascii="Arial" w:eastAsia="宋体" w:hAnsi="Arial" w:cs="Arial"/>
                <w:b/>
                <w:bCs/>
                <w:color w:val="262626"/>
                <w:sz w:val="18"/>
                <w:szCs w:val="18"/>
              </w:rPr>
              <w:t>Unrealized gains (losses) recognized during the reporting period on equity securities still held at the reporting date</w:t>
            </w:r>
          </w:p>
        </w:tc>
        <w:tc>
          <w:tcPr>
            <w:tcW w:w="0" w:type="auto"/>
            <w:gridSpan w:val="3"/>
            <w:shd w:val="clear" w:color="auto" w:fill="auto"/>
            <w:tcMar>
              <w:top w:w="0" w:type="dxa"/>
              <w:left w:w="20" w:type="dxa"/>
              <w:bottom w:w="0" w:type="dxa"/>
              <w:right w:w="20" w:type="dxa"/>
            </w:tcMar>
            <w:vAlign w:val="bottom"/>
          </w:tcPr>
          <w:p w14:paraId="39D982EB"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2EC"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2ED" w14:textId="77777777" w:rsidR="00996AD7" w:rsidRDefault="00D96458">
            <w:pPr>
              <w:jc w:val="right"/>
              <w:textAlignment w:val="bottom"/>
            </w:pPr>
            <w:r>
              <w:rPr>
                <w:rFonts w:ascii="Arial" w:eastAsia="宋体" w:hAnsi="Arial" w:cs="Arial"/>
                <w:b/>
                <w:bCs/>
                <w:color w:val="0068B5"/>
                <w:sz w:val="18"/>
                <w:szCs w:val="18"/>
              </w:rPr>
              <w:t>300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2E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EF"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2F0"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2F1" w14:textId="77777777" w:rsidR="00996AD7" w:rsidRDefault="00D96458">
            <w:pPr>
              <w:jc w:val="right"/>
              <w:textAlignment w:val="bottom"/>
            </w:pPr>
            <w:r>
              <w:rPr>
                <w:rFonts w:ascii="Arial" w:eastAsia="宋体" w:hAnsi="Arial" w:cs="Arial"/>
                <w:b/>
                <w:bCs/>
                <w:color w:val="262626"/>
                <w:sz w:val="18"/>
                <w:szCs w:val="18"/>
              </w:rPr>
              <w:t>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2F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F3"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2F4"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2F5" w14:textId="77777777" w:rsidR="00996AD7" w:rsidRDefault="00D96458">
            <w:pPr>
              <w:jc w:val="right"/>
              <w:textAlignment w:val="bottom"/>
            </w:pPr>
            <w:r>
              <w:rPr>
                <w:rFonts w:ascii="Arial" w:eastAsia="宋体" w:hAnsi="Arial" w:cs="Arial"/>
                <w:b/>
                <w:bCs/>
                <w:color w:val="0068B5"/>
                <w:sz w:val="18"/>
                <w:szCs w:val="18"/>
              </w:rPr>
              <w:t>694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2F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2F7"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2F8"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2F9" w14:textId="77777777" w:rsidR="00996AD7" w:rsidRDefault="00D96458">
            <w:pPr>
              <w:jc w:val="right"/>
              <w:textAlignment w:val="bottom"/>
            </w:pPr>
            <w:r>
              <w:rPr>
                <w:rFonts w:ascii="Arial" w:eastAsia="宋体" w:hAnsi="Arial" w:cs="Arial"/>
                <w:b/>
                <w:bCs/>
                <w:color w:val="262626"/>
                <w:sz w:val="18"/>
                <w:szCs w:val="18"/>
              </w:rPr>
              <w:t>15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2FA" w14:textId="77777777" w:rsidR="00996AD7" w:rsidRDefault="00996AD7">
            <w:pPr>
              <w:jc w:val="right"/>
              <w:rPr>
                <w:rFonts w:ascii="宋体"/>
              </w:rPr>
            </w:pPr>
          </w:p>
        </w:tc>
        <w:tc>
          <w:tcPr>
            <w:tcW w:w="0" w:type="auto"/>
            <w:shd w:val="clear" w:color="auto" w:fill="auto"/>
            <w:vAlign w:val="bottom"/>
          </w:tcPr>
          <w:p w14:paraId="39D982FB" w14:textId="77777777" w:rsidR="00996AD7" w:rsidRDefault="00996AD7">
            <w:pPr>
              <w:rPr>
                <w:rFonts w:ascii="宋体"/>
                <w:vanish/>
              </w:rPr>
            </w:pPr>
          </w:p>
        </w:tc>
      </w:tr>
    </w:tbl>
    <w:p w14:paraId="39D982FD" w14:textId="77777777" w:rsidR="00996AD7" w:rsidRDefault="00D96458">
      <w:pPr>
        <w:spacing w:after="180"/>
      </w:pPr>
      <w:r>
        <w:rPr>
          <w:rFonts w:ascii="Arial" w:eastAsia="宋体" w:hAnsi="Arial" w:cs="Arial"/>
          <w:color w:val="262626"/>
          <w:sz w:val="18"/>
          <w:szCs w:val="18"/>
        </w:rPr>
        <w:t>Sale of equity investments and other during the third quarter of 2021 includes $447 milli</w:t>
      </w:r>
      <w:r>
        <w:rPr>
          <w:rFonts w:ascii="Arial" w:eastAsia="宋体" w:hAnsi="Arial" w:cs="Arial"/>
          <w:color w:val="262626"/>
          <w:sz w:val="18"/>
          <w:szCs w:val="18"/>
        </w:rPr>
        <w:t>on of initial fair value adjustments related to four companies that went public, and a McAfee special dividend of $1.1 billion paid in connection with the sale of McAfee's Enterprise Business to Symphony Technology Group.</w:t>
      </w:r>
    </w:p>
    <w:p w14:paraId="39D982FE" w14:textId="77777777" w:rsidR="00996AD7" w:rsidRDefault="00D96458">
      <w:pPr>
        <w:spacing w:after="180"/>
      </w:pPr>
      <w:r>
        <w:rPr>
          <w:rFonts w:ascii="Arial" w:eastAsia="宋体" w:hAnsi="Arial" w:cs="Arial"/>
          <w:b/>
          <w:bCs/>
          <w:color w:val="262626"/>
          <w:sz w:val="18"/>
          <w:szCs w:val="18"/>
        </w:rPr>
        <w:t>Beijing Unisoc Technology Ltd.</w:t>
      </w:r>
    </w:p>
    <w:p w14:paraId="39D982FF" w14:textId="77777777" w:rsidR="00996AD7" w:rsidRDefault="00D96458">
      <w:pPr>
        <w:spacing w:after="180"/>
      </w:pPr>
      <w:r>
        <w:rPr>
          <w:rFonts w:ascii="Arial" w:eastAsia="宋体" w:hAnsi="Arial" w:cs="Arial"/>
          <w:color w:val="262626"/>
          <w:sz w:val="18"/>
          <w:szCs w:val="18"/>
        </w:rPr>
        <w:t xml:space="preserve">We </w:t>
      </w:r>
      <w:r>
        <w:rPr>
          <w:rFonts w:ascii="Arial" w:eastAsia="宋体" w:hAnsi="Arial" w:cs="Arial"/>
          <w:color w:val="262626"/>
          <w:sz w:val="18"/>
          <w:szCs w:val="18"/>
        </w:rPr>
        <w:t xml:space="preserve">account for our interest in Beijing Unisoc Technology Ltd. (Unisoc) as a non-marketable equity security. In the first quarter of 2021, we recognized $471 million in observable price adjustments in our investment in Unisoc and as of September 25, 2021, the </w:t>
      </w:r>
      <w:r>
        <w:rPr>
          <w:rFonts w:ascii="Arial" w:eastAsia="宋体" w:hAnsi="Arial" w:cs="Arial"/>
          <w:color w:val="262626"/>
          <w:sz w:val="18"/>
          <w:szCs w:val="18"/>
        </w:rPr>
        <w:t>net book value of the investment was $1.1 billion ($658 million as of December 26, 2020).</w:t>
      </w:r>
    </w:p>
    <w:p w14:paraId="39D98300" w14:textId="77777777" w:rsidR="00996AD7" w:rsidRDefault="00996AD7">
      <w:pPr>
        <w:spacing w:after="180"/>
      </w:pPr>
    </w:p>
    <w:p w14:paraId="39D98301" w14:textId="77777777" w:rsidR="00996AD7" w:rsidRDefault="00996AD7">
      <w:pPr>
        <w:spacing w:after="180"/>
      </w:pPr>
    </w:p>
    <w:p w14:paraId="39D98302" w14:textId="77777777" w:rsidR="00996AD7" w:rsidRDefault="00996AD7">
      <w:pPr>
        <w:spacing w:after="180"/>
      </w:pPr>
    </w:p>
    <w:p w14:paraId="39D98303" w14:textId="77777777" w:rsidR="00996AD7" w:rsidRDefault="00996AD7">
      <w:pPr>
        <w:spacing w:after="180"/>
      </w:pPr>
    </w:p>
    <w:p w14:paraId="39D98304" w14:textId="77777777" w:rsidR="00996AD7" w:rsidRDefault="00996AD7">
      <w:pPr>
        <w:spacing w:after="180"/>
      </w:pPr>
    </w:p>
    <w:p w14:paraId="39D98305" w14:textId="77777777" w:rsidR="00996AD7" w:rsidRDefault="00996AD7">
      <w:pPr>
        <w:spacing w:after="180"/>
      </w:pPr>
    </w:p>
    <w:p w14:paraId="39D98306"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8313" w14:textId="77777777">
        <w:tc>
          <w:tcPr>
            <w:tcW w:w="50" w:type="pct"/>
            <w:shd w:val="clear" w:color="auto" w:fill="auto"/>
            <w:vAlign w:val="bottom"/>
          </w:tcPr>
          <w:p w14:paraId="39D98307" w14:textId="77777777" w:rsidR="00996AD7" w:rsidRDefault="00996AD7">
            <w:pPr>
              <w:rPr>
                <w:rFonts w:ascii="宋体"/>
              </w:rPr>
            </w:pPr>
          </w:p>
        </w:tc>
        <w:tc>
          <w:tcPr>
            <w:tcW w:w="238" w:type="pct"/>
            <w:shd w:val="clear" w:color="auto" w:fill="auto"/>
            <w:vAlign w:val="bottom"/>
          </w:tcPr>
          <w:p w14:paraId="39D98308" w14:textId="77777777" w:rsidR="00996AD7" w:rsidRDefault="00996AD7">
            <w:pPr>
              <w:rPr>
                <w:rFonts w:ascii="宋体"/>
              </w:rPr>
            </w:pPr>
          </w:p>
        </w:tc>
        <w:tc>
          <w:tcPr>
            <w:tcW w:w="5" w:type="pct"/>
            <w:shd w:val="clear" w:color="auto" w:fill="auto"/>
            <w:vAlign w:val="bottom"/>
          </w:tcPr>
          <w:p w14:paraId="39D98309" w14:textId="77777777" w:rsidR="00996AD7" w:rsidRDefault="00996AD7">
            <w:pPr>
              <w:rPr>
                <w:rFonts w:ascii="宋体"/>
              </w:rPr>
            </w:pPr>
          </w:p>
        </w:tc>
        <w:tc>
          <w:tcPr>
            <w:tcW w:w="50" w:type="pct"/>
            <w:shd w:val="clear" w:color="auto" w:fill="auto"/>
            <w:vAlign w:val="bottom"/>
          </w:tcPr>
          <w:p w14:paraId="39D9830A" w14:textId="77777777" w:rsidR="00996AD7" w:rsidRDefault="00996AD7">
            <w:pPr>
              <w:rPr>
                <w:rFonts w:ascii="宋体"/>
              </w:rPr>
            </w:pPr>
          </w:p>
        </w:tc>
        <w:tc>
          <w:tcPr>
            <w:tcW w:w="983" w:type="pct"/>
            <w:shd w:val="clear" w:color="auto" w:fill="auto"/>
            <w:vAlign w:val="bottom"/>
          </w:tcPr>
          <w:p w14:paraId="39D9830B" w14:textId="77777777" w:rsidR="00996AD7" w:rsidRDefault="00996AD7">
            <w:pPr>
              <w:rPr>
                <w:rFonts w:ascii="宋体"/>
              </w:rPr>
            </w:pPr>
          </w:p>
        </w:tc>
        <w:tc>
          <w:tcPr>
            <w:tcW w:w="5" w:type="pct"/>
            <w:shd w:val="clear" w:color="auto" w:fill="auto"/>
            <w:vAlign w:val="bottom"/>
          </w:tcPr>
          <w:p w14:paraId="39D9830C" w14:textId="77777777" w:rsidR="00996AD7" w:rsidRDefault="00996AD7">
            <w:pPr>
              <w:rPr>
                <w:rFonts w:ascii="宋体"/>
              </w:rPr>
            </w:pPr>
          </w:p>
        </w:tc>
        <w:tc>
          <w:tcPr>
            <w:tcW w:w="50" w:type="pct"/>
            <w:shd w:val="clear" w:color="auto" w:fill="auto"/>
            <w:vAlign w:val="bottom"/>
          </w:tcPr>
          <w:p w14:paraId="39D9830D" w14:textId="77777777" w:rsidR="00996AD7" w:rsidRDefault="00996AD7">
            <w:pPr>
              <w:rPr>
                <w:rFonts w:ascii="宋体"/>
              </w:rPr>
            </w:pPr>
          </w:p>
        </w:tc>
        <w:tc>
          <w:tcPr>
            <w:tcW w:w="2035" w:type="pct"/>
            <w:shd w:val="clear" w:color="auto" w:fill="auto"/>
            <w:vAlign w:val="bottom"/>
          </w:tcPr>
          <w:p w14:paraId="39D9830E" w14:textId="77777777" w:rsidR="00996AD7" w:rsidRDefault="00996AD7">
            <w:pPr>
              <w:rPr>
                <w:rFonts w:ascii="宋体"/>
              </w:rPr>
            </w:pPr>
          </w:p>
        </w:tc>
        <w:tc>
          <w:tcPr>
            <w:tcW w:w="5" w:type="pct"/>
            <w:shd w:val="clear" w:color="auto" w:fill="auto"/>
            <w:vAlign w:val="bottom"/>
          </w:tcPr>
          <w:p w14:paraId="39D9830F" w14:textId="77777777" w:rsidR="00996AD7" w:rsidRDefault="00996AD7">
            <w:pPr>
              <w:rPr>
                <w:rFonts w:ascii="宋体"/>
              </w:rPr>
            </w:pPr>
          </w:p>
        </w:tc>
        <w:tc>
          <w:tcPr>
            <w:tcW w:w="50" w:type="pct"/>
            <w:shd w:val="clear" w:color="auto" w:fill="auto"/>
            <w:vAlign w:val="bottom"/>
          </w:tcPr>
          <w:p w14:paraId="39D98310" w14:textId="77777777" w:rsidR="00996AD7" w:rsidRDefault="00996AD7">
            <w:pPr>
              <w:rPr>
                <w:rFonts w:ascii="宋体"/>
              </w:rPr>
            </w:pPr>
          </w:p>
        </w:tc>
        <w:tc>
          <w:tcPr>
            <w:tcW w:w="1522" w:type="pct"/>
            <w:shd w:val="clear" w:color="auto" w:fill="auto"/>
            <w:vAlign w:val="bottom"/>
          </w:tcPr>
          <w:p w14:paraId="39D98311" w14:textId="77777777" w:rsidR="00996AD7" w:rsidRDefault="00996AD7">
            <w:pPr>
              <w:rPr>
                <w:rFonts w:ascii="宋体"/>
              </w:rPr>
            </w:pPr>
          </w:p>
        </w:tc>
        <w:tc>
          <w:tcPr>
            <w:tcW w:w="5" w:type="pct"/>
            <w:shd w:val="clear" w:color="auto" w:fill="auto"/>
            <w:vAlign w:val="bottom"/>
          </w:tcPr>
          <w:p w14:paraId="39D98312" w14:textId="77777777" w:rsidR="00996AD7" w:rsidRDefault="00996AD7">
            <w:pPr>
              <w:rPr>
                <w:rFonts w:ascii="宋体"/>
              </w:rPr>
            </w:pPr>
          </w:p>
        </w:tc>
      </w:tr>
      <w:tr w:rsidR="00996AD7" w14:paraId="39D9831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314"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B7" wp14:editId="39D9A3B8">
                  <wp:extent cx="304800" cy="304800"/>
                  <wp:effectExtent l="0" t="0" r="0" b="0"/>
                  <wp:docPr id="74" name="图片 63"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3"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315"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8316"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317" w14:textId="77777777" w:rsidR="00996AD7" w:rsidRDefault="00D96458">
            <w:pPr>
              <w:jc w:val="right"/>
              <w:textAlignment w:val="center"/>
            </w:pPr>
            <w:r>
              <w:rPr>
                <w:rFonts w:ascii="Arial" w:eastAsia="宋体" w:hAnsi="Arial" w:cs="Arial"/>
                <w:color w:val="262626"/>
                <w:sz w:val="16"/>
                <w:szCs w:val="16"/>
              </w:rPr>
              <w:t>12</w:t>
            </w:r>
          </w:p>
        </w:tc>
      </w:tr>
    </w:tbl>
    <w:p w14:paraId="39D98319" w14:textId="77777777" w:rsidR="00996AD7" w:rsidRDefault="00D96458">
      <w:r>
        <w:pict w14:anchorId="39D9A3B9">
          <v:rect id="_x0000_i1038" style="width:415.3pt;height:1.5pt" o:hralign="center" o:hrstd="t" o:hr="t" fillcolor="#a0a0a0" stroked="f"/>
        </w:pict>
      </w:r>
    </w:p>
    <w:p w14:paraId="39D9831A" w14:textId="77777777" w:rsidR="00996AD7" w:rsidRDefault="00D96458">
      <w:pPr>
        <w:spacing w:after="180"/>
        <w:jc w:val="right"/>
      </w:pPr>
      <w:hyperlink r:id="rId39" w:anchor="i94e6cc3aa83643b8b968bd5bab038338_7" w:history="1">
        <w:r>
          <w:rPr>
            <w:rStyle w:val="a5"/>
            <w:rFonts w:ascii="Arial" w:eastAsia="宋体" w:hAnsi="Arial" w:cs="Arial"/>
            <w:b/>
            <w:bCs/>
            <w:color w:val="0068B5"/>
            <w:sz w:val="16"/>
            <w:szCs w:val="16"/>
          </w:rPr>
          <w:t>Table of Contents</w:t>
        </w:r>
      </w:hyperlink>
    </w:p>
    <w:p w14:paraId="39D9831B"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996AD7" w14:paraId="39D98322" w14:textId="77777777">
        <w:tc>
          <w:tcPr>
            <w:tcW w:w="50" w:type="pct"/>
            <w:shd w:val="clear" w:color="auto" w:fill="auto"/>
            <w:vAlign w:val="bottom"/>
          </w:tcPr>
          <w:p w14:paraId="39D9831C" w14:textId="77777777" w:rsidR="00996AD7" w:rsidRDefault="00996AD7">
            <w:pPr>
              <w:rPr>
                <w:rFonts w:ascii="宋体"/>
              </w:rPr>
            </w:pPr>
          </w:p>
        </w:tc>
        <w:tc>
          <w:tcPr>
            <w:tcW w:w="511" w:type="pct"/>
            <w:shd w:val="clear" w:color="auto" w:fill="auto"/>
            <w:vAlign w:val="bottom"/>
          </w:tcPr>
          <w:p w14:paraId="39D9831D" w14:textId="77777777" w:rsidR="00996AD7" w:rsidRDefault="00996AD7">
            <w:pPr>
              <w:rPr>
                <w:rFonts w:ascii="宋体"/>
              </w:rPr>
            </w:pPr>
          </w:p>
        </w:tc>
        <w:tc>
          <w:tcPr>
            <w:tcW w:w="5" w:type="pct"/>
            <w:shd w:val="clear" w:color="auto" w:fill="auto"/>
            <w:vAlign w:val="bottom"/>
          </w:tcPr>
          <w:p w14:paraId="39D9831E" w14:textId="77777777" w:rsidR="00996AD7" w:rsidRDefault="00996AD7">
            <w:pPr>
              <w:rPr>
                <w:rFonts w:ascii="宋体"/>
              </w:rPr>
            </w:pPr>
          </w:p>
        </w:tc>
        <w:tc>
          <w:tcPr>
            <w:tcW w:w="50" w:type="pct"/>
            <w:shd w:val="clear" w:color="auto" w:fill="auto"/>
            <w:vAlign w:val="bottom"/>
          </w:tcPr>
          <w:p w14:paraId="39D9831F" w14:textId="77777777" w:rsidR="00996AD7" w:rsidRDefault="00996AD7">
            <w:pPr>
              <w:rPr>
                <w:rFonts w:ascii="宋体"/>
              </w:rPr>
            </w:pPr>
          </w:p>
        </w:tc>
        <w:tc>
          <w:tcPr>
            <w:tcW w:w="4378" w:type="pct"/>
            <w:shd w:val="clear" w:color="auto" w:fill="auto"/>
            <w:vAlign w:val="bottom"/>
          </w:tcPr>
          <w:p w14:paraId="39D98320" w14:textId="77777777" w:rsidR="00996AD7" w:rsidRDefault="00996AD7">
            <w:pPr>
              <w:rPr>
                <w:rFonts w:ascii="宋体"/>
              </w:rPr>
            </w:pPr>
          </w:p>
        </w:tc>
        <w:tc>
          <w:tcPr>
            <w:tcW w:w="5" w:type="pct"/>
            <w:shd w:val="clear" w:color="auto" w:fill="auto"/>
            <w:vAlign w:val="bottom"/>
          </w:tcPr>
          <w:p w14:paraId="39D98321" w14:textId="77777777" w:rsidR="00996AD7" w:rsidRDefault="00996AD7">
            <w:pPr>
              <w:rPr>
                <w:rFonts w:ascii="宋体"/>
              </w:rPr>
            </w:pPr>
          </w:p>
        </w:tc>
      </w:tr>
      <w:tr w:rsidR="00996AD7" w14:paraId="39D98325"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39D98323" w14:textId="77777777" w:rsidR="00996AD7" w:rsidRDefault="00D96458">
            <w:pPr>
              <w:textAlignment w:val="bottom"/>
            </w:pPr>
            <w:r>
              <w:rPr>
                <w:rFonts w:ascii="Arial" w:eastAsia="宋体" w:hAnsi="Arial" w:cs="Arial"/>
                <w:color w:val="FFFFFF"/>
                <w:sz w:val="28"/>
                <w:szCs w:val="28"/>
              </w:rPr>
              <w:t xml:space="preserve">Note 8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8324" w14:textId="77777777" w:rsidR="00996AD7" w:rsidRDefault="00D96458">
            <w:pPr>
              <w:textAlignment w:val="bottom"/>
            </w:pPr>
            <w:r>
              <w:rPr>
                <w:rFonts w:ascii="Arial" w:eastAsia="宋体" w:hAnsi="Arial" w:cs="Arial"/>
                <w:color w:val="0068B5"/>
                <w:sz w:val="28"/>
                <w:szCs w:val="28"/>
              </w:rPr>
              <w:t>Acquisitions and Divestitures</w:t>
            </w:r>
          </w:p>
        </w:tc>
      </w:tr>
    </w:tbl>
    <w:p w14:paraId="39D98326" w14:textId="77777777" w:rsidR="00996AD7" w:rsidRDefault="00D96458">
      <w:pPr>
        <w:spacing w:before="180" w:after="180"/>
      </w:pPr>
      <w:r>
        <w:rPr>
          <w:rFonts w:ascii="Arial" w:eastAsia="宋体" w:hAnsi="Arial" w:cs="Arial"/>
          <w:color w:val="0068B5"/>
        </w:rPr>
        <w:t>Acquisitions</w:t>
      </w:r>
    </w:p>
    <w:p w14:paraId="39D98327" w14:textId="77777777" w:rsidR="00996AD7" w:rsidRDefault="00D96458">
      <w:pPr>
        <w:spacing w:after="180"/>
      </w:pPr>
      <w:r>
        <w:rPr>
          <w:rFonts w:ascii="Arial" w:eastAsia="宋体" w:hAnsi="Arial" w:cs="Arial"/>
          <w:color w:val="333333"/>
          <w:sz w:val="18"/>
          <w:szCs w:val="18"/>
        </w:rPr>
        <w:t xml:space="preserve">On May 4, 2020, we acquired </w:t>
      </w:r>
      <w:r>
        <w:rPr>
          <w:rFonts w:ascii="Arial" w:eastAsia="宋体" w:hAnsi="Arial" w:cs="Arial"/>
          <w:color w:val="262626"/>
          <w:sz w:val="18"/>
          <w:szCs w:val="18"/>
        </w:rPr>
        <w:t xml:space="preserve">Moovit, </w:t>
      </w:r>
      <w:r>
        <w:rPr>
          <w:rFonts w:ascii="Arial" w:eastAsia="宋体" w:hAnsi="Arial" w:cs="Arial"/>
          <w:color w:val="333333"/>
          <w:sz w:val="18"/>
          <w:szCs w:val="18"/>
        </w:rPr>
        <w:t>a</w:t>
      </w:r>
      <w:r>
        <w:rPr>
          <w:rFonts w:ascii="Arial" w:eastAsia="宋体" w:hAnsi="Arial" w:cs="Arial"/>
          <w:color w:val="262626"/>
          <w:sz w:val="18"/>
          <w:szCs w:val="18"/>
        </w:rPr>
        <w:t xml:space="preserve"> </w:t>
      </w:r>
      <w:r>
        <w:rPr>
          <w:rFonts w:ascii="Arial" w:eastAsia="宋体" w:hAnsi="Arial" w:cs="Arial"/>
          <w:color w:val="333333"/>
          <w:sz w:val="18"/>
          <w:szCs w:val="18"/>
        </w:rPr>
        <w:t>MaaS solutions company</w:t>
      </w:r>
      <w:r>
        <w:rPr>
          <w:rFonts w:ascii="Arial" w:eastAsia="宋体" w:hAnsi="Arial" w:cs="Arial"/>
          <w:color w:val="262626"/>
          <w:sz w:val="18"/>
          <w:szCs w:val="18"/>
        </w:rPr>
        <w:t xml:space="preserve">, for total consideration of </w:t>
      </w:r>
      <w:r>
        <w:rPr>
          <w:rFonts w:ascii="Arial" w:eastAsia="宋体" w:hAnsi="Arial" w:cs="Arial"/>
          <w:color w:val="333333"/>
          <w:sz w:val="18"/>
          <w:szCs w:val="18"/>
        </w:rPr>
        <w:t>$915 million. The fair values of the assets acquired relate to goodwill of $638 million</w:t>
      </w:r>
      <w:r>
        <w:rPr>
          <w:rFonts w:ascii="Arial" w:eastAsia="宋体" w:hAnsi="Arial" w:cs="Arial"/>
          <w:color w:val="262626"/>
          <w:sz w:val="18"/>
          <w:szCs w:val="18"/>
        </w:rPr>
        <w:t xml:space="preserve"> </w:t>
      </w:r>
      <w:r>
        <w:rPr>
          <w:rFonts w:ascii="Arial" w:eastAsia="宋体" w:hAnsi="Arial" w:cs="Arial"/>
          <w:color w:val="333333"/>
          <w:sz w:val="18"/>
          <w:szCs w:val="18"/>
        </w:rPr>
        <w:t>and intangible assets of $331 million</w:t>
      </w:r>
      <w:r>
        <w:rPr>
          <w:rFonts w:ascii="Arial" w:eastAsia="宋体" w:hAnsi="Arial" w:cs="Arial"/>
          <w:color w:val="262626"/>
          <w:sz w:val="18"/>
          <w:szCs w:val="18"/>
        </w:rPr>
        <w:t xml:space="preserve">. The goodwill </w:t>
      </w:r>
      <w:r>
        <w:rPr>
          <w:rFonts w:ascii="Arial" w:eastAsia="宋体" w:hAnsi="Arial" w:cs="Arial"/>
          <w:color w:val="333333"/>
          <w:sz w:val="18"/>
          <w:szCs w:val="18"/>
        </w:rPr>
        <w:t>arising from the acquisitio</w:t>
      </w:r>
      <w:r>
        <w:rPr>
          <w:rFonts w:ascii="Arial" w:eastAsia="宋体" w:hAnsi="Arial" w:cs="Arial"/>
          <w:color w:val="333333"/>
          <w:sz w:val="18"/>
          <w:szCs w:val="18"/>
        </w:rPr>
        <w:t>n is attributed to the expected synergies and other benefits that will be generated from the combination of Intel and Moovit</w:t>
      </w:r>
      <w:r>
        <w:rPr>
          <w:rFonts w:ascii="Arial" w:eastAsia="宋体" w:hAnsi="Arial" w:cs="Arial"/>
          <w:color w:val="262626"/>
          <w:sz w:val="18"/>
          <w:szCs w:val="18"/>
        </w:rPr>
        <w:t>. S</w:t>
      </w:r>
      <w:r>
        <w:rPr>
          <w:rFonts w:ascii="Arial" w:eastAsia="宋体" w:hAnsi="Arial" w:cs="Arial"/>
          <w:color w:val="333333"/>
          <w:sz w:val="18"/>
          <w:szCs w:val="18"/>
        </w:rPr>
        <w:t xml:space="preserve">ubstantially all </w:t>
      </w:r>
      <w:r>
        <w:rPr>
          <w:rFonts w:ascii="Arial" w:eastAsia="宋体" w:hAnsi="Arial" w:cs="Arial"/>
          <w:color w:val="262626"/>
          <w:sz w:val="18"/>
          <w:szCs w:val="18"/>
        </w:rPr>
        <w:t>of the goodwill will</w:t>
      </w:r>
      <w:r>
        <w:rPr>
          <w:rFonts w:ascii="Arial" w:eastAsia="宋体" w:hAnsi="Arial" w:cs="Arial"/>
          <w:color w:val="333333"/>
          <w:sz w:val="18"/>
          <w:szCs w:val="18"/>
        </w:rPr>
        <w:t xml:space="preserve"> not</w:t>
      </w:r>
      <w:r>
        <w:rPr>
          <w:rFonts w:ascii="Arial" w:eastAsia="宋体" w:hAnsi="Arial" w:cs="Arial"/>
          <w:color w:val="262626"/>
          <w:sz w:val="18"/>
          <w:szCs w:val="18"/>
        </w:rPr>
        <w:t xml:space="preserve"> be </w:t>
      </w:r>
      <w:r>
        <w:rPr>
          <w:rFonts w:ascii="Arial" w:eastAsia="宋体" w:hAnsi="Arial" w:cs="Arial"/>
          <w:color w:val="333333"/>
          <w:sz w:val="18"/>
          <w:szCs w:val="18"/>
        </w:rPr>
        <w:t xml:space="preserve">deductible for </w:t>
      </w:r>
      <w:r>
        <w:rPr>
          <w:rFonts w:ascii="Arial" w:eastAsia="宋体" w:hAnsi="Arial" w:cs="Arial"/>
          <w:color w:val="262626"/>
          <w:sz w:val="18"/>
          <w:szCs w:val="18"/>
        </w:rPr>
        <w:t xml:space="preserve">local </w:t>
      </w:r>
      <w:r>
        <w:rPr>
          <w:rFonts w:ascii="Arial" w:eastAsia="宋体" w:hAnsi="Arial" w:cs="Arial"/>
          <w:color w:val="333333"/>
          <w:sz w:val="18"/>
          <w:szCs w:val="18"/>
        </w:rPr>
        <w:t>tax purposes.</w:t>
      </w:r>
      <w:r>
        <w:rPr>
          <w:rFonts w:ascii="Arial" w:eastAsia="宋体" w:hAnsi="Arial" w:cs="Arial"/>
          <w:color w:val="262626"/>
          <w:sz w:val="18"/>
          <w:szCs w:val="18"/>
        </w:rPr>
        <w:t xml:space="preserve"> The acquisition-related intangible assets are pri</w:t>
      </w:r>
      <w:r>
        <w:rPr>
          <w:rFonts w:ascii="Arial" w:eastAsia="宋体" w:hAnsi="Arial" w:cs="Arial"/>
          <w:color w:val="262626"/>
          <w:sz w:val="18"/>
          <w:szCs w:val="18"/>
        </w:rPr>
        <w:t>marily related to Moovit's monthly active user base and application platform</w:t>
      </w:r>
      <w:r>
        <w:rPr>
          <w:rFonts w:ascii="Arial" w:eastAsia="宋体" w:hAnsi="Arial" w:cs="Arial"/>
          <w:color w:val="333333"/>
          <w:sz w:val="18"/>
          <w:szCs w:val="18"/>
        </w:rPr>
        <w:t>. The goodwill and operating results of Moovit are included in our Mobileye operating segment.</w:t>
      </w:r>
    </w:p>
    <w:p w14:paraId="39D98328" w14:textId="77777777" w:rsidR="00996AD7" w:rsidRDefault="00D96458">
      <w:pPr>
        <w:spacing w:after="180"/>
      </w:pPr>
      <w:r>
        <w:rPr>
          <w:rFonts w:ascii="Arial" w:eastAsia="宋体" w:hAnsi="Arial" w:cs="Arial"/>
          <w:color w:val="0068B5"/>
        </w:rPr>
        <w:t>Divestitures</w:t>
      </w:r>
    </w:p>
    <w:p w14:paraId="39D98329" w14:textId="77777777" w:rsidR="00996AD7" w:rsidRDefault="00D96458">
      <w:pPr>
        <w:spacing w:after="120"/>
      </w:pPr>
      <w:r>
        <w:rPr>
          <w:rFonts w:ascii="Arial" w:eastAsia="宋体" w:hAnsi="Arial" w:cs="Arial"/>
          <w:color w:val="0068B5"/>
          <w:sz w:val="20"/>
          <w:szCs w:val="20"/>
        </w:rPr>
        <w:t>NAND Memory Business</w:t>
      </w:r>
    </w:p>
    <w:p w14:paraId="39D9832A" w14:textId="77777777" w:rsidR="00996AD7" w:rsidRDefault="00D96458">
      <w:pPr>
        <w:spacing w:after="180"/>
      </w:pPr>
      <w:r>
        <w:rPr>
          <w:rFonts w:ascii="Arial" w:eastAsia="宋体" w:hAnsi="Arial" w:cs="Arial"/>
          <w:color w:val="262626"/>
          <w:sz w:val="18"/>
          <w:szCs w:val="18"/>
        </w:rPr>
        <w:t xml:space="preserve">On October 19, 2020, we signed an </w:t>
      </w:r>
      <w:r>
        <w:rPr>
          <w:rFonts w:ascii="Arial" w:eastAsia="宋体" w:hAnsi="Arial" w:cs="Arial"/>
          <w:color w:val="262626"/>
          <w:sz w:val="18"/>
          <w:szCs w:val="18"/>
        </w:rPr>
        <w:t>agreement with SK hynix Inc. (SK hynix) to divest our NAND memory business, including our NAND memory fabrication facility in Dalian, China and certain related equipment and tangible assets (the Fab Assets), our NAND SSD business (the NAND SSD Business), a</w:t>
      </w:r>
      <w:r>
        <w:rPr>
          <w:rFonts w:ascii="Arial" w:eastAsia="宋体" w:hAnsi="Arial" w:cs="Arial"/>
          <w:color w:val="262626"/>
          <w:sz w:val="18"/>
          <w:szCs w:val="18"/>
        </w:rPr>
        <w:t>nd our NAND memory technology and manufacturing business (the NAND OpCo Business). Our Intel Optane memory business is expressly excluded from the transaction. The transaction will occur over two closings for total consideration of $9.0 billion in cash, of</w:t>
      </w:r>
      <w:r>
        <w:rPr>
          <w:rFonts w:ascii="Arial" w:eastAsia="宋体" w:hAnsi="Arial" w:cs="Arial"/>
          <w:color w:val="262626"/>
          <w:sz w:val="18"/>
          <w:szCs w:val="18"/>
        </w:rPr>
        <w:t xml:space="preserve"> which $7.0 billion will be received upon initial closing, not to occur prior to November 1, 2021, and the remaining $2.0 billion will be received no earlier than March 2025. The consummations of the first closing and the second closing are subject to cust</w:t>
      </w:r>
      <w:r>
        <w:rPr>
          <w:rFonts w:ascii="Arial" w:eastAsia="宋体" w:hAnsi="Arial" w:cs="Arial"/>
          <w:color w:val="262626"/>
          <w:sz w:val="18"/>
          <w:szCs w:val="18"/>
        </w:rPr>
        <w:t>omary conditions, including the receipt of certain governmental approvals.</w:t>
      </w:r>
    </w:p>
    <w:p w14:paraId="39D9832B" w14:textId="77777777" w:rsidR="00996AD7" w:rsidRDefault="00D96458">
      <w:pPr>
        <w:spacing w:after="180"/>
      </w:pPr>
      <w:r>
        <w:rPr>
          <w:rFonts w:ascii="Arial" w:eastAsia="宋体" w:hAnsi="Arial" w:cs="Arial"/>
          <w:color w:val="262626"/>
          <w:sz w:val="18"/>
          <w:szCs w:val="18"/>
        </w:rPr>
        <w:t>At the first closing, Intel will sell to SK hynix the Fab Assets and the NAND SSD Business, and SK hynix will assume from Intel certain liabilities related to the Fab Assets and the</w:t>
      </w:r>
      <w:r>
        <w:rPr>
          <w:rFonts w:ascii="Arial" w:eastAsia="宋体" w:hAnsi="Arial" w:cs="Arial"/>
          <w:color w:val="262626"/>
          <w:sz w:val="18"/>
          <w:szCs w:val="18"/>
        </w:rPr>
        <w:t xml:space="preserve"> NAND SSD Business. In connection with the first closing, we and certain affiliates of SK hynix will also enter into a NAND wafer manufacturing and sale agreement pursuant to which we will manufacture and sell to SK hynix NAND memory wafers to be manufactu</w:t>
      </w:r>
      <w:r>
        <w:rPr>
          <w:rFonts w:ascii="Arial" w:eastAsia="宋体" w:hAnsi="Arial" w:cs="Arial"/>
          <w:color w:val="262626"/>
          <w:sz w:val="18"/>
          <w:szCs w:val="18"/>
        </w:rPr>
        <w:t>red using the Fab Assets in Dalian, China, until the second closing.</w:t>
      </w:r>
    </w:p>
    <w:p w14:paraId="39D9832C" w14:textId="77777777" w:rsidR="00996AD7" w:rsidRDefault="00D96458">
      <w:pPr>
        <w:spacing w:after="180"/>
      </w:pPr>
      <w:r>
        <w:rPr>
          <w:rFonts w:ascii="Arial" w:eastAsia="宋体" w:hAnsi="Arial" w:cs="Arial"/>
          <w:color w:val="262626"/>
          <w:sz w:val="18"/>
          <w:szCs w:val="18"/>
        </w:rPr>
        <w:t>We will transfer certain employees, IP, and other assets related to the NAND OpCo Business to separately created, wholly owned subsidiaries of Intel at the first closing. The equity inter</w:t>
      </w:r>
      <w:r>
        <w:rPr>
          <w:rFonts w:ascii="Arial" w:eastAsia="宋体" w:hAnsi="Arial" w:cs="Arial"/>
          <w:color w:val="262626"/>
          <w:sz w:val="18"/>
          <w:szCs w:val="18"/>
        </w:rPr>
        <w:t>est of these wholly owned subsidiaries will transfer to SK hynix at the second closing. We have concluded based on the terms of the transaction agreements that the subsidiaries will be variable interest entities for which we are not the primary beneficiary</w:t>
      </w:r>
      <w:r>
        <w:rPr>
          <w:rFonts w:ascii="Arial" w:eastAsia="宋体" w:hAnsi="Arial" w:cs="Arial"/>
          <w:color w:val="262626"/>
          <w:sz w:val="18"/>
          <w:szCs w:val="18"/>
        </w:rPr>
        <w:t xml:space="preserve">, and accordingly will deconsolidate at the first closing. </w:t>
      </w:r>
    </w:p>
    <w:p w14:paraId="39D9832D" w14:textId="77777777" w:rsidR="00996AD7" w:rsidRDefault="00D96458">
      <w:pPr>
        <w:spacing w:after="120"/>
      </w:pPr>
      <w:r>
        <w:rPr>
          <w:rFonts w:ascii="Arial" w:eastAsia="宋体" w:hAnsi="Arial" w:cs="Arial"/>
          <w:color w:val="262626"/>
          <w:sz w:val="18"/>
          <w:szCs w:val="18"/>
        </w:rPr>
        <w:t>The carrying amounts of the major classes of NAND assets held for sale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996AD7" w14:paraId="39D9833D" w14:textId="77777777">
        <w:tc>
          <w:tcPr>
            <w:tcW w:w="50" w:type="pct"/>
            <w:shd w:val="clear" w:color="auto" w:fill="auto"/>
            <w:vAlign w:val="bottom"/>
          </w:tcPr>
          <w:p w14:paraId="39D9832E" w14:textId="77777777" w:rsidR="00996AD7" w:rsidRDefault="00996AD7">
            <w:pPr>
              <w:rPr>
                <w:rFonts w:ascii="宋体"/>
              </w:rPr>
            </w:pPr>
          </w:p>
        </w:tc>
        <w:tc>
          <w:tcPr>
            <w:tcW w:w="3688" w:type="pct"/>
            <w:shd w:val="clear" w:color="auto" w:fill="auto"/>
            <w:vAlign w:val="bottom"/>
          </w:tcPr>
          <w:p w14:paraId="39D9832F" w14:textId="77777777" w:rsidR="00996AD7" w:rsidRDefault="00996AD7">
            <w:pPr>
              <w:rPr>
                <w:rFonts w:ascii="宋体"/>
              </w:rPr>
            </w:pPr>
          </w:p>
        </w:tc>
        <w:tc>
          <w:tcPr>
            <w:tcW w:w="5" w:type="pct"/>
            <w:shd w:val="clear" w:color="auto" w:fill="auto"/>
            <w:vAlign w:val="bottom"/>
          </w:tcPr>
          <w:p w14:paraId="39D98330" w14:textId="77777777" w:rsidR="00996AD7" w:rsidRDefault="00996AD7">
            <w:pPr>
              <w:rPr>
                <w:rFonts w:ascii="宋体"/>
              </w:rPr>
            </w:pPr>
          </w:p>
        </w:tc>
        <w:tc>
          <w:tcPr>
            <w:tcW w:w="5" w:type="pct"/>
            <w:shd w:val="clear" w:color="auto" w:fill="auto"/>
            <w:vAlign w:val="bottom"/>
          </w:tcPr>
          <w:p w14:paraId="39D98331" w14:textId="77777777" w:rsidR="00996AD7" w:rsidRDefault="00996AD7">
            <w:pPr>
              <w:rPr>
                <w:rFonts w:ascii="宋体"/>
              </w:rPr>
            </w:pPr>
          </w:p>
        </w:tc>
        <w:tc>
          <w:tcPr>
            <w:tcW w:w="24" w:type="pct"/>
            <w:shd w:val="clear" w:color="auto" w:fill="auto"/>
            <w:vAlign w:val="bottom"/>
          </w:tcPr>
          <w:p w14:paraId="39D98332" w14:textId="77777777" w:rsidR="00996AD7" w:rsidRDefault="00996AD7">
            <w:pPr>
              <w:rPr>
                <w:rFonts w:ascii="宋体"/>
              </w:rPr>
            </w:pPr>
          </w:p>
        </w:tc>
        <w:tc>
          <w:tcPr>
            <w:tcW w:w="5" w:type="pct"/>
            <w:shd w:val="clear" w:color="auto" w:fill="auto"/>
            <w:vAlign w:val="bottom"/>
          </w:tcPr>
          <w:p w14:paraId="39D98333" w14:textId="77777777" w:rsidR="00996AD7" w:rsidRDefault="00996AD7">
            <w:pPr>
              <w:rPr>
                <w:rFonts w:ascii="宋体"/>
              </w:rPr>
            </w:pPr>
          </w:p>
        </w:tc>
        <w:tc>
          <w:tcPr>
            <w:tcW w:w="50" w:type="pct"/>
            <w:shd w:val="clear" w:color="auto" w:fill="auto"/>
            <w:vAlign w:val="bottom"/>
          </w:tcPr>
          <w:p w14:paraId="39D98334" w14:textId="77777777" w:rsidR="00996AD7" w:rsidRDefault="00996AD7">
            <w:pPr>
              <w:rPr>
                <w:rFonts w:ascii="宋体"/>
              </w:rPr>
            </w:pPr>
          </w:p>
        </w:tc>
        <w:tc>
          <w:tcPr>
            <w:tcW w:w="539" w:type="pct"/>
            <w:shd w:val="clear" w:color="auto" w:fill="auto"/>
            <w:vAlign w:val="bottom"/>
          </w:tcPr>
          <w:p w14:paraId="39D98335" w14:textId="77777777" w:rsidR="00996AD7" w:rsidRDefault="00996AD7">
            <w:pPr>
              <w:rPr>
                <w:rFonts w:ascii="宋体"/>
              </w:rPr>
            </w:pPr>
          </w:p>
        </w:tc>
        <w:tc>
          <w:tcPr>
            <w:tcW w:w="5" w:type="pct"/>
            <w:shd w:val="clear" w:color="auto" w:fill="auto"/>
            <w:vAlign w:val="bottom"/>
          </w:tcPr>
          <w:p w14:paraId="39D98336" w14:textId="77777777" w:rsidR="00996AD7" w:rsidRDefault="00996AD7">
            <w:pPr>
              <w:rPr>
                <w:rFonts w:ascii="宋体"/>
              </w:rPr>
            </w:pPr>
          </w:p>
        </w:tc>
        <w:tc>
          <w:tcPr>
            <w:tcW w:w="5" w:type="pct"/>
            <w:shd w:val="clear" w:color="auto" w:fill="auto"/>
            <w:vAlign w:val="bottom"/>
          </w:tcPr>
          <w:p w14:paraId="39D98337" w14:textId="77777777" w:rsidR="00996AD7" w:rsidRDefault="00996AD7">
            <w:pPr>
              <w:rPr>
                <w:rFonts w:ascii="宋体"/>
              </w:rPr>
            </w:pPr>
          </w:p>
        </w:tc>
        <w:tc>
          <w:tcPr>
            <w:tcW w:w="24" w:type="pct"/>
            <w:shd w:val="clear" w:color="auto" w:fill="auto"/>
            <w:vAlign w:val="bottom"/>
          </w:tcPr>
          <w:p w14:paraId="39D98338" w14:textId="77777777" w:rsidR="00996AD7" w:rsidRDefault="00996AD7">
            <w:pPr>
              <w:rPr>
                <w:rFonts w:ascii="宋体"/>
              </w:rPr>
            </w:pPr>
          </w:p>
        </w:tc>
        <w:tc>
          <w:tcPr>
            <w:tcW w:w="5" w:type="pct"/>
            <w:shd w:val="clear" w:color="auto" w:fill="auto"/>
            <w:vAlign w:val="bottom"/>
          </w:tcPr>
          <w:p w14:paraId="39D98339" w14:textId="77777777" w:rsidR="00996AD7" w:rsidRDefault="00996AD7">
            <w:pPr>
              <w:rPr>
                <w:rFonts w:ascii="宋体"/>
              </w:rPr>
            </w:pPr>
          </w:p>
        </w:tc>
        <w:tc>
          <w:tcPr>
            <w:tcW w:w="50" w:type="pct"/>
            <w:shd w:val="clear" w:color="auto" w:fill="auto"/>
            <w:vAlign w:val="bottom"/>
          </w:tcPr>
          <w:p w14:paraId="39D9833A" w14:textId="77777777" w:rsidR="00996AD7" w:rsidRDefault="00996AD7">
            <w:pPr>
              <w:rPr>
                <w:rFonts w:ascii="宋体"/>
              </w:rPr>
            </w:pPr>
          </w:p>
        </w:tc>
        <w:tc>
          <w:tcPr>
            <w:tcW w:w="539" w:type="pct"/>
            <w:shd w:val="clear" w:color="auto" w:fill="auto"/>
            <w:vAlign w:val="bottom"/>
          </w:tcPr>
          <w:p w14:paraId="39D9833B" w14:textId="77777777" w:rsidR="00996AD7" w:rsidRDefault="00996AD7">
            <w:pPr>
              <w:rPr>
                <w:rFonts w:ascii="宋体"/>
              </w:rPr>
            </w:pPr>
          </w:p>
        </w:tc>
        <w:tc>
          <w:tcPr>
            <w:tcW w:w="5" w:type="pct"/>
            <w:shd w:val="clear" w:color="auto" w:fill="auto"/>
            <w:vAlign w:val="bottom"/>
          </w:tcPr>
          <w:p w14:paraId="39D9833C" w14:textId="77777777" w:rsidR="00996AD7" w:rsidRDefault="00996AD7">
            <w:pPr>
              <w:rPr>
                <w:rFonts w:ascii="宋体"/>
              </w:rPr>
            </w:pPr>
          </w:p>
        </w:tc>
      </w:tr>
      <w:tr w:rsidR="00996AD7" w14:paraId="39D98343" w14:textId="77777777">
        <w:tc>
          <w:tcPr>
            <w:tcW w:w="0" w:type="auto"/>
            <w:gridSpan w:val="3"/>
            <w:shd w:val="clear" w:color="auto" w:fill="auto"/>
            <w:tcMar>
              <w:top w:w="40" w:type="dxa"/>
              <w:left w:w="20" w:type="dxa"/>
              <w:bottom w:w="40" w:type="dxa"/>
              <w:right w:w="20" w:type="dxa"/>
            </w:tcMar>
            <w:vAlign w:val="bottom"/>
          </w:tcPr>
          <w:p w14:paraId="39D9833E"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33F"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340"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39D98341"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342" w14:textId="77777777" w:rsidR="00996AD7" w:rsidRDefault="00D96458">
            <w:pPr>
              <w:jc w:val="center"/>
              <w:textAlignment w:val="bottom"/>
            </w:pPr>
            <w:r>
              <w:rPr>
                <w:rFonts w:ascii="Arial" w:eastAsia="宋体" w:hAnsi="Arial" w:cs="Arial"/>
                <w:b/>
                <w:bCs/>
                <w:color w:val="262626"/>
                <w:sz w:val="18"/>
                <w:szCs w:val="18"/>
              </w:rPr>
              <w:t>Dec 26, 2020</w:t>
            </w:r>
          </w:p>
        </w:tc>
      </w:tr>
      <w:tr w:rsidR="00996AD7" w14:paraId="39D9834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344" w14:textId="77777777" w:rsidR="00996AD7" w:rsidRDefault="00D96458">
            <w:pPr>
              <w:textAlignment w:val="bottom"/>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39D98345"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346"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347" w14:textId="77777777" w:rsidR="00996AD7" w:rsidRDefault="00D96458">
            <w:pPr>
              <w:jc w:val="right"/>
              <w:textAlignment w:val="bottom"/>
            </w:pPr>
            <w:r>
              <w:rPr>
                <w:rFonts w:ascii="Arial" w:eastAsia="宋体" w:hAnsi="Arial" w:cs="Arial"/>
                <w:color w:val="0068B5"/>
                <w:sz w:val="18"/>
                <w:szCs w:val="18"/>
              </w:rPr>
              <w:t>804 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34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349"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34A"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34B" w14:textId="77777777" w:rsidR="00996AD7" w:rsidRDefault="00D96458">
            <w:pPr>
              <w:jc w:val="right"/>
              <w:textAlignment w:val="bottom"/>
            </w:pPr>
            <w:r>
              <w:rPr>
                <w:rFonts w:ascii="Arial" w:eastAsia="宋体" w:hAnsi="Arial" w:cs="Arial"/>
                <w:color w:val="262626"/>
                <w:sz w:val="18"/>
                <w:szCs w:val="18"/>
              </w:rPr>
              <w:t>962 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34C" w14:textId="77777777" w:rsidR="00996AD7" w:rsidRDefault="00996AD7">
            <w:pPr>
              <w:jc w:val="right"/>
              <w:rPr>
                <w:rFonts w:ascii="宋体"/>
              </w:rPr>
            </w:pPr>
          </w:p>
        </w:tc>
      </w:tr>
      <w:tr w:rsidR="00996AD7" w14:paraId="39D98355" w14:textId="77777777">
        <w:tc>
          <w:tcPr>
            <w:tcW w:w="0" w:type="auto"/>
            <w:gridSpan w:val="3"/>
            <w:shd w:val="clear" w:color="auto" w:fill="auto"/>
            <w:tcMar>
              <w:top w:w="40" w:type="dxa"/>
              <w:left w:w="20" w:type="dxa"/>
              <w:bottom w:w="40" w:type="dxa"/>
              <w:right w:w="20" w:type="dxa"/>
            </w:tcMar>
            <w:vAlign w:val="bottom"/>
          </w:tcPr>
          <w:p w14:paraId="39D9834E" w14:textId="77777777" w:rsidR="00996AD7" w:rsidRDefault="00D96458">
            <w:pPr>
              <w:textAlignment w:val="bottom"/>
            </w:pPr>
            <w:r>
              <w:rPr>
                <w:rFonts w:ascii="Arial" w:eastAsia="宋体" w:hAnsi="Arial" w:cs="Arial"/>
                <w:color w:val="262626"/>
                <w:sz w:val="18"/>
                <w:szCs w:val="18"/>
              </w:rPr>
              <w:t>Property, plant and equipment, net</w:t>
            </w:r>
          </w:p>
        </w:tc>
        <w:tc>
          <w:tcPr>
            <w:tcW w:w="0" w:type="auto"/>
            <w:gridSpan w:val="3"/>
            <w:shd w:val="clear" w:color="auto" w:fill="auto"/>
            <w:tcMar>
              <w:top w:w="0" w:type="dxa"/>
              <w:left w:w="20" w:type="dxa"/>
              <w:bottom w:w="0" w:type="dxa"/>
              <w:right w:w="20" w:type="dxa"/>
            </w:tcMar>
            <w:vAlign w:val="bottom"/>
          </w:tcPr>
          <w:p w14:paraId="39D9834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350" w14:textId="77777777" w:rsidR="00996AD7" w:rsidRDefault="00D96458">
            <w:pPr>
              <w:jc w:val="right"/>
              <w:textAlignment w:val="bottom"/>
            </w:pPr>
            <w:r>
              <w:rPr>
                <w:rFonts w:ascii="Arial" w:eastAsia="宋体" w:hAnsi="Arial" w:cs="Arial"/>
                <w:color w:val="0068B5"/>
                <w:sz w:val="18"/>
                <w:szCs w:val="18"/>
              </w:rPr>
              <w:t>5,594 </w:t>
            </w:r>
          </w:p>
        </w:tc>
        <w:tc>
          <w:tcPr>
            <w:tcW w:w="0" w:type="auto"/>
            <w:shd w:val="clear" w:color="auto" w:fill="auto"/>
            <w:tcMar>
              <w:top w:w="40" w:type="dxa"/>
              <w:left w:w="0" w:type="dxa"/>
              <w:bottom w:w="40" w:type="dxa"/>
              <w:right w:w="20" w:type="dxa"/>
            </w:tcMar>
            <w:vAlign w:val="bottom"/>
          </w:tcPr>
          <w:p w14:paraId="39D9835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35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353" w14:textId="77777777" w:rsidR="00996AD7" w:rsidRDefault="00D96458">
            <w:pPr>
              <w:jc w:val="right"/>
              <w:textAlignment w:val="bottom"/>
            </w:pPr>
            <w:r>
              <w:rPr>
                <w:rFonts w:ascii="Arial" w:eastAsia="宋体" w:hAnsi="Arial" w:cs="Arial"/>
                <w:color w:val="262626"/>
                <w:sz w:val="18"/>
                <w:szCs w:val="18"/>
              </w:rPr>
              <w:t>4,363 </w:t>
            </w:r>
          </w:p>
        </w:tc>
        <w:tc>
          <w:tcPr>
            <w:tcW w:w="0" w:type="auto"/>
            <w:shd w:val="clear" w:color="auto" w:fill="auto"/>
            <w:tcMar>
              <w:top w:w="40" w:type="dxa"/>
              <w:left w:w="0" w:type="dxa"/>
              <w:bottom w:w="40" w:type="dxa"/>
              <w:right w:w="20" w:type="dxa"/>
            </w:tcMar>
            <w:vAlign w:val="bottom"/>
          </w:tcPr>
          <w:p w14:paraId="39D98354" w14:textId="77777777" w:rsidR="00996AD7" w:rsidRDefault="00996AD7">
            <w:pPr>
              <w:jc w:val="right"/>
              <w:rPr>
                <w:rFonts w:ascii="宋体"/>
              </w:rPr>
            </w:pPr>
          </w:p>
        </w:tc>
      </w:tr>
      <w:tr w:rsidR="00996AD7" w14:paraId="39D9835F" w14:textId="77777777">
        <w:tc>
          <w:tcPr>
            <w:tcW w:w="0" w:type="auto"/>
            <w:gridSpan w:val="3"/>
            <w:shd w:val="clear" w:color="auto" w:fill="auto"/>
            <w:tcMar>
              <w:top w:w="40" w:type="dxa"/>
              <w:left w:w="20" w:type="dxa"/>
              <w:bottom w:w="40" w:type="dxa"/>
              <w:right w:w="20" w:type="dxa"/>
            </w:tcMar>
            <w:vAlign w:val="bottom"/>
          </w:tcPr>
          <w:p w14:paraId="39D98356" w14:textId="77777777" w:rsidR="00996AD7" w:rsidRDefault="00D96458">
            <w:pPr>
              <w:textAlignment w:val="bottom"/>
            </w:pPr>
            <w:r>
              <w:rPr>
                <w:rFonts w:ascii="Arial" w:eastAsia="宋体" w:hAnsi="Arial" w:cs="Arial"/>
                <w:b/>
                <w:bCs/>
                <w:color w:val="262626"/>
                <w:sz w:val="18"/>
                <w:szCs w:val="18"/>
              </w:rPr>
              <w:t>Total assets held for sale</w:t>
            </w:r>
          </w:p>
        </w:tc>
        <w:tc>
          <w:tcPr>
            <w:tcW w:w="0" w:type="auto"/>
            <w:gridSpan w:val="3"/>
            <w:shd w:val="clear" w:color="auto" w:fill="auto"/>
            <w:tcMar>
              <w:top w:w="0" w:type="dxa"/>
              <w:left w:w="20" w:type="dxa"/>
              <w:bottom w:w="0" w:type="dxa"/>
              <w:right w:w="20" w:type="dxa"/>
            </w:tcMar>
            <w:vAlign w:val="bottom"/>
          </w:tcPr>
          <w:p w14:paraId="39D98357"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358"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359" w14:textId="77777777" w:rsidR="00996AD7" w:rsidRDefault="00D96458">
            <w:pPr>
              <w:jc w:val="right"/>
              <w:textAlignment w:val="bottom"/>
            </w:pPr>
            <w:r>
              <w:rPr>
                <w:rFonts w:ascii="Arial" w:eastAsia="宋体" w:hAnsi="Arial" w:cs="Arial"/>
                <w:b/>
                <w:bCs/>
                <w:color w:val="0068B5"/>
                <w:sz w:val="18"/>
                <w:szCs w:val="18"/>
              </w:rPr>
              <w:t>6,398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35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35B"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35C"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35D" w14:textId="77777777" w:rsidR="00996AD7" w:rsidRDefault="00D96458">
            <w:pPr>
              <w:jc w:val="right"/>
              <w:textAlignment w:val="bottom"/>
            </w:pPr>
            <w:r>
              <w:rPr>
                <w:rFonts w:ascii="Arial" w:eastAsia="宋体" w:hAnsi="Arial" w:cs="Arial"/>
                <w:b/>
                <w:bCs/>
                <w:color w:val="262626"/>
                <w:sz w:val="18"/>
                <w:szCs w:val="18"/>
              </w:rPr>
              <w:t>5,325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35E" w14:textId="77777777" w:rsidR="00996AD7" w:rsidRDefault="00996AD7">
            <w:pPr>
              <w:jc w:val="right"/>
              <w:rPr>
                <w:rFonts w:ascii="宋体"/>
              </w:rPr>
            </w:pPr>
          </w:p>
        </w:tc>
      </w:tr>
    </w:tbl>
    <w:p w14:paraId="39D98360" w14:textId="77777777" w:rsidR="00996AD7" w:rsidRDefault="00D96458">
      <w:pPr>
        <w:spacing w:after="180"/>
      </w:pPr>
      <w:r>
        <w:rPr>
          <w:rFonts w:ascii="Arial" w:eastAsia="宋体" w:hAnsi="Arial" w:cs="Arial"/>
          <w:color w:val="262626"/>
          <w:sz w:val="18"/>
          <w:szCs w:val="18"/>
        </w:rPr>
        <w:t xml:space="preserve">We ceased recording depreciation on property, plant and equipment as of the date the assets triggered held for sale accounting. The agreement </w:t>
      </w:r>
      <w:r>
        <w:rPr>
          <w:rFonts w:ascii="Arial" w:eastAsia="宋体" w:hAnsi="Arial" w:cs="Arial"/>
          <w:color w:val="262626"/>
          <w:sz w:val="18"/>
          <w:szCs w:val="18"/>
        </w:rPr>
        <w:t>provides for total capital purchases of approximately $1.8 billion in 2021 and amounts prior to the first closing will be classified as assets held for sale in the Consolidated Condensed Balance Sheets and within additions to held for sale NAND property, p</w:t>
      </w:r>
      <w:r>
        <w:rPr>
          <w:rFonts w:ascii="Arial" w:eastAsia="宋体" w:hAnsi="Arial" w:cs="Arial"/>
          <w:color w:val="262626"/>
          <w:sz w:val="18"/>
          <w:szCs w:val="18"/>
        </w:rPr>
        <w:t>lant and equipment on the Consolidated Condensed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996AD7" w14:paraId="39D98367" w14:textId="77777777">
        <w:tc>
          <w:tcPr>
            <w:tcW w:w="50" w:type="pct"/>
            <w:shd w:val="clear" w:color="auto" w:fill="auto"/>
            <w:vAlign w:val="bottom"/>
          </w:tcPr>
          <w:p w14:paraId="39D98361" w14:textId="77777777" w:rsidR="00996AD7" w:rsidRDefault="00996AD7">
            <w:pPr>
              <w:rPr>
                <w:rFonts w:ascii="宋体"/>
              </w:rPr>
            </w:pPr>
          </w:p>
        </w:tc>
        <w:tc>
          <w:tcPr>
            <w:tcW w:w="511" w:type="pct"/>
            <w:shd w:val="clear" w:color="auto" w:fill="auto"/>
            <w:vAlign w:val="bottom"/>
          </w:tcPr>
          <w:p w14:paraId="39D98362" w14:textId="77777777" w:rsidR="00996AD7" w:rsidRDefault="00996AD7">
            <w:pPr>
              <w:rPr>
                <w:rFonts w:ascii="宋体"/>
              </w:rPr>
            </w:pPr>
          </w:p>
        </w:tc>
        <w:tc>
          <w:tcPr>
            <w:tcW w:w="5" w:type="pct"/>
            <w:shd w:val="clear" w:color="auto" w:fill="auto"/>
            <w:vAlign w:val="bottom"/>
          </w:tcPr>
          <w:p w14:paraId="39D98363" w14:textId="77777777" w:rsidR="00996AD7" w:rsidRDefault="00996AD7">
            <w:pPr>
              <w:rPr>
                <w:rFonts w:ascii="宋体"/>
              </w:rPr>
            </w:pPr>
          </w:p>
        </w:tc>
        <w:tc>
          <w:tcPr>
            <w:tcW w:w="50" w:type="pct"/>
            <w:shd w:val="clear" w:color="auto" w:fill="auto"/>
            <w:vAlign w:val="bottom"/>
          </w:tcPr>
          <w:p w14:paraId="39D98364" w14:textId="77777777" w:rsidR="00996AD7" w:rsidRDefault="00996AD7">
            <w:pPr>
              <w:rPr>
                <w:rFonts w:ascii="宋体"/>
              </w:rPr>
            </w:pPr>
          </w:p>
        </w:tc>
        <w:tc>
          <w:tcPr>
            <w:tcW w:w="4378" w:type="pct"/>
            <w:shd w:val="clear" w:color="auto" w:fill="auto"/>
            <w:vAlign w:val="bottom"/>
          </w:tcPr>
          <w:p w14:paraId="39D98365" w14:textId="77777777" w:rsidR="00996AD7" w:rsidRDefault="00996AD7">
            <w:pPr>
              <w:rPr>
                <w:rFonts w:ascii="宋体"/>
              </w:rPr>
            </w:pPr>
          </w:p>
        </w:tc>
        <w:tc>
          <w:tcPr>
            <w:tcW w:w="5" w:type="pct"/>
            <w:shd w:val="clear" w:color="auto" w:fill="auto"/>
            <w:vAlign w:val="bottom"/>
          </w:tcPr>
          <w:p w14:paraId="39D98366" w14:textId="77777777" w:rsidR="00996AD7" w:rsidRDefault="00996AD7">
            <w:pPr>
              <w:rPr>
                <w:rFonts w:ascii="宋体"/>
              </w:rPr>
            </w:pPr>
          </w:p>
        </w:tc>
      </w:tr>
      <w:tr w:rsidR="00996AD7" w14:paraId="39D9836A"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39D98368" w14:textId="77777777" w:rsidR="00996AD7" w:rsidRDefault="00D96458">
            <w:pPr>
              <w:textAlignment w:val="bottom"/>
            </w:pPr>
            <w:r>
              <w:rPr>
                <w:rFonts w:ascii="Arial" w:eastAsia="宋体" w:hAnsi="Arial" w:cs="Arial"/>
                <w:color w:val="FFFFFF"/>
                <w:sz w:val="28"/>
                <w:szCs w:val="28"/>
              </w:rPr>
              <w:t xml:space="preserve">Note 9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8369" w14:textId="77777777" w:rsidR="00996AD7" w:rsidRDefault="00D96458">
            <w:pPr>
              <w:textAlignment w:val="bottom"/>
            </w:pPr>
            <w:r>
              <w:rPr>
                <w:rFonts w:ascii="Arial" w:eastAsia="宋体" w:hAnsi="Arial" w:cs="Arial"/>
                <w:color w:val="0068B5"/>
                <w:sz w:val="28"/>
                <w:szCs w:val="28"/>
              </w:rPr>
              <w:t>Borrowings</w:t>
            </w:r>
          </w:p>
        </w:tc>
      </w:tr>
    </w:tbl>
    <w:p w14:paraId="39D9836B" w14:textId="77777777" w:rsidR="00996AD7" w:rsidRDefault="00D96458">
      <w:pPr>
        <w:spacing w:before="180" w:after="180"/>
      </w:pPr>
      <w:r>
        <w:rPr>
          <w:rFonts w:ascii="Arial" w:eastAsia="宋体" w:hAnsi="Arial" w:cs="Arial"/>
          <w:color w:val="262626"/>
          <w:sz w:val="18"/>
          <w:szCs w:val="18"/>
        </w:rPr>
        <w:t xml:space="preserve">As of September 25, 2021, our short-term debt was $4.7 billion, primarily comprised of the current portion of our long-term debt ($2.5 billion as of December 26, 2020). </w:t>
      </w:r>
    </w:p>
    <w:p w14:paraId="39D9836C" w14:textId="77777777" w:rsidR="00996AD7" w:rsidRDefault="00D96458">
      <w:pPr>
        <w:spacing w:after="180"/>
      </w:pPr>
      <w:r>
        <w:rPr>
          <w:rFonts w:ascii="Arial" w:eastAsia="宋体" w:hAnsi="Arial" w:cs="Arial"/>
          <w:color w:val="262626"/>
          <w:sz w:val="18"/>
          <w:szCs w:val="18"/>
        </w:rPr>
        <w:t>In the second quarter of 2021, we settled $500 million of our senior notes due May 202</w:t>
      </w:r>
      <w:r>
        <w:rPr>
          <w:rFonts w:ascii="Arial" w:eastAsia="宋体" w:hAnsi="Arial" w:cs="Arial"/>
          <w:color w:val="262626"/>
          <w:sz w:val="18"/>
          <w:szCs w:val="18"/>
        </w:rPr>
        <w:t>1.</w:t>
      </w:r>
    </w:p>
    <w:p w14:paraId="39D9836D" w14:textId="77777777" w:rsidR="00996AD7" w:rsidRDefault="00D96458">
      <w:pPr>
        <w:spacing w:after="180"/>
      </w:pPr>
      <w:r>
        <w:rPr>
          <w:rFonts w:ascii="Arial" w:eastAsia="宋体" w:hAnsi="Arial" w:cs="Arial"/>
          <w:color w:val="262626"/>
          <w:sz w:val="18"/>
          <w:szCs w:val="18"/>
        </w:rPr>
        <w:t>In the third quarter of 2021, we issued a total of $5.0 billion aggregate principal senior notes. We intend to use the proceeds from the offering of the notes for general corporate purposes, including, but not limited to, refinancing of outstanding debt</w:t>
      </w:r>
      <w:r>
        <w:rPr>
          <w:rFonts w:ascii="Arial" w:eastAsia="宋体" w:hAnsi="Arial" w:cs="Arial"/>
          <w:color w:val="262626"/>
          <w:sz w:val="18"/>
          <w:szCs w:val="18"/>
        </w:rPr>
        <w:t>, funding for working capital, and capital expenditures. In the first quarter of 2021, we entered into a $5.0 billion variable-rate revolving credit facility which, if drawn, is expected to be used for general corporate purposes. The revolving credit facil</w:t>
      </w:r>
      <w:r>
        <w:rPr>
          <w:rFonts w:ascii="Arial" w:eastAsia="宋体" w:hAnsi="Arial" w:cs="Arial"/>
          <w:color w:val="262626"/>
          <w:sz w:val="18"/>
          <w:szCs w:val="18"/>
        </w:rPr>
        <w:t>ity matures in March 2026 and had no borrowings outstanding as of September 25, 2021.</w:t>
      </w:r>
    </w:p>
    <w:p w14:paraId="39D9836E" w14:textId="77777777" w:rsidR="00996AD7" w:rsidRDefault="00D96458">
      <w:pPr>
        <w:spacing w:after="180"/>
      </w:pPr>
      <w:r>
        <w:rPr>
          <w:rFonts w:ascii="Arial" w:eastAsia="宋体" w:hAnsi="Arial" w:cs="Arial"/>
          <w:color w:val="262626"/>
          <w:sz w:val="18"/>
          <w:szCs w:val="18"/>
        </w:rPr>
        <w:t>We have an ongoing authorization from our Board of Directors to borrow up to $10.0 billion under our commercial paper program.</w:t>
      </w:r>
    </w:p>
    <w:p w14:paraId="39D9836F" w14:textId="77777777" w:rsidR="00996AD7" w:rsidRDefault="00D96458">
      <w:pPr>
        <w:spacing w:after="180"/>
      </w:pPr>
      <w:r>
        <w:rPr>
          <w:rFonts w:ascii="Arial" w:eastAsia="宋体" w:hAnsi="Arial" w:cs="Arial"/>
          <w:color w:val="262626"/>
          <w:sz w:val="18"/>
          <w:szCs w:val="18"/>
        </w:rPr>
        <w:t>Our senior floating rate notes pay interest</w:t>
      </w:r>
      <w:r>
        <w:rPr>
          <w:rFonts w:ascii="Arial" w:eastAsia="宋体" w:hAnsi="Arial" w:cs="Arial"/>
          <w:color w:val="262626"/>
          <w:sz w:val="18"/>
          <w:szCs w:val="18"/>
        </w:rPr>
        <w:t xml:space="preserve"> quarterly and our senior fixed rate notes pay interest semiannually. We may redeem the fixed rate notes prior to their maturity at our option at specified redemption prices and subject to certain restrictions. The obligations under our notes rank equally </w:t>
      </w:r>
      <w:r>
        <w:rPr>
          <w:rFonts w:ascii="Arial" w:eastAsia="宋体" w:hAnsi="Arial" w:cs="Arial"/>
          <w:color w:val="262626"/>
          <w:sz w:val="18"/>
          <w:szCs w:val="18"/>
        </w:rPr>
        <w:t>in right of payment with all of our other existing and future senior unsecured indebtedness and effectively rank junior to all liabilities of our subsidiaries.</w:t>
      </w:r>
    </w:p>
    <w:p w14:paraId="39D98370" w14:textId="77777777" w:rsidR="00996AD7" w:rsidRDefault="00996AD7">
      <w:pPr>
        <w:spacing w:after="180"/>
      </w:pPr>
    </w:p>
    <w:p w14:paraId="39D98371" w14:textId="77777777" w:rsidR="00996AD7" w:rsidRDefault="00996AD7">
      <w:pPr>
        <w:spacing w:after="180"/>
      </w:pPr>
    </w:p>
    <w:p w14:paraId="39D98372" w14:textId="77777777" w:rsidR="00996AD7" w:rsidRDefault="00996AD7">
      <w:pPr>
        <w:spacing w:after="180"/>
      </w:pPr>
    </w:p>
    <w:p w14:paraId="39D98373" w14:textId="77777777" w:rsidR="00996AD7" w:rsidRDefault="00996AD7">
      <w:pPr>
        <w:spacing w:after="180"/>
      </w:pPr>
    </w:p>
    <w:p w14:paraId="39D98374" w14:textId="77777777" w:rsidR="00996AD7" w:rsidRDefault="00996AD7">
      <w:pPr>
        <w:spacing w:after="180"/>
      </w:pPr>
    </w:p>
    <w:p w14:paraId="39D98375" w14:textId="77777777" w:rsidR="00996AD7" w:rsidRDefault="00996AD7">
      <w:pPr>
        <w:spacing w:after="180"/>
      </w:pPr>
    </w:p>
    <w:p w14:paraId="39D98376"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8383" w14:textId="77777777">
        <w:tc>
          <w:tcPr>
            <w:tcW w:w="50" w:type="pct"/>
            <w:shd w:val="clear" w:color="auto" w:fill="auto"/>
            <w:vAlign w:val="bottom"/>
          </w:tcPr>
          <w:p w14:paraId="39D98377" w14:textId="77777777" w:rsidR="00996AD7" w:rsidRDefault="00996AD7">
            <w:pPr>
              <w:rPr>
                <w:rFonts w:ascii="宋体"/>
              </w:rPr>
            </w:pPr>
          </w:p>
        </w:tc>
        <w:tc>
          <w:tcPr>
            <w:tcW w:w="238" w:type="pct"/>
            <w:shd w:val="clear" w:color="auto" w:fill="auto"/>
            <w:vAlign w:val="bottom"/>
          </w:tcPr>
          <w:p w14:paraId="39D98378" w14:textId="77777777" w:rsidR="00996AD7" w:rsidRDefault="00996AD7">
            <w:pPr>
              <w:rPr>
                <w:rFonts w:ascii="宋体"/>
              </w:rPr>
            </w:pPr>
          </w:p>
        </w:tc>
        <w:tc>
          <w:tcPr>
            <w:tcW w:w="5" w:type="pct"/>
            <w:shd w:val="clear" w:color="auto" w:fill="auto"/>
            <w:vAlign w:val="bottom"/>
          </w:tcPr>
          <w:p w14:paraId="39D98379" w14:textId="77777777" w:rsidR="00996AD7" w:rsidRDefault="00996AD7">
            <w:pPr>
              <w:rPr>
                <w:rFonts w:ascii="宋体"/>
              </w:rPr>
            </w:pPr>
          </w:p>
        </w:tc>
        <w:tc>
          <w:tcPr>
            <w:tcW w:w="50" w:type="pct"/>
            <w:shd w:val="clear" w:color="auto" w:fill="auto"/>
            <w:vAlign w:val="bottom"/>
          </w:tcPr>
          <w:p w14:paraId="39D9837A" w14:textId="77777777" w:rsidR="00996AD7" w:rsidRDefault="00996AD7">
            <w:pPr>
              <w:rPr>
                <w:rFonts w:ascii="宋体"/>
              </w:rPr>
            </w:pPr>
          </w:p>
        </w:tc>
        <w:tc>
          <w:tcPr>
            <w:tcW w:w="983" w:type="pct"/>
            <w:shd w:val="clear" w:color="auto" w:fill="auto"/>
            <w:vAlign w:val="bottom"/>
          </w:tcPr>
          <w:p w14:paraId="39D9837B" w14:textId="77777777" w:rsidR="00996AD7" w:rsidRDefault="00996AD7">
            <w:pPr>
              <w:rPr>
                <w:rFonts w:ascii="宋体"/>
              </w:rPr>
            </w:pPr>
          </w:p>
        </w:tc>
        <w:tc>
          <w:tcPr>
            <w:tcW w:w="5" w:type="pct"/>
            <w:shd w:val="clear" w:color="auto" w:fill="auto"/>
            <w:vAlign w:val="bottom"/>
          </w:tcPr>
          <w:p w14:paraId="39D9837C" w14:textId="77777777" w:rsidR="00996AD7" w:rsidRDefault="00996AD7">
            <w:pPr>
              <w:rPr>
                <w:rFonts w:ascii="宋体"/>
              </w:rPr>
            </w:pPr>
          </w:p>
        </w:tc>
        <w:tc>
          <w:tcPr>
            <w:tcW w:w="50" w:type="pct"/>
            <w:shd w:val="clear" w:color="auto" w:fill="auto"/>
            <w:vAlign w:val="bottom"/>
          </w:tcPr>
          <w:p w14:paraId="39D9837D" w14:textId="77777777" w:rsidR="00996AD7" w:rsidRDefault="00996AD7">
            <w:pPr>
              <w:rPr>
                <w:rFonts w:ascii="宋体"/>
              </w:rPr>
            </w:pPr>
          </w:p>
        </w:tc>
        <w:tc>
          <w:tcPr>
            <w:tcW w:w="2035" w:type="pct"/>
            <w:shd w:val="clear" w:color="auto" w:fill="auto"/>
            <w:vAlign w:val="bottom"/>
          </w:tcPr>
          <w:p w14:paraId="39D9837E" w14:textId="77777777" w:rsidR="00996AD7" w:rsidRDefault="00996AD7">
            <w:pPr>
              <w:rPr>
                <w:rFonts w:ascii="宋体"/>
              </w:rPr>
            </w:pPr>
          </w:p>
        </w:tc>
        <w:tc>
          <w:tcPr>
            <w:tcW w:w="5" w:type="pct"/>
            <w:shd w:val="clear" w:color="auto" w:fill="auto"/>
            <w:vAlign w:val="bottom"/>
          </w:tcPr>
          <w:p w14:paraId="39D9837F" w14:textId="77777777" w:rsidR="00996AD7" w:rsidRDefault="00996AD7">
            <w:pPr>
              <w:rPr>
                <w:rFonts w:ascii="宋体"/>
              </w:rPr>
            </w:pPr>
          </w:p>
        </w:tc>
        <w:tc>
          <w:tcPr>
            <w:tcW w:w="50" w:type="pct"/>
            <w:shd w:val="clear" w:color="auto" w:fill="auto"/>
            <w:vAlign w:val="bottom"/>
          </w:tcPr>
          <w:p w14:paraId="39D98380" w14:textId="77777777" w:rsidR="00996AD7" w:rsidRDefault="00996AD7">
            <w:pPr>
              <w:rPr>
                <w:rFonts w:ascii="宋体"/>
              </w:rPr>
            </w:pPr>
          </w:p>
        </w:tc>
        <w:tc>
          <w:tcPr>
            <w:tcW w:w="1522" w:type="pct"/>
            <w:shd w:val="clear" w:color="auto" w:fill="auto"/>
            <w:vAlign w:val="bottom"/>
          </w:tcPr>
          <w:p w14:paraId="39D98381" w14:textId="77777777" w:rsidR="00996AD7" w:rsidRDefault="00996AD7">
            <w:pPr>
              <w:rPr>
                <w:rFonts w:ascii="宋体"/>
              </w:rPr>
            </w:pPr>
          </w:p>
        </w:tc>
        <w:tc>
          <w:tcPr>
            <w:tcW w:w="5" w:type="pct"/>
            <w:shd w:val="clear" w:color="auto" w:fill="auto"/>
            <w:vAlign w:val="bottom"/>
          </w:tcPr>
          <w:p w14:paraId="39D98382" w14:textId="77777777" w:rsidR="00996AD7" w:rsidRDefault="00996AD7">
            <w:pPr>
              <w:rPr>
                <w:rFonts w:ascii="宋体"/>
              </w:rPr>
            </w:pPr>
          </w:p>
        </w:tc>
      </w:tr>
      <w:tr w:rsidR="00996AD7" w14:paraId="39D9838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384"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BA" wp14:editId="39D9A3BB">
                  <wp:extent cx="304800" cy="304800"/>
                  <wp:effectExtent l="0" t="0" r="0" b="0"/>
                  <wp:docPr id="75" name="图片 65"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385"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8386"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387" w14:textId="77777777" w:rsidR="00996AD7" w:rsidRDefault="00D96458">
            <w:pPr>
              <w:jc w:val="right"/>
              <w:textAlignment w:val="center"/>
            </w:pPr>
            <w:r>
              <w:rPr>
                <w:rFonts w:ascii="Arial" w:eastAsia="宋体" w:hAnsi="Arial" w:cs="Arial"/>
                <w:color w:val="262626"/>
                <w:sz w:val="16"/>
                <w:szCs w:val="16"/>
              </w:rPr>
              <w:t>13</w:t>
            </w:r>
          </w:p>
        </w:tc>
      </w:tr>
    </w:tbl>
    <w:p w14:paraId="39D98389" w14:textId="77777777" w:rsidR="00996AD7" w:rsidRDefault="00D96458">
      <w:r>
        <w:pict w14:anchorId="39D9A3BC">
          <v:rect id="_x0000_i1039" style="width:415.3pt;height:1.5pt" o:hralign="center" o:hrstd="t" o:hr="t" fillcolor="#a0a0a0" stroked="f"/>
        </w:pict>
      </w:r>
    </w:p>
    <w:p w14:paraId="39D9838A" w14:textId="77777777" w:rsidR="00996AD7" w:rsidRDefault="00D96458">
      <w:pPr>
        <w:spacing w:after="180"/>
        <w:jc w:val="right"/>
      </w:pPr>
      <w:hyperlink r:id="rId40" w:anchor="i94e6cc3aa83643b8b968bd5bab038338_7" w:history="1">
        <w:r>
          <w:rPr>
            <w:rStyle w:val="a5"/>
            <w:rFonts w:ascii="Arial" w:eastAsia="宋体" w:hAnsi="Arial" w:cs="Arial"/>
            <w:b/>
            <w:bCs/>
            <w:color w:val="0068B5"/>
            <w:sz w:val="16"/>
            <w:szCs w:val="16"/>
          </w:rPr>
          <w:t>Table of Contents</w:t>
        </w:r>
      </w:hyperlink>
    </w:p>
    <w:p w14:paraId="39D9838B" w14:textId="77777777" w:rsidR="00996AD7" w:rsidRDefault="00996AD7">
      <w:pPr>
        <w:spacing w:after="180"/>
        <w:jc w:val="right"/>
      </w:pPr>
    </w:p>
    <w:p w14:paraId="39D9838C" w14:textId="77777777" w:rsidR="00996AD7" w:rsidRDefault="00D96458">
      <w:pPr>
        <w:spacing w:after="120"/>
      </w:pPr>
      <w:r>
        <w:rPr>
          <w:rFonts w:ascii="Arial" w:eastAsia="宋体" w:hAnsi="Arial" w:cs="Arial"/>
          <w:color w:val="0068B5"/>
        </w:rPr>
        <w:t>Long-term Debt</w:t>
      </w:r>
    </w:p>
    <w:tbl>
      <w:tblPr>
        <w:tblW w:w="5000" w:type="pct"/>
        <w:tblCellMar>
          <w:top w:w="15" w:type="dxa"/>
          <w:left w:w="15" w:type="dxa"/>
          <w:bottom w:w="15" w:type="dxa"/>
          <w:right w:w="15" w:type="dxa"/>
        </w:tblCellMar>
        <w:tblLook w:val="04A0" w:firstRow="1" w:lastRow="0" w:firstColumn="1" w:lastColumn="0" w:noHBand="0" w:noVBand="1"/>
      </w:tblPr>
      <w:tblGrid>
        <w:gridCol w:w="40"/>
        <w:gridCol w:w="4988"/>
        <w:gridCol w:w="38"/>
        <w:gridCol w:w="36"/>
        <w:gridCol w:w="36"/>
        <w:gridCol w:w="36"/>
        <w:gridCol w:w="67"/>
        <w:gridCol w:w="744"/>
        <w:gridCol w:w="181"/>
        <w:gridCol w:w="36"/>
        <w:gridCol w:w="36"/>
        <w:gridCol w:w="36"/>
        <w:gridCol w:w="121"/>
        <w:gridCol w:w="784"/>
        <w:gridCol w:w="36"/>
        <w:gridCol w:w="36"/>
        <w:gridCol w:w="36"/>
        <w:gridCol w:w="36"/>
        <w:gridCol w:w="121"/>
        <w:gridCol w:w="784"/>
        <w:gridCol w:w="36"/>
        <w:gridCol w:w="36"/>
        <w:gridCol w:w="36"/>
      </w:tblGrid>
      <w:tr w:rsidR="00996AD7" w14:paraId="39D983A4" w14:textId="77777777">
        <w:tc>
          <w:tcPr>
            <w:tcW w:w="50" w:type="pct"/>
            <w:shd w:val="clear" w:color="auto" w:fill="auto"/>
            <w:vAlign w:val="bottom"/>
          </w:tcPr>
          <w:p w14:paraId="39D9838D" w14:textId="77777777" w:rsidR="00996AD7" w:rsidRDefault="00996AD7">
            <w:pPr>
              <w:rPr>
                <w:rFonts w:ascii="宋体"/>
              </w:rPr>
            </w:pPr>
          </w:p>
        </w:tc>
        <w:tc>
          <w:tcPr>
            <w:tcW w:w="3059" w:type="pct"/>
            <w:shd w:val="clear" w:color="auto" w:fill="auto"/>
            <w:vAlign w:val="bottom"/>
          </w:tcPr>
          <w:p w14:paraId="39D9838E" w14:textId="77777777" w:rsidR="00996AD7" w:rsidRDefault="00996AD7">
            <w:pPr>
              <w:rPr>
                <w:rFonts w:ascii="宋体"/>
              </w:rPr>
            </w:pPr>
          </w:p>
        </w:tc>
        <w:tc>
          <w:tcPr>
            <w:tcW w:w="5" w:type="pct"/>
            <w:shd w:val="clear" w:color="auto" w:fill="auto"/>
            <w:vAlign w:val="bottom"/>
          </w:tcPr>
          <w:p w14:paraId="39D9838F" w14:textId="77777777" w:rsidR="00996AD7" w:rsidRDefault="00996AD7">
            <w:pPr>
              <w:rPr>
                <w:rFonts w:ascii="宋体"/>
              </w:rPr>
            </w:pPr>
          </w:p>
        </w:tc>
        <w:tc>
          <w:tcPr>
            <w:tcW w:w="5" w:type="pct"/>
            <w:shd w:val="clear" w:color="auto" w:fill="auto"/>
            <w:vAlign w:val="bottom"/>
          </w:tcPr>
          <w:p w14:paraId="39D98390" w14:textId="77777777" w:rsidR="00996AD7" w:rsidRDefault="00996AD7">
            <w:pPr>
              <w:rPr>
                <w:rFonts w:ascii="宋体"/>
              </w:rPr>
            </w:pPr>
          </w:p>
        </w:tc>
        <w:tc>
          <w:tcPr>
            <w:tcW w:w="24" w:type="pct"/>
            <w:shd w:val="clear" w:color="auto" w:fill="auto"/>
            <w:vAlign w:val="bottom"/>
          </w:tcPr>
          <w:p w14:paraId="39D98391" w14:textId="77777777" w:rsidR="00996AD7" w:rsidRDefault="00996AD7">
            <w:pPr>
              <w:rPr>
                <w:rFonts w:ascii="宋体"/>
              </w:rPr>
            </w:pPr>
          </w:p>
        </w:tc>
        <w:tc>
          <w:tcPr>
            <w:tcW w:w="5" w:type="pct"/>
            <w:shd w:val="clear" w:color="auto" w:fill="auto"/>
            <w:vAlign w:val="bottom"/>
          </w:tcPr>
          <w:p w14:paraId="39D98392" w14:textId="77777777" w:rsidR="00996AD7" w:rsidRDefault="00996AD7">
            <w:pPr>
              <w:rPr>
                <w:rFonts w:ascii="宋体"/>
              </w:rPr>
            </w:pPr>
          </w:p>
        </w:tc>
        <w:tc>
          <w:tcPr>
            <w:tcW w:w="50" w:type="pct"/>
            <w:shd w:val="clear" w:color="auto" w:fill="auto"/>
            <w:vAlign w:val="bottom"/>
          </w:tcPr>
          <w:p w14:paraId="39D98393" w14:textId="77777777" w:rsidR="00996AD7" w:rsidRDefault="00996AD7">
            <w:pPr>
              <w:rPr>
                <w:rFonts w:ascii="宋体"/>
              </w:rPr>
            </w:pPr>
          </w:p>
        </w:tc>
        <w:tc>
          <w:tcPr>
            <w:tcW w:w="539" w:type="pct"/>
            <w:shd w:val="clear" w:color="auto" w:fill="auto"/>
            <w:vAlign w:val="bottom"/>
          </w:tcPr>
          <w:p w14:paraId="39D98394" w14:textId="77777777" w:rsidR="00996AD7" w:rsidRDefault="00996AD7">
            <w:pPr>
              <w:rPr>
                <w:rFonts w:ascii="宋体"/>
              </w:rPr>
            </w:pPr>
          </w:p>
        </w:tc>
        <w:tc>
          <w:tcPr>
            <w:tcW w:w="5" w:type="pct"/>
            <w:shd w:val="clear" w:color="auto" w:fill="auto"/>
            <w:vAlign w:val="bottom"/>
          </w:tcPr>
          <w:p w14:paraId="39D98395" w14:textId="77777777" w:rsidR="00996AD7" w:rsidRDefault="00996AD7">
            <w:pPr>
              <w:rPr>
                <w:rFonts w:ascii="宋体"/>
              </w:rPr>
            </w:pPr>
          </w:p>
        </w:tc>
        <w:tc>
          <w:tcPr>
            <w:tcW w:w="5" w:type="pct"/>
            <w:shd w:val="clear" w:color="auto" w:fill="auto"/>
            <w:vAlign w:val="bottom"/>
          </w:tcPr>
          <w:p w14:paraId="39D98396" w14:textId="77777777" w:rsidR="00996AD7" w:rsidRDefault="00996AD7">
            <w:pPr>
              <w:rPr>
                <w:rFonts w:ascii="宋体"/>
              </w:rPr>
            </w:pPr>
          </w:p>
        </w:tc>
        <w:tc>
          <w:tcPr>
            <w:tcW w:w="24" w:type="pct"/>
            <w:shd w:val="clear" w:color="auto" w:fill="auto"/>
            <w:vAlign w:val="bottom"/>
          </w:tcPr>
          <w:p w14:paraId="39D98397" w14:textId="77777777" w:rsidR="00996AD7" w:rsidRDefault="00996AD7">
            <w:pPr>
              <w:rPr>
                <w:rFonts w:ascii="宋体"/>
              </w:rPr>
            </w:pPr>
          </w:p>
        </w:tc>
        <w:tc>
          <w:tcPr>
            <w:tcW w:w="5" w:type="pct"/>
            <w:shd w:val="clear" w:color="auto" w:fill="auto"/>
            <w:vAlign w:val="bottom"/>
          </w:tcPr>
          <w:p w14:paraId="39D98398" w14:textId="77777777" w:rsidR="00996AD7" w:rsidRDefault="00996AD7">
            <w:pPr>
              <w:rPr>
                <w:rFonts w:ascii="宋体"/>
              </w:rPr>
            </w:pPr>
          </w:p>
        </w:tc>
        <w:tc>
          <w:tcPr>
            <w:tcW w:w="50" w:type="pct"/>
            <w:shd w:val="clear" w:color="auto" w:fill="auto"/>
            <w:vAlign w:val="bottom"/>
          </w:tcPr>
          <w:p w14:paraId="39D98399" w14:textId="77777777" w:rsidR="00996AD7" w:rsidRDefault="00996AD7">
            <w:pPr>
              <w:rPr>
                <w:rFonts w:ascii="宋体"/>
              </w:rPr>
            </w:pPr>
          </w:p>
        </w:tc>
        <w:tc>
          <w:tcPr>
            <w:tcW w:w="539" w:type="pct"/>
            <w:shd w:val="clear" w:color="auto" w:fill="auto"/>
            <w:vAlign w:val="bottom"/>
          </w:tcPr>
          <w:p w14:paraId="39D9839A" w14:textId="77777777" w:rsidR="00996AD7" w:rsidRDefault="00996AD7">
            <w:pPr>
              <w:rPr>
                <w:rFonts w:ascii="宋体"/>
              </w:rPr>
            </w:pPr>
          </w:p>
        </w:tc>
        <w:tc>
          <w:tcPr>
            <w:tcW w:w="5" w:type="pct"/>
            <w:shd w:val="clear" w:color="auto" w:fill="auto"/>
            <w:vAlign w:val="bottom"/>
          </w:tcPr>
          <w:p w14:paraId="39D9839B" w14:textId="77777777" w:rsidR="00996AD7" w:rsidRDefault="00996AD7">
            <w:pPr>
              <w:rPr>
                <w:rFonts w:ascii="宋体"/>
              </w:rPr>
            </w:pPr>
          </w:p>
        </w:tc>
        <w:tc>
          <w:tcPr>
            <w:tcW w:w="5" w:type="pct"/>
            <w:shd w:val="clear" w:color="auto" w:fill="auto"/>
            <w:vAlign w:val="bottom"/>
          </w:tcPr>
          <w:p w14:paraId="39D9839C" w14:textId="77777777" w:rsidR="00996AD7" w:rsidRDefault="00996AD7">
            <w:pPr>
              <w:rPr>
                <w:rFonts w:ascii="宋体"/>
              </w:rPr>
            </w:pPr>
          </w:p>
        </w:tc>
        <w:tc>
          <w:tcPr>
            <w:tcW w:w="24" w:type="pct"/>
            <w:shd w:val="clear" w:color="auto" w:fill="auto"/>
            <w:vAlign w:val="bottom"/>
          </w:tcPr>
          <w:p w14:paraId="39D9839D" w14:textId="77777777" w:rsidR="00996AD7" w:rsidRDefault="00996AD7">
            <w:pPr>
              <w:rPr>
                <w:rFonts w:ascii="宋体"/>
              </w:rPr>
            </w:pPr>
          </w:p>
        </w:tc>
        <w:tc>
          <w:tcPr>
            <w:tcW w:w="5" w:type="pct"/>
            <w:shd w:val="clear" w:color="auto" w:fill="auto"/>
            <w:vAlign w:val="bottom"/>
          </w:tcPr>
          <w:p w14:paraId="39D9839E" w14:textId="77777777" w:rsidR="00996AD7" w:rsidRDefault="00996AD7">
            <w:pPr>
              <w:rPr>
                <w:rFonts w:ascii="宋体"/>
              </w:rPr>
            </w:pPr>
          </w:p>
        </w:tc>
        <w:tc>
          <w:tcPr>
            <w:tcW w:w="50" w:type="pct"/>
            <w:shd w:val="clear" w:color="auto" w:fill="auto"/>
            <w:vAlign w:val="bottom"/>
          </w:tcPr>
          <w:p w14:paraId="39D9839F" w14:textId="77777777" w:rsidR="00996AD7" w:rsidRDefault="00996AD7">
            <w:pPr>
              <w:rPr>
                <w:rFonts w:ascii="宋体"/>
              </w:rPr>
            </w:pPr>
          </w:p>
        </w:tc>
        <w:tc>
          <w:tcPr>
            <w:tcW w:w="539" w:type="pct"/>
            <w:shd w:val="clear" w:color="auto" w:fill="auto"/>
            <w:vAlign w:val="bottom"/>
          </w:tcPr>
          <w:p w14:paraId="39D983A0" w14:textId="77777777" w:rsidR="00996AD7" w:rsidRDefault="00996AD7">
            <w:pPr>
              <w:rPr>
                <w:rFonts w:ascii="宋体"/>
              </w:rPr>
            </w:pPr>
          </w:p>
        </w:tc>
        <w:tc>
          <w:tcPr>
            <w:tcW w:w="5" w:type="pct"/>
            <w:shd w:val="clear" w:color="auto" w:fill="auto"/>
            <w:vAlign w:val="bottom"/>
          </w:tcPr>
          <w:p w14:paraId="39D983A1" w14:textId="77777777" w:rsidR="00996AD7" w:rsidRDefault="00996AD7">
            <w:pPr>
              <w:rPr>
                <w:rFonts w:ascii="宋体"/>
              </w:rPr>
            </w:pPr>
          </w:p>
        </w:tc>
        <w:tc>
          <w:tcPr>
            <w:tcW w:w="0" w:type="auto"/>
            <w:shd w:val="clear" w:color="auto" w:fill="auto"/>
            <w:vAlign w:val="bottom"/>
          </w:tcPr>
          <w:p w14:paraId="39D983A2" w14:textId="77777777" w:rsidR="00996AD7" w:rsidRDefault="00996AD7">
            <w:pPr>
              <w:rPr>
                <w:rFonts w:ascii="宋体"/>
                <w:vanish/>
              </w:rPr>
            </w:pPr>
          </w:p>
        </w:tc>
        <w:tc>
          <w:tcPr>
            <w:tcW w:w="0" w:type="auto"/>
            <w:shd w:val="clear" w:color="auto" w:fill="auto"/>
            <w:vAlign w:val="bottom"/>
          </w:tcPr>
          <w:p w14:paraId="39D983A3" w14:textId="77777777" w:rsidR="00996AD7" w:rsidRDefault="00996AD7">
            <w:pPr>
              <w:rPr>
                <w:rFonts w:ascii="宋体"/>
                <w:vanish/>
              </w:rPr>
            </w:pPr>
          </w:p>
        </w:tc>
      </w:tr>
      <w:tr w:rsidR="00996AD7" w14:paraId="39D983AC" w14:textId="77777777">
        <w:tc>
          <w:tcPr>
            <w:tcW w:w="0" w:type="auto"/>
            <w:gridSpan w:val="3"/>
            <w:shd w:val="clear" w:color="auto" w:fill="auto"/>
            <w:tcMar>
              <w:top w:w="0" w:type="dxa"/>
              <w:left w:w="20" w:type="dxa"/>
              <w:bottom w:w="0" w:type="dxa"/>
              <w:right w:w="20" w:type="dxa"/>
            </w:tcMar>
            <w:vAlign w:val="bottom"/>
          </w:tcPr>
          <w:p w14:paraId="39D983A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3A6"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3A7"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39D983A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3A9" w14:textId="77777777" w:rsidR="00996AD7" w:rsidRDefault="00D96458">
            <w:pPr>
              <w:jc w:val="center"/>
              <w:textAlignment w:val="bottom"/>
            </w:pPr>
            <w:r>
              <w:rPr>
                <w:rFonts w:ascii="Arial" w:eastAsia="宋体" w:hAnsi="Arial" w:cs="Arial"/>
                <w:b/>
                <w:bCs/>
                <w:color w:val="262626"/>
                <w:sz w:val="18"/>
                <w:szCs w:val="18"/>
              </w:rPr>
              <w:t>Dec 26, 2020</w:t>
            </w:r>
          </w:p>
        </w:tc>
        <w:tc>
          <w:tcPr>
            <w:tcW w:w="0" w:type="auto"/>
            <w:shd w:val="clear" w:color="auto" w:fill="auto"/>
            <w:vAlign w:val="bottom"/>
          </w:tcPr>
          <w:p w14:paraId="39D983AA" w14:textId="77777777" w:rsidR="00996AD7" w:rsidRDefault="00996AD7">
            <w:pPr>
              <w:rPr>
                <w:rFonts w:ascii="宋体"/>
                <w:vanish/>
              </w:rPr>
            </w:pPr>
          </w:p>
        </w:tc>
        <w:tc>
          <w:tcPr>
            <w:tcW w:w="0" w:type="auto"/>
            <w:shd w:val="clear" w:color="auto" w:fill="auto"/>
            <w:vAlign w:val="bottom"/>
          </w:tcPr>
          <w:p w14:paraId="39D983AB" w14:textId="77777777" w:rsidR="00996AD7" w:rsidRDefault="00996AD7">
            <w:pPr>
              <w:rPr>
                <w:rFonts w:ascii="宋体"/>
                <w:vanish/>
              </w:rPr>
            </w:pPr>
          </w:p>
        </w:tc>
      </w:tr>
      <w:tr w:rsidR="00996AD7" w14:paraId="39D983B6" w14:textId="77777777">
        <w:tc>
          <w:tcPr>
            <w:tcW w:w="0" w:type="auto"/>
            <w:gridSpan w:val="3"/>
            <w:shd w:val="clear" w:color="auto" w:fill="auto"/>
            <w:tcMar>
              <w:top w:w="40" w:type="dxa"/>
              <w:left w:w="20" w:type="dxa"/>
              <w:bottom w:w="40" w:type="dxa"/>
              <w:right w:w="20" w:type="dxa"/>
            </w:tcMar>
            <w:vAlign w:val="bottom"/>
          </w:tcPr>
          <w:p w14:paraId="39D983AD"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3AE"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3AF" w14:textId="77777777" w:rsidR="00996AD7" w:rsidRDefault="00D96458">
            <w:pPr>
              <w:jc w:val="center"/>
              <w:textAlignment w:val="bottom"/>
            </w:pPr>
            <w:r>
              <w:rPr>
                <w:rFonts w:ascii="Arial" w:eastAsia="宋体" w:hAnsi="Arial" w:cs="Arial"/>
                <w:b/>
                <w:bCs/>
                <w:color w:val="262626"/>
                <w:sz w:val="18"/>
                <w:szCs w:val="18"/>
              </w:rPr>
              <w:t>Effective Interest Rate</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3B0"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3B1" w14:textId="77777777" w:rsidR="00996AD7" w:rsidRDefault="00D96458">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vAlign w:val="bottom"/>
          </w:tcPr>
          <w:p w14:paraId="39D983B2"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3B3" w14:textId="77777777" w:rsidR="00996AD7" w:rsidRDefault="00D96458">
            <w:pPr>
              <w:jc w:val="center"/>
              <w:textAlignment w:val="bottom"/>
            </w:pPr>
            <w:r>
              <w:rPr>
                <w:rFonts w:ascii="Arial" w:eastAsia="宋体" w:hAnsi="Arial" w:cs="Arial"/>
                <w:b/>
                <w:bCs/>
                <w:color w:val="262626"/>
                <w:sz w:val="18"/>
                <w:szCs w:val="18"/>
              </w:rPr>
              <w:t>Amount</w:t>
            </w:r>
          </w:p>
        </w:tc>
        <w:tc>
          <w:tcPr>
            <w:tcW w:w="0" w:type="auto"/>
            <w:shd w:val="clear" w:color="auto" w:fill="auto"/>
            <w:vAlign w:val="bottom"/>
          </w:tcPr>
          <w:p w14:paraId="39D983B4" w14:textId="77777777" w:rsidR="00996AD7" w:rsidRDefault="00996AD7">
            <w:pPr>
              <w:rPr>
                <w:rFonts w:ascii="宋体"/>
                <w:vanish/>
              </w:rPr>
            </w:pPr>
          </w:p>
        </w:tc>
        <w:tc>
          <w:tcPr>
            <w:tcW w:w="0" w:type="auto"/>
            <w:shd w:val="clear" w:color="auto" w:fill="auto"/>
            <w:vAlign w:val="bottom"/>
          </w:tcPr>
          <w:p w14:paraId="39D983B5" w14:textId="77777777" w:rsidR="00996AD7" w:rsidRDefault="00996AD7">
            <w:pPr>
              <w:rPr>
                <w:rFonts w:ascii="宋体"/>
                <w:vanish/>
              </w:rPr>
            </w:pPr>
          </w:p>
        </w:tc>
      </w:tr>
      <w:tr w:rsidR="00996AD7" w14:paraId="39D983C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3B7" w14:textId="77777777" w:rsidR="00996AD7" w:rsidRDefault="00D96458">
            <w:pPr>
              <w:textAlignment w:val="bottom"/>
            </w:pPr>
            <w:r>
              <w:rPr>
                <w:rFonts w:ascii="Arial" w:eastAsia="宋体" w:hAnsi="Arial" w:cs="Arial"/>
                <w:color w:val="262626"/>
                <w:sz w:val="18"/>
                <w:szCs w:val="18"/>
              </w:rPr>
              <w:t>Floating-rate senior notes:</w:t>
            </w:r>
          </w:p>
        </w:tc>
        <w:tc>
          <w:tcPr>
            <w:tcW w:w="0" w:type="auto"/>
            <w:gridSpan w:val="3"/>
            <w:shd w:val="clear" w:color="auto" w:fill="auto"/>
            <w:tcMar>
              <w:top w:w="0" w:type="dxa"/>
              <w:left w:w="20" w:type="dxa"/>
              <w:bottom w:w="0" w:type="dxa"/>
              <w:right w:w="20" w:type="dxa"/>
            </w:tcMar>
            <w:vAlign w:val="bottom"/>
          </w:tcPr>
          <w:p w14:paraId="39D983B8"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3B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3BA"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3B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3BC"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3BD" w14:textId="77777777" w:rsidR="00996AD7" w:rsidRDefault="00996AD7">
            <w:pPr>
              <w:rPr>
                <w:rFonts w:ascii="宋体"/>
              </w:rPr>
            </w:pPr>
          </w:p>
        </w:tc>
        <w:tc>
          <w:tcPr>
            <w:tcW w:w="0" w:type="auto"/>
            <w:shd w:val="clear" w:color="auto" w:fill="auto"/>
            <w:vAlign w:val="bottom"/>
          </w:tcPr>
          <w:p w14:paraId="39D983BE" w14:textId="77777777" w:rsidR="00996AD7" w:rsidRDefault="00996AD7">
            <w:pPr>
              <w:rPr>
                <w:rFonts w:ascii="宋体"/>
                <w:vanish/>
              </w:rPr>
            </w:pPr>
          </w:p>
        </w:tc>
        <w:tc>
          <w:tcPr>
            <w:tcW w:w="0" w:type="auto"/>
            <w:shd w:val="clear" w:color="auto" w:fill="auto"/>
            <w:vAlign w:val="bottom"/>
          </w:tcPr>
          <w:p w14:paraId="39D983BF" w14:textId="77777777" w:rsidR="00996AD7" w:rsidRDefault="00996AD7">
            <w:pPr>
              <w:rPr>
                <w:rFonts w:ascii="宋体"/>
                <w:vanish/>
              </w:rPr>
            </w:pPr>
          </w:p>
        </w:tc>
      </w:tr>
      <w:tr w:rsidR="00996AD7" w14:paraId="39D983CF" w14:textId="77777777">
        <w:tc>
          <w:tcPr>
            <w:tcW w:w="0" w:type="auto"/>
            <w:gridSpan w:val="3"/>
            <w:shd w:val="clear" w:color="auto" w:fill="auto"/>
            <w:tcMar>
              <w:top w:w="40" w:type="dxa"/>
              <w:left w:w="140" w:type="dxa"/>
              <w:bottom w:w="40" w:type="dxa"/>
              <w:right w:w="20" w:type="dxa"/>
            </w:tcMar>
            <w:vAlign w:val="bottom"/>
          </w:tcPr>
          <w:p w14:paraId="39D983C1" w14:textId="77777777" w:rsidR="00996AD7" w:rsidRDefault="00D96458">
            <w:pPr>
              <w:textAlignment w:val="bottom"/>
            </w:pPr>
            <w:r>
              <w:rPr>
                <w:rFonts w:ascii="Arial" w:eastAsia="宋体" w:hAnsi="Arial" w:cs="Arial"/>
                <w:color w:val="262626"/>
                <w:sz w:val="18"/>
                <w:szCs w:val="18"/>
              </w:rPr>
              <w:t>Three-month LIBOR plus 0.35%, due May 2022</w:t>
            </w:r>
          </w:p>
        </w:tc>
        <w:tc>
          <w:tcPr>
            <w:tcW w:w="0" w:type="auto"/>
            <w:gridSpan w:val="3"/>
            <w:shd w:val="clear" w:color="auto" w:fill="auto"/>
            <w:tcMar>
              <w:top w:w="0" w:type="dxa"/>
              <w:left w:w="20" w:type="dxa"/>
              <w:bottom w:w="0" w:type="dxa"/>
              <w:right w:w="20" w:type="dxa"/>
            </w:tcMar>
            <w:vAlign w:val="bottom"/>
          </w:tcPr>
          <w:p w14:paraId="39D983C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3C3" w14:textId="77777777" w:rsidR="00996AD7" w:rsidRDefault="00D96458">
            <w:pPr>
              <w:jc w:val="right"/>
              <w:textAlignment w:val="bottom"/>
            </w:pPr>
            <w:r>
              <w:rPr>
                <w:rFonts w:ascii="Arial" w:eastAsia="宋体" w:hAnsi="Arial" w:cs="Arial"/>
                <w:color w:val="0068B5"/>
                <w:sz w:val="18"/>
                <w:szCs w:val="18"/>
              </w:rPr>
              <w:t>0.56 </w:t>
            </w:r>
          </w:p>
        </w:tc>
        <w:tc>
          <w:tcPr>
            <w:tcW w:w="0" w:type="auto"/>
            <w:shd w:val="clear" w:color="auto" w:fill="auto"/>
            <w:tcMar>
              <w:top w:w="40" w:type="dxa"/>
              <w:left w:w="0" w:type="dxa"/>
              <w:bottom w:w="40" w:type="dxa"/>
              <w:right w:w="20" w:type="dxa"/>
            </w:tcMar>
            <w:vAlign w:val="bottom"/>
          </w:tcPr>
          <w:p w14:paraId="39D983C4"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3C5"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3C6"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3C7" w14:textId="77777777" w:rsidR="00996AD7" w:rsidRDefault="00D96458">
            <w:pPr>
              <w:jc w:val="right"/>
              <w:textAlignment w:val="bottom"/>
            </w:pPr>
            <w:r>
              <w:rPr>
                <w:rFonts w:ascii="Arial" w:eastAsia="宋体" w:hAnsi="Arial" w:cs="Arial"/>
                <w:color w:val="0068B5"/>
                <w:sz w:val="18"/>
                <w:szCs w:val="18"/>
              </w:rPr>
              <w:t>800 </w:t>
            </w:r>
          </w:p>
        </w:tc>
        <w:tc>
          <w:tcPr>
            <w:tcW w:w="0" w:type="auto"/>
            <w:shd w:val="clear" w:color="auto" w:fill="auto"/>
            <w:tcMar>
              <w:top w:w="40" w:type="dxa"/>
              <w:left w:w="0" w:type="dxa"/>
              <w:bottom w:w="40" w:type="dxa"/>
              <w:right w:w="20" w:type="dxa"/>
            </w:tcMar>
            <w:vAlign w:val="bottom"/>
          </w:tcPr>
          <w:p w14:paraId="39D983C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3C9"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3CA"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3CB" w14:textId="77777777" w:rsidR="00996AD7" w:rsidRDefault="00D96458">
            <w:pPr>
              <w:jc w:val="right"/>
              <w:textAlignment w:val="bottom"/>
            </w:pPr>
            <w:r>
              <w:rPr>
                <w:rFonts w:ascii="Arial" w:eastAsia="宋体" w:hAnsi="Arial" w:cs="Arial"/>
                <w:color w:val="262626"/>
                <w:sz w:val="18"/>
                <w:szCs w:val="18"/>
              </w:rPr>
              <w:t>800 </w:t>
            </w:r>
          </w:p>
        </w:tc>
        <w:tc>
          <w:tcPr>
            <w:tcW w:w="0" w:type="auto"/>
            <w:shd w:val="clear" w:color="auto" w:fill="auto"/>
            <w:tcMar>
              <w:top w:w="40" w:type="dxa"/>
              <w:left w:w="0" w:type="dxa"/>
              <w:bottom w:w="40" w:type="dxa"/>
              <w:right w:w="20" w:type="dxa"/>
            </w:tcMar>
            <w:vAlign w:val="bottom"/>
          </w:tcPr>
          <w:p w14:paraId="39D983CC" w14:textId="77777777" w:rsidR="00996AD7" w:rsidRDefault="00996AD7">
            <w:pPr>
              <w:jc w:val="right"/>
              <w:rPr>
                <w:rFonts w:ascii="宋体"/>
              </w:rPr>
            </w:pPr>
          </w:p>
        </w:tc>
        <w:tc>
          <w:tcPr>
            <w:tcW w:w="0" w:type="auto"/>
            <w:shd w:val="clear" w:color="auto" w:fill="auto"/>
            <w:vAlign w:val="bottom"/>
          </w:tcPr>
          <w:p w14:paraId="39D983CD" w14:textId="77777777" w:rsidR="00996AD7" w:rsidRDefault="00996AD7">
            <w:pPr>
              <w:rPr>
                <w:rFonts w:ascii="宋体"/>
                <w:vanish/>
              </w:rPr>
            </w:pPr>
          </w:p>
        </w:tc>
        <w:tc>
          <w:tcPr>
            <w:tcW w:w="0" w:type="auto"/>
            <w:shd w:val="clear" w:color="auto" w:fill="auto"/>
            <w:vAlign w:val="bottom"/>
          </w:tcPr>
          <w:p w14:paraId="39D983CE" w14:textId="77777777" w:rsidR="00996AD7" w:rsidRDefault="00996AD7">
            <w:pPr>
              <w:rPr>
                <w:rFonts w:ascii="宋体"/>
                <w:vanish/>
              </w:rPr>
            </w:pPr>
          </w:p>
        </w:tc>
      </w:tr>
      <w:tr w:rsidR="00996AD7" w14:paraId="39D983D9" w14:textId="77777777">
        <w:tc>
          <w:tcPr>
            <w:tcW w:w="0" w:type="auto"/>
            <w:gridSpan w:val="3"/>
            <w:shd w:val="clear" w:color="auto" w:fill="auto"/>
            <w:tcMar>
              <w:top w:w="40" w:type="dxa"/>
              <w:left w:w="20" w:type="dxa"/>
              <w:bottom w:w="40" w:type="dxa"/>
              <w:right w:w="20" w:type="dxa"/>
            </w:tcMar>
            <w:vAlign w:val="center"/>
          </w:tcPr>
          <w:p w14:paraId="39D983D0" w14:textId="77777777" w:rsidR="00996AD7" w:rsidRDefault="00D96458">
            <w:pPr>
              <w:textAlignment w:val="center"/>
            </w:pPr>
            <w:r>
              <w:rPr>
                <w:rFonts w:ascii="Arial" w:eastAsia="宋体" w:hAnsi="Arial" w:cs="Arial"/>
                <w:color w:val="262626"/>
                <w:sz w:val="18"/>
                <w:szCs w:val="18"/>
              </w:rPr>
              <w:t>Fixed-rate senior notes:</w:t>
            </w:r>
          </w:p>
        </w:tc>
        <w:tc>
          <w:tcPr>
            <w:tcW w:w="0" w:type="auto"/>
            <w:gridSpan w:val="3"/>
            <w:shd w:val="clear" w:color="auto" w:fill="auto"/>
            <w:tcMar>
              <w:top w:w="0" w:type="dxa"/>
              <w:left w:w="20" w:type="dxa"/>
              <w:bottom w:w="0" w:type="dxa"/>
              <w:right w:w="20" w:type="dxa"/>
            </w:tcMar>
            <w:vAlign w:val="bottom"/>
          </w:tcPr>
          <w:p w14:paraId="39D983D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3D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3D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3D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3D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3D6" w14:textId="77777777" w:rsidR="00996AD7" w:rsidRDefault="00996AD7">
            <w:pPr>
              <w:rPr>
                <w:rFonts w:ascii="宋体"/>
              </w:rPr>
            </w:pPr>
          </w:p>
        </w:tc>
        <w:tc>
          <w:tcPr>
            <w:tcW w:w="0" w:type="auto"/>
            <w:shd w:val="clear" w:color="auto" w:fill="auto"/>
            <w:vAlign w:val="bottom"/>
          </w:tcPr>
          <w:p w14:paraId="39D983D7" w14:textId="77777777" w:rsidR="00996AD7" w:rsidRDefault="00996AD7">
            <w:pPr>
              <w:rPr>
                <w:rFonts w:ascii="宋体"/>
                <w:vanish/>
              </w:rPr>
            </w:pPr>
          </w:p>
        </w:tc>
        <w:tc>
          <w:tcPr>
            <w:tcW w:w="0" w:type="auto"/>
            <w:shd w:val="clear" w:color="auto" w:fill="auto"/>
            <w:vAlign w:val="bottom"/>
          </w:tcPr>
          <w:p w14:paraId="39D983D8" w14:textId="77777777" w:rsidR="00996AD7" w:rsidRDefault="00996AD7">
            <w:pPr>
              <w:rPr>
                <w:rFonts w:ascii="宋体"/>
                <w:vanish/>
              </w:rPr>
            </w:pPr>
          </w:p>
        </w:tc>
      </w:tr>
      <w:tr w:rsidR="00996AD7" w14:paraId="39D983E6" w14:textId="77777777">
        <w:tc>
          <w:tcPr>
            <w:tcW w:w="0" w:type="auto"/>
            <w:gridSpan w:val="3"/>
            <w:shd w:val="clear" w:color="auto" w:fill="auto"/>
            <w:tcMar>
              <w:top w:w="40" w:type="dxa"/>
              <w:left w:w="140" w:type="dxa"/>
              <w:bottom w:w="40" w:type="dxa"/>
              <w:right w:w="20" w:type="dxa"/>
            </w:tcMar>
            <w:vAlign w:val="center"/>
          </w:tcPr>
          <w:p w14:paraId="39D983DA" w14:textId="77777777" w:rsidR="00996AD7" w:rsidRDefault="00D96458">
            <w:pPr>
              <w:textAlignment w:val="center"/>
            </w:pPr>
            <w:r>
              <w:rPr>
                <w:rFonts w:ascii="Arial" w:eastAsia="宋体" w:hAnsi="Arial" w:cs="Arial"/>
                <w:color w:val="262626"/>
                <w:sz w:val="18"/>
                <w:szCs w:val="18"/>
              </w:rPr>
              <w:t>1.70%, due May 2021</w:t>
            </w:r>
          </w:p>
        </w:tc>
        <w:tc>
          <w:tcPr>
            <w:tcW w:w="0" w:type="auto"/>
            <w:gridSpan w:val="3"/>
            <w:shd w:val="clear" w:color="auto" w:fill="auto"/>
            <w:tcMar>
              <w:top w:w="0" w:type="dxa"/>
              <w:left w:w="20" w:type="dxa"/>
              <w:bottom w:w="0" w:type="dxa"/>
              <w:right w:w="20" w:type="dxa"/>
            </w:tcMar>
            <w:vAlign w:val="bottom"/>
          </w:tcPr>
          <w:p w14:paraId="39D983D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3DC"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3DD"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3D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3DF"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3E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3E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3E2" w14:textId="77777777" w:rsidR="00996AD7" w:rsidRDefault="00D96458">
            <w:pPr>
              <w:jc w:val="right"/>
              <w:textAlignment w:val="bottom"/>
            </w:pPr>
            <w:r>
              <w:rPr>
                <w:rFonts w:ascii="Arial" w:eastAsia="宋体" w:hAnsi="Arial" w:cs="Arial"/>
                <w:color w:val="262626"/>
                <w:sz w:val="18"/>
                <w:szCs w:val="18"/>
              </w:rPr>
              <w:t>500 </w:t>
            </w:r>
          </w:p>
        </w:tc>
        <w:tc>
          <w:tcPr>
            <w:tcW w:w="0" w:type="auto"/>
            <w:shd w:val="clear" w:color="auto" w:fill="auto"/>
            <w:tcMar>
              <w:top w:w="40" w:type="dxa"/>
              <w:left w:w="0" w:type="dxa"/>
              <w:bottom w:w="40" w:type="dxa"/>
              <w:right w:w="20" w:type="dxa"/>
            </w:tcMar>
            <w:vAlign w:val="bottom"/>
          </w:tcPr>
          <w:p w14:paraId="39D983E3" w14:textId="77777777" w:rsidR="00996AD7" w:rsidRDefault="00996AD7">
            <w:pPr>
              <w:jc w:val="right"/>
              <w:rPr>
                <w:rFonts w:ascii="宋体"/>
              </w:rPr>
            </w:pPr>
          </w:p>
        </w:tc>
        <w:tc>
          <w:tcPr>
            <w:tcW w:w="0" w:type="auto"/>
            <w:shd w:val="clear" w:color="auto" w:fill="auto"/>
            <w:vAlign w:val="bottom"/>
          </w:tcPr>
          <w:p w14:paraId="39D983E4" w14:textId="77777777" w:rsidR="00996AD7" w:rsidRDefault="00996AD7">
            <w:pPr>
              <w:rPr>
                <w:rFonts w:ascii="宋体"/>
                <w:vanish/>
              </w:rPr>
            </w:pPr>
          </w:p>
        </w:tc>
        <w:tc>
          <w:tcPr>
            <w:tcW w:w="0" w:type="auto"/>
            <w:shd w:val="clear" w:color="auto" w:fill="auto"/>
            <w:vAlign w:val="bottom"/>
          </w:tcPr>
          <w:p w14:paraId="39D983E5" w14:textId="77777777" w:rsidR="00996AD7" w:rsidRDefault="00996AD7">
            <w:pPr>
              <w:rPr>
                <w:rFonts w:ascii="宋体"/>
                <w:vanish/>
              </w:rPr>
            </w:pPr>
          </w:p>
        </w:tc>
      </w:tr>
      <w:tr w:rsidR="00996AD7" w14:paraId="39D983F3" w14:textId="77777777">
        <w:tc>
          <w:tcPr>
            <w:tcW w:w="0" w:type="auto"/>
            <w:gridSpan w:val="3"/>
            <w:shd w:val="clear" w:color="auto" w:fill="auto"/>
            <w:tcMar>
              <w:top w:w="40" w:type="dxa"/>
              <w:left w:w="140" w:type="dxa"/>
              <w:bottom w:w="40" w:type="dxa"/>
              <w:right w:w="20" w:type="dxa"/>
            </w:tcMar>
            <w:vAlign w:val="center"/>
          </w:tcPr>
          <w:p w14:paraId="39D983E7" w14:textId="77777777" w:rsidR="00996AD7" w:rsidRDefault="00D96458">
            <w:pPr>
              <w:textAlignment w:val="center"/>
            </w:pPr>
            <w:r>
              <w:rPr>
                <w:rFonts w:ascii="Arial" w:eastAsia="宋体" w:hAnsi="Arial" w:cs="Arial"/>
                <w:color w:val="262626"/>
                <w:sz w:val="18"/>
                <w:szCs w:val="18"/>
              </w:rPr>
              <w:t>3.30</w:t>
            </w:r>
            <w:r>
              <w:rPr>
                <w:rFonts w:ascii="Arial" w:eastAsia="宋体" w:hAnsi="Arial" w:cs="Arial"/>
                <w:color w:val="262626"/>
                <w:sz w:val="18"/>
                <w:szCs w:val="18"/>
              </w:rPr>
              <w:t>%, due October 2021</w:t>
            </w:r>
          </w:p>
        </w:tc>
        <w:tc>
          <w:tcPr>
            <w:tcW w:w="0" w:type="auto"/>
            <w:gridSpan w:val="3"/>
            <w:shd w:val="clear" w:color="auto" w:fill="auto"/>
            <w:tcMar>
              <w:top w:w="0" w:type="dxa"/>
              <w:left w:w="20" w:type="dxa"/>
              <w:bottom w:w="0" w:type="dxa"/>
              <w:right w:w="20" w:type="dxa"/>
            </w:tcMar>
            <w:vAlign w:val="bottom"/>
          </w:tcPr>
          <w:p w14:paraId="39D983E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3E9" w14:textId="77777777" w:rsidR="00996AD7" w:rsidRDefault="00D96458">
            <w:pPr>
              <w:jc w:val="right"/>
              <w:textAlignment w:val="bottom"/>
            </w:pPr>
            <w:r>
              <w:rPr>
                <w:rFonts w:ascii="Arial" w:eastAsia="宋体" w:hAnsi="Arial" w:cs="Arial"/>
                <w:color w:val="0068B5"/>
                <w:sz w:val="18"/>
                <w:szCs w:val="18"/>
              </w:rPr>
              <w:t>2.98 </w:t>
            </w:r>
          </w:p>
        </w:tc>
        <w:tc>
          <w:tcPr>
            <w:tcW w:w="0" w:type="auto"/>
            <w:shd w:val="clear" w:color="auto" w:fill="auto"/>
            <w:tcMar>
              <w:top w:w="40" w:type="dxa"/>
              <w:left w:w="0" w:type="dxa"/>
              <w:bottom w:w="40" w:type="dxa"/>
              <w:right w:w="20" w:type="dxa"/>
            </w:tcMar>
            <w:vAlign w:val="bottom"/>
          </w:tcPr>
          <w:p w14:paraId="39D983EA"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3E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3EC" w14:textId="77777777" w:rsidR="00996AD7" w:rsidRDefault="00D96458">
            <w:pPr>
              <w:jc w:val="right"/>
              <w:textAlignment w:val="bottom"/>
            </w:pPr>
            <w:r>
              <w:rPr>
                <w:rFonts w:ascii="Arial" w:eastAsia="宋体" w:hAnsi="Arial" w:cs="Arial"/>
                <w:color w:val="0068B5"/>
                <w:sz w:val="18"/>
                <w:szCs w:val="18"/>
              </w:rPr>
              <w:t>2,000 </w:t>
            </w:r>
          </w:p>
        </w:tc>
        <w:tc>
          <w:tcPr>
            <w:tcW w:w="0" w:type="auto"/>
            <w:shd w:val="clear" w:color="auto" w:fill="auto"/>
            <w:tcMar>
              <w:top w:w="40" w:type="dxa"/>
              <w:left w:w="0" w:type="dxa"/>
              <w:bottom w:w="40" w:type="dxa"/>
              <w:right w:w="20" w:type="dxa"/>
            </w:tcMar>
            <w:vAlign w:val="bottom"/>
          </w:tcPr>
          <w:p w14:paraId="39D983E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3E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3EF" w14:textId="77777777" w:rsidR="00996AD7" w:rsidRDefault="00D96458">
            <w:pPr>
              <w:jc w:val="right"/>
              <w:textAlignment w:val="bottom"/>
            </w:pPr>
            <w:r>
              <w:rPr>
                <w:rFonts w:ascii="Arial" w:eastAsia="宋体" w:hAnsi="Arial" w:cs="Arial"/>
                <w:color w:val="262626"/>
                <w:sz w:val="18"/>
                <w:szCs w:val="18"/>
              </w:rPr>
              <w:t>2,000 </w:t>
            </w:r>
          </w:p>
        </w:tc>
        <w:tc>
          <w:tcPr>
            <w:tcW w:w="0" w:type="auto"/>
            <w:shd w:val="clear" w:color="auto" w:fill="auto"/>
            <w:tcMar>
              <w:top w:w="40" w:type="dxa"/>
              <w:left w:w="0" w:type="dxa"/>
              <w:bottom w:w="40" w:type="dxa"/>
              <w:right w:w="20" w:type="dxa"/>
            </w:tcMar>
            <w:vAlign w:val="bottom"/>
          </w:tcPr>
          <w:p w14:paraId="39D983F0" w14:textId="77777777" w:rsidR="00996AD7" w:rsidRDefault="00996AD7">
            <w:pPr>
              <w:jc w:val="right"/>
              <w:rPr>
                <w:rFonts w:ascii="宋体"/>
              </w:rPr>
            </w:pPr>
          </w:p>
        </w:tc>
        <w:tc>
          <w:tcPr>
            <w:tcW w:w="0" w:type="auto"/>
            <w:shd w:val="clear" w:color="auto" w:fill="auto"/>
            <w:vAlign w:val="bottom"/>
          </w:tcPr>
          <w:p w14:paraId="39D983F1" w14:textId="77777777" w:rsidR="00996AD7" w:rsidRDefault="00996AD7">
            <w:pPr>
              <w:rPr>
                <w:rFonts w:ascii="宋体"/>
                <w:vanish/>
              </w:rPr>
            </w:pPr>
          </w:p>
        </w:tc>
        <w:tc>
          <w:tcPr>
            <w:tcW w:w="0" w:type="auto"/>
            <w:shd w:val="clear" w:color="auto" w:fill="auto"/>
            <w:vAlign w:val="bottom"/>
          </w:tcPr>
          <w:p w14:paraId="39D983F2" w14:textId="77777777" w:rsidR="00996AD7" w:rsidRDefault="00996AD7">
            <w:pPr>
              <w:rPr>
                <w:rFonts w:ascii="宋体"/>
                <w:vanish/>
              </w:rPr>
            </w:pPr>
          </w:p>
        </w:tc>
      </w:tr>
      <w:tr w:rsidR="00996AD7" w14:paraId="39D983FF" w14:textId="77777777">
        <w:tc>
          <w:tcPr>
            <w:tcW w:w="0" w:type="auto"/>
            <w:gridSpan w:val="3"/>
            <w:shd w:val="clear" w:color="auto" w:fill="auto"/>
            <w:tcMar>
              <w:top w:w="40" w:type="dxa"/>
              <w:left w:w="140" w:type="dxa"/>
              <w:bottom w:w="40" w:type="dxa"/>
              <w:right w:w="20" w:type="dxa"/>
            </w:tcMar>
            <w:vAlign w:val="center"/>
          </w:tcPr>
          <w:p w14:paraId="39D983F4" w14:textId="77777777" w:rsidR="00996AD7" w:rsidRDefault="00D96458">
            <w:pPr>
              <w:textAlignment w:val="center"/>
            </w:pPr>
            <w:r>
              <w:rPr>
                <w:rFonts w:ascii="Arial" w:eastAsia="宋体" w:hAnsi="Arial" w:cs="Arial"/>
                <w:color w:val="262626"/>
                <w:sz w:val="18"/>
                <w:szCs w:val="18"/>
              </w:rPr>
              <w:t>2.35</w:t>
            </w:r>
            <w:r>
              <w:rPr>
                <w:rFonts w:ascii="Arial" w:eastAsia="宋体" w:hAnsi="Arial" w:cs="Arial"/>
                <w:color w:val="262626"/>
                <w:sz w:val="18"/>
                <w:szCs w:val="18"/>
              </w:rPr>
              <w:t>%, due May 2022</w:t>
            </w:r>
          </w:p>
        </w:tc>
        <w:tc>
          <w:tcPr>
            <w:tcW w:w="0" w:type="auto"/>
            <w:gridSpan w:val="3"/>
            <w:shd w:val="clear" w:color="auto" w:fill="auto"/>
            <w:tcMar>
              <w:top w:w="0" w:type="dxa"/>
              <w:left w:w="20" w:type="dxa"/>
              <w:bottom w:w="0" w:type="dxa"/>
              <w:right w:w="20" w:type="dxa"/>
            </w:tcMar>
            <w:vAlign w:val="bottom"/>
          </w:tcPr>
          <w:p w14:paraId="39D983F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3F6" w14:textId="77777777" w:rsidR="00996AD7" w:rsidRDefault="00D96458">
            <w:pPr>
              <w:jc w:val="right"/>
              <w:textAlignment w:val="bottom"/>
            </w:pPr>
            <w:r>
              <w:rPr>
                <w:rFonts w:ascii="Arial" w:eastAsia="宋体" w:hAnsi="Arial" w:cs="Arial"/>
                <w:color w:val="0068B5"/>
                <w:sz w:val="18"/>
                <w:szCs w:val="18"/>
              </w:rPr>
              <w:t>1.96 </w:t>
            </w:r>
          </w:p>
        </w:tc>
        <w:tc>
          <w:tcPr>
            <w:tcW w:w="0" w:type="auto"/>
            <w:shd w:val="clear" w:color="auto" w:fill="auto"/>
            <w:tcMar>
              <w:top w:w="40" w:type="dxa"/>
              <w:left w:w="0" w:type="dxa"/>
              <w:bottom w:w="40" w:type="dxa"/>
              <w:right w:w="20" w:type="dxa"/>
            </w:tcMar>
            <w:vAlign w:val="bottom"/>
          </w:tcPr>
          <w:p w14:paraId="39D983F7"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3F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3F9" w14:textId="77777777" w:rsidR="00996AD7" w:rsidRDefault="00D96458">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39D983F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3FB"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3FC" w14:textId="77777777" w:rsidR="00996AD7" w:rsidRDefault="00D96458">
            <w:pPr>
              <w:jc w:val="right"/>
              <w:textAlignment w:val="bottom"/>
            </w:pPr>
            <w:r>
              <w:rPr>
                <w:rFonts w:ascii="Arial" w:eastAsia="宋体" w:hAnsi="Arial" w:cs="Arial"/>
                <w:color w:val="262626"/>
                <w:sz w:val="18"/>
                <w:szCs w:val="18"/>
              </w:rPr>
              <w:t>750</w:t>
            </w:r>
          </w:p>
        </w:tc>
        <w:tc>
          <w:tcPr>
            <w:tcW w:w="0" w:type="auto"/>
            <w:shd w:val="clear" w:color="auto" w:fill="auto"/>
            <w:vAlign w:val="bottom"/>
          </w:tcPr>
          <w:p w14:paraId="39D983FD" w14:textId="77777777" w:rsidR="00996AD7" w:rsidRDefault="00996AD7">
            <w:pPr>
              <w:rPr>
                <w:rFonts w:ascii="宋体"/>
                <w:vanish/>
              </w:rPr>
            </w:pPr>
          </w:p>
        </w:tc>
        <w:tc>
          <w:tcPr>
            <w:tcW w:w="0" w:type="auto"/>
            <w:shd w:val="clear" w:color="auto" w:fill="auto"/>
            <w:vAlign w:val="bottom"/>
          </w:tcPr>
          <w:p w14:paraId="39D983FE" w14:textId="77777777" w:rsidR="00996AD7" w:rsidRDefault="00996AD7">
            <w:pPr>
              <w:rPr>
                <w:rFonts w:ascii="宋体"/>
                <w:vanish/>
              </w:rPr>
            </w:pPr>
          </w:p>
        </w:tc>
      </w:tr>
      <w:tr w:rsidR="00996AD7" w14:paraId="39D9840C" w14:textId="77777777">
        <w:tc>
          <w:tcPr>
            <w:tcW w:w="0" w:type="auto"/>
            <w:gridSpan w:val="3"/>
            <w:shd w:val="clear" w:color="auto" w:fill="auto"/>
            <w:tcMar>
              <w:top w:w="40" w:type="dxa"/>
              <w:left w:w="140" w:type="dxa"/>
              <w:bottom w:w="40" w:type="dxa"/>
              <w:right w:w="20" w:type="dxa"/>
            </w:tcMar>
            <w:vAlign w:val="center"/>
          </w:tcPr>
          <w:p w14:paraId="39D98400" w14:textId="77777777" w:rsidR="00996AD7" w:rsidRDefault="00D96458">
            <w:pPr>
              <w:textAlignment w:val="center"/>
            </w:pPr>
            <w:r>
              <w:rPr>
                <w:rFonts w:ascii="Arial" w:eastAsia="宋体" w:hAnsi="Arial" w:cs="Arial"/>
                <w:color w:val="262626"/>
                <w:sz w:val="18"/>
                <w:szCs w:val="18"/>
              </w:rPr>
              <w:t>3.10%, due July 2022</w:t>
            </w:r>
          </w:p>
        </w:tc>
        <w:tc>
          <w:tcPr>
            <w:tcW w:w="0" w:type="auto"/>
            <w:gridSpan w:val="3"/>
            <w:shd w:val="clear" w:color="auto" w:fill="auto"/>
            <w:tcMar>
              <w:top w:w="0" w:type="dxa"/>
              <w:left w:w="20" w:type="dxa"/>
              <w:bottom w:w="0" w:type="dxa"/>
              <w:right w:w="20" w:type="dxa"/>
            </w:tcMar>
            <w:vAlign w:val="bottom"/>
          </w:tcPr>
          <w:p w14:paraId="39D9840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02" w14:textId="77777777" w:rsidR="00996AD7" w:rsidRDefault="00D96458">
            <w:pPr>
              <w:jc w:val="right"/>
              <w:textAlignment w:val="bottom"/>
            </w:pPr>
            <w:r>
              <w:rPr>
                <w:rFonts w:ascii="Arial" w:eastAsia="宋体" w:hAnsi="Arial" w:cs="Arial"/>
                <w:color w:val="0068B5"/>
                <w:sz w:val="18"/>
                <w:szCs w:val="18"/>
              </w:rPr>
              <w:t>2.70 </w:t>
            </w:r>
          </w:p>
        </w:tc>
        <w:tc>
          <w:tcPr>
            <w:tcW w:w="0" w:type="auto"/>
            <w:shd w:val="clear" w:color="auto" w:fill="auto"/>
            <w:tcMar>
              <w:top w:w="40" w:type="dxa"/>
              <w:left w:w="0" w:type="dxa"/>
              <w:bottom w:w="40" w:type="dxa"/>
              <w:right w:w="20" w:type="dxa"/>
            </w:tcMar>
            <w:vAlign w:val="bottom"/>
          </w:tcPr>
          <w:p w14:paraId="39D98403"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0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05" w14:textId="77777777" w:rsidR="00996AD7" w:rsidRDefault="00D9645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39D9840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0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08" w14:textId="77777777" w:rsidR="00996AD7" w:rsidRDefault="00D96458">
            <w:pPr>
              <w:jc w:val="right"/>
              <w:textAlignment w:val="bottom"/>
            </w:pPr>
            <w:r>
              <w:rPr>
                <w:rFonts w:ascii="Arial" w:eastAsia="宋体" w:hAnsi="Arial" w:cs="Arial"/>
                <w:color w:val="262626"/>
                <w:sz w:val="18"/>
                <w:szCs w:val="18"/>
              </w:rPr>
              <w:t>1,000 </w:t>
            </w:r>
          </w:p>
        </w:tc>
        <w:tc>
          <w:tcPr>
            <w:tcW w:w="0" w:type="auto"/>
            <w:shd w:val="clear" w:color="auto" w:fill="auto"/>
            <w:tcMar>
              <w:top w:w="40" w:type="dxa"/>
              <w:left w:w="0" w:type="dxa"/>
              <w:bottom w:w="40" w:type="dxa"/>
              <w:right w:w="20" w:type="dxa"/>
            </w:tcMar>
            <w:vAlign w:val="bottom"/>
          </w:tcPr>
          <w:p w14:paraId="39D98409" w14:textId="77777777" w:rsidR="00996AD7" w:rsidRDefault="00996AD7">
            <w:pPr>
              <w:jc w:val="right"/>
              <w:rPr>
                <w:rFonts w:ascii="宋体"/>
              </w:rPr>
            </w:pPr>
          </w:p>
        </w:tc>
        <w:tc>
          <w:tcPr>
            <w:tcW w:w="0" w:type="auto"/>
            <w:shd w:val="clear" w:color="auto" w:fill="auto"/>
            <w:vAlign w:val="bottom"/>
          </w:tcPr>
          <w:p w14:paraId="39D9840A" w14:textId="77777777" w:rsidR="00996AD7" w:rsidRDefault="00996AD7">
            <w:pPr>
              <w:rPr>
                <w:rFonts w:ascii="宋体"/>
                <w:vanish/>
              </w:rPr>
            </w:pPr>
          </w:p>
        </w:tc>
        <w:tc>
          <w:tcPr>
            <w:tcW w:w="0" w:type="auto"/>
            <w:shd w:val="clear" w:color="auto" w:fill="auto"/>
            <w:vAlign w:val="bottom"/>
          </w:tcPr>
          <w:p w14:paraId="39D9840B" w14:textId="77777777" w:rsidR="00996AD7" w:rsidRDefault="00996AD7">
            <w:pPr>
              <w:rPr>
                <w:rFonts w:ascii="宋体"/>
                <w:vanish/>
              </w:rPr>
            </w:pPr>
          </w:p>
        </w:tc>
      </w:tr>
      <w:tr w:rsidR="00996AD7" w14:paraId="39D98419" w14:textId="77777777">
        <w:tc>
          <w:tcPr>
            <w:tcW w:w="0" w:type="auto"/>
            <w:gridSpan w:val="3"/>
            <w:shd w:val="clear" w:color="auto" w:fill="auto"/>
            <w:tcMar>
              <w:top w:w="40" w:type="dxa"/>
              <w:left w:w="140" w:type="dxa"/>
              <w:bottom w:w="40" w:type="dxa"/>
              <w:right w:w="20" w:type="dxa"/>
            </w:tcMar>
            <w:vAlign w:val="center"/>
          </w:tcPr>
          <w:p w14:paraId="39D9840D" w14:textId="77777777" w:rsidR="00996AD7" w:rsidRDefault="00D96458">
            <w:pPr>
              <w:textAlignment w:val="center"/>
            </w:pPr>
            <w:r>
              <w:rPr>
                <w:rFonts w:ascii="Arial" w:eastAsia="宋体" w:hAnsi="Arial" w:cs="Arial"/>
                <w:color w:val="262626"/>
                <w:sz w:val="18"/>
                <w:szCs w:val="18"/>
              </w:rPr>
              <w:t>4.00</w:t>
            </w:r>
            <w:r>
              <w:rPr>
                <w:rFonts w:ascii="Arial" w:eastAsia="宋体" w:hAnsi="Arial" w:cs="Arial"/>
                <w:color w:val="262626"/>
                <w:sz w:val="18"/>
                <w:szCs w:val="18"/>
              </w:rPr>
              <w:t>%, due December 2022¹</w:t>
            </w:r>
          </w:p>
        </w:tc>
        <w:tc>
          <w:tcPr>
            <w:tcW w:w="0" w:type="auto"/>
            <w:gridSpan w:val="3"/>
            <w:shd w:val="clear" w:color="auto" w:fill="auto"/>
            <w:tcMar>
              <w:top w:w="0" w:type="dxa"/>
              <w:left w:w="20" w:type="dxa"/>
              <w:bottom w:w="0" w:type="dxa"/>
              <w:right w:w="20" w:type="dxa"/>
            </w:tcMar>
            <w:vAlign w:val="bottom"/>
          </w:tcPr>
          <w:p w14:paraId="39D9840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0F" w14:textId="77777777" w:rsidR="00996AD7" w:rsidRDefault="00D96458">
            <w:pPr>
              <w:jc w:val="right"/>
              <w:textAlignment w:val="bottom"/>
            </w:pPr>
            <w:r>
              <w:rPr>
                <w:rFonts w:ascii="Arial" w:eastAsia="宋体" w:hAnsi="Arial" w:cs="Arial"/>
                <w:color w:val="0068B5"/>
                <w:sz w:val="18"/>
                <w:szCs w:val="18"/>
              </w:rPr>
              <w:t>2.95 </w:t>
            </w:r>
          </w:p>
        </w:tc>
        <w:tc>
          <w:tcPr>
            <w:tcW w:w="0" w:type="auto"/>
            <w:shd w:val="clear" w:color="auto" w:fill="auto"/>
            <w:tcMar>
              <w:top w:w="40" w:type="dxa"/>
              <w:left w:w="0" w:type="dxa"/>
              <w:bottom w:w="40" w:type="dxa"/>
              <w:right w:w="20" w:type="dxa"/>
            </w:tcMar>
            <w:vAlign w:val="bottom"/>
          </w:tcPr>
          <w:p w14:paraId="39D98410"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1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12" w14:textId="77777777" w:rsidR="00996AD7" w:rsidRDefault="00D96458">
            <w:pPr>
              <w:jc w:val="right"/>
              <w:textAlignment w:val="bottom"/>
            </w:pPr>
            <w:r>
              <w:rPr>
                <w:rFonts w:ascii="Arial" w:eastAsia="宋体" w:hAnsi="Arial" w:cs="Arial"/>
                <w:color w:val="0068B5"/>
                <w:sz w:val="18"/>
                <w:szCs w:val="18"/>
              </w:rPr>
              <w:t>400 </w:t>
            </w:r>
          </w:p>
        </w:tc>
        <w:tc>
          <w:tcPr>
            <w:tcW w:w="0" w:type="auto"/>
            <w:shd w:val="clear" w:color="auto" w:fill="auto"/>
            <w:tcMar>
              <w:top w:w="40" w:type="dxa"/>
              <w:left w:w="0" w:type="dxa"/>
              <w:bottom w:w="40" w:type="dxa"/>
              <w:right w:w="20" w:type="dxa"/>
            </w:tcMar>
            <w:vAlign w:val="bottom"/>
          </w:tcPr>
          <w:p w14:paraId="39D9841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1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15" w14:textId="77777777" w:rsidR="00996AD7" w:rsidRDefault="00D96458">
            <w:pPr>
              <w:jc w:val="right"/>
              <w:textAlignment w:val="bottom"/>
            </w:pPr>
            <w:r>
              <w:rPr>
                <w:rFonts w:ascii="Arial" w:eastAsia="宋体" w:hAnsi="Arial" w:cs="Arial"/>
                <w:color w:val="262626"/>
                <w:sz w:val="18"/>
                <w:szCs w:val="18"/>
              </w:rPr>
              <w:t>417 </w:t>
            </w:r>
          </w:p>
        </w:tc>
        <w:tc>
          <w:tcPr>
            <w:tcW w:w="0" w:type="auto"/>
            <w:shd w:val="clear" w:color="auto" w:fill="auto"/>
            <w:tcMar>
              <w:top w:w="40" w:type="dxa"/>
              <w:left w:w="0" w:type="dxa"/>
              <w:bottom w:w="40" w:type="dxa"/>
              <w:right w:w="20" w:type="dxa"/>
            </w:tcMar>
            <w:vAlign w:val="bottom"/>
          </w:tcPr>
          <w:p w14:paraId="39D98416" w14:textId="77777777" w:rsidR="00996AD7" w:rsidRDefault="00996AD7">
            <w:pPr>
              <w:jc w:val="right"/>
              <w:rPr>
                <w:rFonts w:ascii="宋体"/>
              </w:rPr>
            </w:pPr>
          </w:p>
        </w:tc>
        <w:tc>
          <w:tcPr>
            <w:tcW w:w="0" w:type="auto"/>
            <w:shd w:val="clear" w:color="auto" w:fill="auto"/>
            <w:vAlign w:val="bottom"/>
          </w:tcPr>
          <w:p w14:paraId="39D98417" w14:textId="77777777" w:rsidR="00996AD7" w:rsidRDefault="00996AD7">
            <w:pPr>
              <w:rPr>
                <w:rFonts w:ascii="宋体"/>
                <w:vanish/>
              </w:rPr>
            </w:pPr>
          </w:p>
        </w:tc>
        <w:tc>
          <w:tcPr>
            <w:tcW w:w="0" w:type="auto"/>
            <w:shd w:val="clear" w:color="auto" w:fill="auto"/>
            <w:vAlign w:val="bottom"/>
          </w:tcPr>
          <w:p w14:paraId="39D98418" w14:textId="77777777" w:rsidR="00996AD7" w:rsidRDefault="00996AD7">
            <w:pPr>
              <w:rPr>
                <w:rFonts w:ascii="宋体"/>
                <w:vanish/>
              </w:rPr>
            </w:pPr>
          </w:p>
        </w:tc>
      </w:tr>
      <w:tr w:rsidR="00996AD7" w14:paraId="39D98426" w14:textId="77777777">
        <w:tc>
          <w:tcPr>
            <w:tcW w:w="0" w:type="auto"/>
            <w:gridSpan w:val="3"/>
            <w:shd w:val="clear" w:color="auto" w:fill="auto"/>
            <w:tcMar>
              <w:top w:w="40" w:type="dxa"/>
              <w:left w:w="140" w:type="dxa"/>
              <w:bottom w:w="40" w:type="dxa"/>
              <w:right w:w="20" w:type="dxa"/>
            </w:tcMar>
            <w:vAlign w:val="center"/>
          </w:tcPr>
          <w:p w14:paraId="39D9841A" w14:textId="77777777" w:rsidR="00996AD7" w:rsidRDefault="00D96458">
            <w:pPr>
              <w:textAlignment w:val="center"/>
            </w:pPr>
            <w:r>
              <w:rPr>
                <w:rFonts w:ascii="Arial" w:eastAsia="宋体" w:hAnsi="Arial" w:cs="Arial"/>
                <w:color w:val="262626"/>
                <w:sz w:val="18"/>
                <w:szCs w:val="18"/>
              </w:rPr>
              <w:t>2.70</w:t>
            </w:r>
            <w:r>
              <w:rPr>
                <w:rFonts w:ascii="Arial" w:eastAsia="宋体" w:hAnsi="Arial" w:cs="Arial"/>
                <w:color w:val="262626"/>
                <w:sz w:val="18"/>
                <w:szCs w:val="18"/>
              </w:rPr>
              <w:t>%, due December 2022</w:t>
            </w:r>
          </w:p>
        </w:tc>
        <w:tc>
          <w:tcPr>
            <w:tcW w:w="0" w:type="auto"/>
            <w:gridSpan w:val="3"/>
            <w:shd w:val="clear" w:color="auto" w:fill="auto"/>
            <w:tcMar>
              <w:top w:w="0" w:type="dxa"/>
              <w:left w:w="20" w:type="dxa"/>
              <w:bottom w:w="0" w:type="dxa"/>
              <w:right w:w="20" w:type="dxa"/>
            </w:tcMar>
            <w:vAlign w:val="bottom"/>
          </w:tcPr>
          <w:p w14:paraId="39D9841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1C" w14:textId="77777777" w:rsidR="00996AD7" w:rsidRDefault="00D96458">
            <w:pPr>
              <w:jc w:val="right"/>
              <w:textAlignment w:val="bottom"/>
            </w:pPr>
            <w:r>
              <w:rPr>
                <w:rFonts w:ascii="Arial" w:eastAsia="宋体" w:hAnsi="Arial" w:cs="Arial"/>
                <w:color w:val="0068B5"/>
                <w:sz w:val="18"/>
                <w:szCs w:val="18"/>
              </w:rPr>
              <w:t>2.28 </w:t>
            </w:r>
          </w:p>
        </w:tc>
        <w:tc>
          <w:tcPr>
            <w:tcW w:w="0" w:type="auto"/>
            <w:shd w:val="clear" w:color="auto" w:fill="auto"/>
            <w:tcMar>
              <w:top w:w="40" w:type="dxa"/>
              <w:left w:w="0" w:type="dxa"/>
              <w:bottom w:w="40" w:type="dxa"/>
              <w:right w:w="20" w:type="dxa"/>
            </w:tcMar>
            <w:vAlign w:val="bottom"/>
          </w:tcPr>
          <w:p w14:paraId="39D9841D"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1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1F" w14:textId="77777777" w:rsidR="00996AD7" w:rsidRDefault="00D96458">
            <w:pPr>
              <w:jc w:val="right"/>
              <w:textAlignment w:val="bottom"/>
            </w:pPr>
            <w:r>
              <w:rPr>
                <w:rFonts w:ascii="Arial" w:eastAsia="宋体" w:hAnsi="Arial" w:cs="Arial"/>
                <w:color w:val="0068B5"/>
                <w:sz w:val="18"/>
                <w:szCs w:val="18"/>
              </w:rPr>
              <w:t>1,500 </w:t>
            </w:r>
          </w:p>
        </w:tc>
        <w:tc>
          <w:tcPr>
            <w:tcW w:w="0" w:type="auto"/>
            <w:shd w:val="clear" w:color="auto" w:fill="auto"/>
            <w:tcMar>
              <w:top w:w="40" w:type="dxa"/>
              <w:left w:w="0" w:type="dxa"/>
              <w:bottom w:w="40" w:type="dxa"/>
              <w:right w:w="20" w:type="dxa"/>
            </w:tcMar>
            <w:vAlign w:val="bottom"/>
          </w:tcPr>
          <w:p w14:paraId="39D9842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2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22" w14:textId="77777777" w:rsidR="00996AD7" w:rsidRDefault="00D96458">
            <w:pPr>
              <w:jc w:val="right"/>
              <w:textAlignment w:val="bottom"/>
            </w:pPr>
            <w:r>
              <w:rPr>
                <w:rFonts w:ascii="Arial" w:eastAsia="宋体" w:hAnsi="Arial" w:cs="Arial"/>
                <w:color w:val="262626"/>
                <w:sz w:val="18"/>
                <w:szCs w:val="18"/>
              </w:rPr>
              <w:t>1,500 </w:t>
            </w:r>
          </w:p>
        </w:tc>
        <w:tc>
          <w:tcPr>
            <w:tcW w:w="0" w:type="auto"/>
            <w:shd w:val="clear" w:color="auto" w:fill="auto"/>
            <w:tcMar>
              <w:top w:w="40" w:type="dxa"/>
              <w:left w:w="0" w:type="dxa"/>
              <w:bottom w:w="40" w:type="dxa"/>
              <w:right w:w="20" w:type="dxa"/>
            </w:tcMar>
            <w:vAlign w:val="bottom"/>
          </w:tcPr>
          <w:p w14:paraId="39D98423" w14:textId="77777777" w:rsidR="00996AD7" w:rsidRDefault="00996AD7">
            <w:pPr>
              <w:jc w:val="right"/>
              <w:rPr>
                <w:rFonts w:ascii="宋体"/>
              </w:rPr>
            </w:pPr>
          </w:p>
        </w:tc>
        <w:tc>
          <w:tcPr>
            <w:tcW w:w="0" w:type="auto"/>
            <w:shd w:val="clear" w:color="auto" w:fill="auto"/>
            <w:vAlign w:val="bottom"/>
          </w:tcPr>
          <w:p w14:paraId="39D98424" w14:textId="77777777" w:rsidR="00996AD7" w:rsidRDefault="00996AD7">
            <w:pPr>
              <w:rPr>
                <w:rFonts w:ascii="宋体"/>
                <w:vanish/>
              </w:rPr>
            </w:pPr>
          </w:p>
        </w:tc>
        <w:tc>
          <w:tcPr>
            <w:tcW w:w="0" w:type="auto"/>
            <w:shd w:val="clear" w:color="auto" w:fill="auto"/>
            <w:vAlign w:val="bottom"/>
          </w:tcPr>
          <w:p w14:paraId="39D98425" w14:textId="77777777" w:rsidR="00996AD7" w:rsidRDefault="00996AD7">
            <w:pPr>
              <w:rPr>
                <w:rFonts w:ascii="宋体"/>
                <w:vanish/>
              </w:rPr>
            </w:pPr>
          </w:p>
        </w:tc>
      </w:tr>
      <w:tr w:rsidR="00996AD7" w14:paraId="39D98433" w14:textId="77777777">
        <w:tc>
          <w:tcPr>
            <w:tcW w:w="0" w:type="auto"/>
            <w:gridSpan w:val="3"/>
            <w:shd w:val="clear" w:color="auto" w:fill="auto"/>
            <w:tcMar>
              <w:top w:w="40" w:type="dxa"/>
              <w:left w:w="140" w:type="dxa"/>
              <w:bottom w:w="40" w:type="dxa"/>
              <w:right w:w="20" w:type="dxa"/>
            </w:tcMar>
            <w:vAlign w:val="center"/>
          </w:tcPr>
          <w:p w14:paraId="39D98427" w14:textId="77777777" w:rsidR="00996AD7" w:rsidRDefault="00D96458">
            <w:pPr>
              <w:textAlignment w:val="center"/>
            </w:pPr>
            <w:r>
              <w:rPr>
                <w:rFonts w:ascii="Arial" w:eastAsia="宋体" w:hAnsi="Arial" w:cs="Arial"/>
                <w:color w:val="262626"/>
                <w:sz w:val="18"/>
                <w:szCs w:val="18"/>
              </w:rPr>
              <w:t>4.10%, due November 2023</w:t>
            </w:r>
          </w:p>
        </w:tc>
        <w:tc>
          <w:tcPr>
            <w:tcW w:w="0" w:type="auto"/>
            <w:gridSpan w:val="3"/>
            <w:shd w:val="clear" w:color="auto" w:fill="auto"/>
            <w:tcMar>
              <w:top w:w="0" w:type="dxa"/>
              <w:left w:w="20" w:type="dxa"/>
              <w:bottom w:w="0" w:type="dxa"/>
              <w:right w:w="20" w:type="dxa"/>
            </w:tcMar>
            <w:vAlign w:val="bottom"/>
          </w:tcPr>
          <w:p w14:paraId="39D9842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29" w14:textId="77777777" w:rsidR="00996AD7" w:rsidRDefault="00D96458">
            <w:pPr>
              <w:jc w:val="right"/>
              <w:textAlignment w:val="bottom"/>
            </w:pPr>
            <w:r>
              <w:rPr>
                <w:rFonts w:ascii="Arial" w:eastAsia="宋体" w:hAnsi="Arial" w:cs="Arial"/>
                <w:color w:val="0068B5"/>
                <w:sz w:val="18"/>
                <w:szCs w:val="18"/>
              </w:rPr>
              <w:t>3.22 </w:t>
            </w:r>
          </w:p>
        </w:tc>
        <w:tc>
          <w:tcPr>
            <w:tcW w:w="0" w:type="auto"/>
            <w:shd w:val="clear" w:color="auto" w:fill="auto"/>
            <w:tcMar>
              <w:top w:w="40" w:type="dxa"/>
              <w:left w:w="0" w:type="dxa"/>
              <w:bottom w:w="40" w:type="dxa"/>
              <w:right w:w="20" w:type="dxa"/>
            </w:tcMar>
            <w:vAlign w:val="bottom"/>
          </w:tcPr>
          <w:p w14:paraId="39D9842A"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2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2C" w14:textId="77777777" w:rsidR="00996AD7" w:rsidRDefault="00D96458">
            <w:pPr>
              <w:jc w:val="right"/>
              <w:textAlignment w:val="bottom"/>
            </w:pPr>
            <w:r>
              <w:rPr>
                <w:rFonts w:ascii="Arial" w:eastAsia="宋体" w:hAnsi="Arial" w:cs="Arial"/>
                <w:color w:val="0068B5"/>
                <w:sz w:val="18"/>
                <w:szCs w:val="18"/>
              </w:rPr>
              <w:t>400 </w:t>
            </w:r>
          </w:p>
        </w:tc>
        <w:tc>
          <w:tcPr>
            <w:tcW w:w="0" w:type="auto"/>
            <w:shd w:val="clear" w:color="auto" w:fill="auto"/>
            <w:tcMar>
              <w:top w:w="40" w:type="dxa"/>
              <w:left w:w="0" w:type="dxa"/>
              <w:bottom w:w="40" w:type="dxa"/>
              <w:right w:w="20" w:type="dxa"/>
            </w:tcMar>
            <w:vAlign w:val="bottom"/>
          </w:tcPr>
          <w:p w14:paraId="39D9842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2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2F" w14:textId="77777777" w:rsidR="00996AD7" w:rsidRDefault="00D96458">
            <w:pPr>
              <w:jc w:val="right"/>
              <w:textAlignment w:val="bottom"/>
            </w:pPr>
            <w:r>
              <w:rPr>
                <w:rFonts w:ascii="Arial" w:eastAsia="宋体" w:hAnsi="Arial" w:cs="Arial"/>
                <w:color w:val="262626"/>
                <w:sz w:val="18"/>
                <w:szCs w:val="18"/>
              </w:rPr>
              <w:t>400 </w:t>
            </w:r>
          </w:p>
        </w:tc>
        <w:tc>
          <w:tcPr>
            <w:tcW w:w="0" w:type="auto"/>
            <w:shd w:val="clear" w:color="auto" w:fill="auto"/>
            <w:tcMar>
              <w:top w:w="40" w:type="dxa"/>
              <w:left w:w="0" w:type="dxa"/>
              <w:bottom w:w="40" w:type="dxa"/>
              <w:right w:w="20" w:type="dxa"/>
            </w:tcMar>
            <w:vAlign w:val="bottom"/>
          </w:tcPr>
          <w:p w14:paraId="39D98430" w14:textId="77777777" w:rsidR="00996AD7" w:rsidRDefault="00996AD7">
            <w:pPr>
              <w:jc w:val="right"/>
              <w:rPr>
                <w:rFonts w:ascii="宋体"/>
              </w:rPr>
            </w:pPr>
          </w:p>
        </w:tc>
        <w:tc>
          <w:tcPr>
            <w:tcW w:w="0" w:type="auto"/>
            <w:shd w:val="clear" w:color="auto" w:fill="auto"/>
            <w:vAlign w:val="bottom"/>
          </w:tcPr>
          <w:p w14:paraId="39D98431" w14:textId="77777777" w:rsidR="00996AD7" w:rsidRDefault="00996AD7">
            <w:pPr>
              <w:rPr>
                <w:rFonts w:ascii="宋体"/>
                <w:vanish/>
              </w:rPr>
            </w:pPr>
          </w:p>
        </w:tc>
        <w:tc>
          <w:tcPr>
            <w:tcW w:w="0" w:type="auto"/>
            <w:shd w:val="clear" w:color="auto" w:fill="auto"/>
            <w:vAlign w:val="bottom"/>
          </w:tcPr>
          <w:p w14:paraId="39D98432" w14:textId="77777777" w:rsidR="00996AD7" w:rsidRDefault="00996AD7">
            <w:pPr>
              <w:rPr>
                <w:rFonts w:ascii="宋体"/>
                <w:vanish/>
              </w:rPr>
            </w:pPr>
          </w:p>
        </w:tc>
      </w:tr>
      <w:tr w:rsidR="00996AD7" w14:paraId="39D98440" w14:textId="77777777">
        <w:tc>
          <w:tcPr>
            <w:tcW w:w="0" w:type="auto"/>
            <w:gridSpan w:val="3"/>
            <w:shd w:val="clear" w:color="auto" w:fill="auto"/>
            <w:tcMar>
              <w:top w:w="40" w:type="dxa"/>
              <w:left w:w="140" w:type="dxa"/>
              <w:bottom w:w="40" w:type="dxa"/>
              <w:right w:w="20" w:type="dxa"/>
            </w:tcMar>
            <w:vAlign w:val="center"/>
          </w:tcPr>
          <w:p w14:paraId="39D98434" w14:textId="77777777" w:rsidR="00996AD7" w:rsidRDefault="00D96458">
            <w:pPr>
              <w:textAlignment w:val="center"/>
            </w:pPr>
            <w:r>
              <w:rPr>
                <w:rFonts w:ascii="Arial" w:eastAsia="宋体" w:hAnsi="Arial" w:cs="Arial"/>
                <w:color w:val="262626"/>
                <w:sz w:val="18"/>
                <w:szCs w:val="18"/>
              </w:rPr>
              <w:t>2.88</w:t>
            </w:r>
            <w:r>
              <w:rPr>
                <w:rFonts w:ascii="Arial" w:eastAsia="宋体" w:hAnsi="Arial" w:cs="Arial"/>
                <w:color w:val="262626"/>
                <w:sz w:val="18"/>
                <w:szCs w:val="18"/>
              </w:rPr>
              <w:t>%, due May 2024</w:t>
            </w:r>
          </w:p>
        </w:tc>
        <w:tc>
          <w:tcPr>
            <w:tcW w:w="0" w:type="auto"/>
            <w:gridSpan w:val="3"/>
            <w:shd w:val="clear" w:color="auto" w:fill="auto"/>
            <w:tcMar>
              <w:top w:w="0" w:type="dxa"/>
              <w:left w:w="20" w:type="dxa"/>
              <w:bottom w:w="0" w:type="dxa"/>
              <w:right w:w="20" w:type="dxa"/>
            </w:tcMar>
            <w:vAlign w:val="bottom"/>
          </w:tcPr>
          <w:p w14:paraId="39D9843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36" w14:textId="77777777" w:rsidR="00996AD7" w:rsidRDefault="00D96458">
            <w:pPr>
              <w:jc w:val="right"/>
              <w:textAlignment w:val="bottom"/>
            </w:pPr>
            <w:r>
              <w:rPr>
                <w:rFonts w:ascii="Arial" w:eastAsia="宋体" w:hAnsi="Arial" w:cs="Arial"/>
                <w:color w:val="0068B5"/>
                <w:sz w:val="18"/>
                <w:szCs w:val="18"/>
              </w:rPr>
              <w:t>2.31 </w:t>
            </w:r>
          </w:p>
        </w:tc>
        <w:tc>
          <w:tcPr>
            <w:tcW w:w="0" w:type="auto"/>
            <w:shd w:val="clear" w:color="auto" w:fill="auto"/>
            <w:tcMar>
              <w:top w:w="40" w:type="dxa"/>
              <w:left w:w="0" w:type="dxa"/>
              <w:bottom w:w="40" w:type="dxa"/>
              <w:right w:w="20" w:type="dxa"/>
            </w:tcMar>
            <w:vAlign w:val="bottom"/>
          </w:tcPr>
          <w:p w14:paraId="39D98437"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3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39" w14:textId="77777777" w:rsidR="00996AD7" w:rsidRDefault="00D96458">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39D9843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3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3C" w14:textId="77777777" w:rsidR="00996AD7" w:rsidRDefault="00D96458">
            <w:pPr>
              <w:jc w:val="right"/>
              <w:textAlignment w:val="bottom"/>
            </w:pPr>
            <w:r>
              <w:rPr>
                <w:rFonts w:ascii="Arial" w:eastAsia="宋体" w:hAnsi="Arial" w:cs="Arial"/>
                <w:color w:val="262626"/>
                <w:sz w:val="18"/>
                <w:szCs w:val="18"/>
              </w:rPr>
              <w:t>1,250 </w:t>
            </w:r>
          </w:p>
        </w:tc>
        <w:tc>
          <w:tcPr>
            <w:tcW w:w="0" w:type="auto"/>
            <w:shd w:val="clear" w:color="auto" w:fill="auto"/>
            <w:tcMar>
              <w:top w:w="40" w:type="dxa"/>
              <w:left w:w="0" w:type="dxa"/>
              <w:bottom w:w="40" w:type="dxa"/>
              <w:right w:w="20" w:type="dxa"/>
            </w:tcMar>
            <w:vAlign w:val="bottom"/>
          </w:tcPr>
          <w:p w14:paraId="39D9843D" w14:textId="77777777" w:rsidR="00996AD7" w:rsidRDefault="00996AD7">
            <w:pPr>
              <w:jc w:val="right"/>
              <w:rPr>
                <w:rFonts w:ascii="宋体"/>
              </w:rPr>
            </w:pPr>
          </w:p>
        </w:tc>
        <w:tc>
          <w:tcPr>
            <w:tcW w:w="0" w:type="auto"/>
            <w:shd w:val="clear" w:color="auto" w:fill="auto"/>
            <w:vAlign w:val="bottom"/>
          </w:tcPr>
          <w:p w14:paraId="39D9843E" w14:textId="77777777" w:rsidR="00996AD7" w:rsidRDefault="00996AD7">
            <w:pPr>
              <w:rPr>
                <w:rFonts w:ascii="宋体"/>
                <w:vanish/>
              </w:rPr>
            </w:pPr>
          </w:p>
        </w:tc>
        <w:tc>
          <w:tcPr>
            <w:tcW w:w="0" w:type="auto"/>
            <w:shd w:val="clear" w:color="auto" w:fill="auto"/>
            <w:vAlign w:val="bottom"/>
          </w:tcPr>
          <w:p w14:paraId="39D9843F" w14:textId="77777777" w:rsidR="00996AD7" w:rsidRDefault="00996AD7">
            <w:pPr>
              <w:rPr>
                <w:rFonts w:ascii="宋体"/>
                <w:vanish/>
              </w:rPr>
            </w:pPr>
          </w:p>
        </w:tc>
      </w:tr>
      <w:tr w:rsidR="00996AD7" w14:paraId="39D9844D" w14:textId="77777777">
        <w:tc>
          <w:tcPr>
            <w:tcW w:w="0" w:type="auto"/>
            <w:gridSpan w:val="3"/>
            <w:shd w:val="clear" w:color="auto" w:fill="auto"/>
            <w:tcMar>
              <w:top w:w="40" w:type="dxa"/>
              <w:left w:w="140" w:type="dxa"/>
              <w:bottom w:w="40" w:type="dxa"/>
              <w:right w:w="20" w:type="dxa"/>
            </w:tcMar>
            <w:vAlign w:val="center"/>
          </w:tcPr>
          <w:p w14:paraId="39D98441" w14:textId="77777777" w:rsidR="00996AD7" w:rsidRDefault="00D96458">
            <w:pPr>
              <w:textAlignment w:val="center"/>
            </w:pPr>
            <w:r>
              <w:rPr>
                <w:rFonts w:ascii="Arial" w:eastAsia="宋体" w:hAnsi="Arial" w:cs="Arial"/>
                <w:color w:val="262626"/>
                <w:sz w:val="18"/>
                <w:szCs w:val="18"/>
              </w:rPr>
              <w:t>2.70%, due June 2024</w:t>
            </w:r>
          </w:p>
        </w:tc>
        <w:tc>
          <w:tcPr>
            <w:tcW w:w="0" w:type="auto"/>
            <w:gridSpan w:val="3"/>
            <w:shd w:val="clear" w:color="auto" w:fill="auto"/>
            <w:tcMar>
              <w:top w:w="0" w:type="dxa"/>
              <w:left w:w="20" w:type="dxa"/>
              <w:bottom w:w="0" w:type="dxa"/>
              <w:right w:w="20" w:type="dxa"/>
            </w:tcMar>
            <w:vAlign w:val="bottom"/>
          </w:tcPr>
          <w:p w14:paraId="39D9844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43" w14:textId="77777777" w:rsidR="00996AD7" w:rsidRDefault="00D96458">
            <w:pPr>
              <w:jc w:val="right"/>
              <w:textAlignment w:val="bottom"/>
            </w:pPr>
            <w:r>
              <w:rPr>
                <w:rFonts w:ascii="Arial" w:eastAsia="宋体" w:hAnsi="Arial" w:cs="Arial"/>
                <w:color w:val="0068B5"/>
                <w:sz w:val="18"/>
                <w:szCs w:val="18"/>
              </w:rPr>
              <w:t>2.14 </w:t>
            </w:r>
          </w:p>
        </w:tc>
        <w:tc>
          <w:tcPr>
            <w:tcW w:w="0" w:type="auto"/>
            <w:shd w:val="clear" w:color="auto" w:fill="auto"/>
            <w:tcMar>
              <w:top w:w="40" w:type="dxa"/>
              <w:left w:w="0" w:type="dxa"/>
              <w:bottom w:w="40" w:type="dxa"/>
              <w:right w:w="20" w:type="dxa"/>
            </w:tcMar>
            <w:vAlign w:val="bottom"/>
          </w:tcPr>
          <w:p w14:paraId="39D98444"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4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46" w14:textId="77777777" w:rsidR="00996AD7" w:rsidRDefault="00D96458">
            <w:pPr>
              <w:jc w:val="right"/>
              <w:textAlignment w:val="bottom"/>
            </w:pPr>
            <w:r>
              <w:rPr>
                <w:rFonts w:ascii="Arial" w:eastAsia="宋体" w:hAnsi="Arial" w:cs="Arial"/>
                <w:color w:val="0068B5"/>
                <w:sz w:val="18"/>
                <w:szCs w:val="18"/>
              </w:rPr>
              <w:t>600 </w:t>
            </w:r>
          </w:p>
        </w:tc>
        <w:tc>
          <w:tcPr>
            <w:tcW w:w="0" w:type="auto"/>
            <w:shd w:val="clear" w:color="auto" w:fill="auto"/>
            <w:tcMar>
              <w:top w:w="40" w:type="dxa"/>
              <w:left w:w="0" w:type="dxa"/>
              <w:bottom w:w="40" w:type="dxa"/>
              <w:right w:w="20" w:type="dxa"/>
            </w:tcMar>
            <w:vAlign w:val="bottom"/>
          </w:tcPr>
          <w:p w14:paraId="39D9844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4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49" w14:textId="77777777" w:rsidR="00996AD7" w:rsidRDefault="00D96458">
            <w:pPr>
              <w:jc w:val="right"/>
              <w:textAlignment w:val="bottom"/>
            </w:pPr>
            <w:r>
              <w:rPr>
                <w:rFonts w:ascii="Arial" w:eastAsia="宋体" w:hAnsi="Arial" w:cs="Arial"/>
                <w:color w:val="262626"/>
                <w:sz w:val="18"/>
                <w:szCs w:val="18"/>
              </w:rPr>
              <w:t>600 </w:t>
            </w:r>
          </w:p>
        </w:tc>
        <w:tc>
          <w:tcPr>
            <w:tcW w:w="0" w:type="auto"/>
            <w:shd w:val="clear" w:color="auto" w:fill="auto"/>
            <w:tcMar>
              <w:top w:w="40" w:type="dxa"/>
              <w:left w:w="0" w:type="dxa"/>
              <w:bottom w:w="40" w:type="dxa"/>
              <w:right w:w="20" w:type="dxa"/>
            </w:tcMar>
            <w:vAlign w:val="bottom"/>
          </w:tcPr>
          <w:p w14:paraId="39D9844A" w14:textId="77777777" w:rsidR="00996AD7" w:rsidRDefault="00996AD7">
            <w:pPr>
              <w:jc w:val="right"/>
              <w:rPr>
                <w:rFonts w:ascii="宋体"/>
              </w:rPr>
            </w:pPr>
          </w:p>
        </w:tc>
        <w:tc>
          <w:tcPr>
            <w:tcW w:w="0" w:type="auto"/>
            <w:shd w:val="clear" w:color="auto" w:fill="auto"/>
            <w:vAlign w:val="bottom"/>
          </w:tcPr>
          <w:p w14:paraId="39D9844B" w14:textId="77777777" w:rsidR="00996AD7" w:rsidRDefault="00996AD7">
            <w:pPr>
              <w:rPr>
                <w:rFonts w:ascii="宋体"/>
                <w:vanish/>
              </w:rPr>
            </w:pPr>
          </w:p>
        </w:tc>
        <w:tc>
          <w:tcPr>
            <w:tcW w:w="0" w:type="auto"/>
            <w:shd w:val="clear" w:color="auto" w:fill="auto"/>
            <w:vAlign w:val="bottom"/>
          </w:tcPr>
          <w:p w14:paraId="39D9844C" w14:textId="77777777" w:rsidR="00996AD7" w:rsidRDefault="00996AD7">
            <w:pPr>
              <w:rPr>
                <w:rFonts w:ascii="宋体"/>
                <w:vanish/>
              </w:rPr>
            </w:pPr>
          </w:p>
        </w:tc>
      </w:tr>
      <w:tr w:rsidR="00996AD7" w14:paraId="39D9845A" w14:textId="77777777">
        <w:tc>
          <w:tcPr>
            <w:tcW w:w="0" w:type="auto"/>
            <w:gridSpan w:val="3"/>
            <w:shd w:val="clear" w:color="auto" w:fill="auto"/>
            <w:tcMar>
              <w:top w:w="40" w:type="dxa"/>
              <w:left w:w="140" w:type="dxa"/>
              <w:bottom w:w="40" w:type="dxa"/>
              <w:right w:w="20" w:type="dxa"/>
            </w:tcMar>
            <w:vAlign w:val="center"/>
          </w:tcPr>
          <w:p w14:paraId="39D9844E" w14:textId="77777777" w:rsidR="00996AD7" w:rsidRDefault="00D96458">
            <w:pPr>
              <w:textAlignment w:val="center"/>
            </w:pPr>
            <w:r>
              <w:rPr>
                <w:rFonts w:ascii="Arial" w:eastAsia="宋体" w:hAnsi="Arial" w:cs="Arial"/>
                <w:color w:val="262626"/>
                <w:sz w:val="18"/>
                <w:szCs w:val="18"/>
              </w:rPr>
              <w:t>3.40</w:t>
            </w:r>
            <w:r>
              <w:rPr>
                <w:rFonts w:ascii="Arial" w:eastAsia="宋体" w:hAnsi="Arial" w:cs="Arial"/>
                <w:color w:val="262626"/>
                <w:sz w:val="18"/>
                <w:szCs w:val="18"/>
              </w:rPr>
              <w:t>%, due March 2025</w:t>
            </w:r>
          </w:p>
        </w:tc>
        <w:tc>
          <w:tcPr>
            <w:tcW w:w="0" w:type="auto"/>
            <w:gridSpan w:val="3"/>
            <w:shd w:val="clear" w:color="auto" w:fill="auto"/>
            <w:tcMar>
              <w:top w:w="0" w:type="dxa"/>
              <w:left w:w="20" w:type="dxa"/>
              <w:bottom w:w="0" w:type="dxa"/>
              <w:right w:w="20" w:type="dxa"/>
            </w:tcMar>
            <w:vAlign w:val="bottom"/>
          </w:tcPr>
          <w:p w14:paraId="39D9844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50" w14:textId="77777777" w:rsidR="00996AD7" w:rsidRDefault="00D96458">
            <w:pPr>
              <w:jc w:val="right"/>
              <w:textAlignment w:val="bottom"/>
            </w:pPr>
            <w:r>
              <w:rPr>
                <w:rFonts w:ascii="Arial" w:eastAsia="宋体" w:hAnsi="Arial" w:cs="Arial"/>
                <w:color w:val="0068B5"/>
                <w:sz w:val="18"/>
                <w:szCs w:val="18"/>
              </w:rPr>
              <w:t>3.45 </w:t>
            </w:r>
          </w:p>
        </w:tc>
        <w:tc>
          <w:tcPr>
            <w:tcW w:w="0" w:type="auto"/>
            <w:shd w:val="clear" w:color="auto" w:fill="auto"/>
            <w:tcMar>
              <w:top w:w="40" w:type="dxa"/>
              <w:left w:w="0" w:type="dxa"/>
              <w:bottom w:w="40" w:type="dxa"/>
              <w:right w:w="20" w:type="dxa"/>
            </w:tcMar>
            <w:vAlign w:val="bottom"/>
          </w:tcPr>
          <w:p w14:paraId="39D98451"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5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53" w14:textId="77777777" w:rsidR="00996AD7" w:rsidRDefault="00D96458">
            <w:pPr>
              <w:jc w:val="right"/>
              <w:textAlignment w:val="bottom"/>
            </w:pPr>
            <w:r>
              <w:rPr>
                <w:rFonts w:ascii="Arial" w:eastAsia="宋体" w:hAnsi="Arial" w:cs="Arial"/>
                <w:color w:val="0068B5"/>
                <w:sz w:val="18"/>
                <w:szCs w:val="18"/>
              </w:rPr>
              <w:t>1,500 </w:t>
            </w:r>
          </w:p>
        </w:tc>
        <w:tc>
          <w:tcPr>
            <w:tcW w:w="0" w:type="auto"/>
            <w:shd w:val="clear" w:color="auto" w:fill="auto"/>
            <w:tcMar>
              <w:top w:w="40" w:type="dxa"/>
              <w:left w:w="0" w:type="dxa"/>
              <w:bottom w:w="40" w:type="dxa"/>
              <w:right w:w="20" w:type="dxa"/>
            </w:tcMar>
            <w:vAlign w:val="bottom"/>
          </w:tcPr>
          <w:p w14:paraId="39D9845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5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56" w14:textId="77777777" w:rsidR="00996AD7" w:rsidRDefault="00D96458">
            <w:pPr>
              <w:jc w:val="right"/>
              <w:textAlignment w:val="bottom"/>
            </w:pPr>
            <w:r>
              <w:rPr>
                <w:rFonts w:ascii="Arial" w:eastAsia="宋体" w:hAnsi="Arial" w:cs="Arial"/>
                <w:color w:val="262626"/>
                <w:sz w:val="18"/>
                <w:szCs w:val="18"/>
              </w:rPr>
              <w:t>1,500 </w:t>
            </w:r>
          </w:p>
        </w:tc>
        <w:tc>
          <w:tcPr>
            <w:tcW w:w="0" w:type="auto"/>
            <w:shd w:val="clear" w:color="auto" w:fill="auto"/>
            <w:tcMar>
              <w:top w:w="40" w:type="dxa"/>
              <w:left w:w="0" w:type="dxa"/>
              <w:bottom w:w="40" w:type="dxa"/>
              <w:right w:w="20" w:type="dxa"/>
            </w:tcMar>
            <w:vAlign w:val="bottom"/>
          </w:tcPr>
          <w:p w14:paraId="39D98457" w14:textId="77777777" w:rsidR="00996AD7" w:rsidRDefault="00996AD7">
            <w:pPr>
              <w:jc w:val="right"/>
              <w:rPr>
                <w:rFonts w:ascii="宋体"/>
              </w:rPr>
            </w:pPr>
          </w:p>
        </w:tc>
        <w:tc>
          <w:tcPr>
            <w:tcW w:w="0" w:type="auto"/>
            <w:shd w:val="clear" w:color="auto" w:fill="auto"/>
            <w:vAlign w:val="bottom"/>
          </w:tcPr>
          <w:p w14:paraId="39D98458" w14:textId="77777777" w:rsidR="00996AD7" w:rsidRDefault="00996AD7">
            <w:pPr>
              <w:rPr>
                <w:rFonts w:ascii="宋体"/>
                <w:vanish/>
              </w:rPr>
            </w:pPr>
          </w:p>
        </w:tc>
        <w:tc>
          <w:tcPr>
            <w:tcW w:w="0" w:type="auto"/>
            <w:shd w:val="clear" w:color="auto" w:fill="auto"/>
            <w:vAlign w:val="bottom"/>
          </w:tcPr>
          <w:p w14:paraId="39D98459" w14:textId="77777777" w:rsidR="00996AD7" w:rsidRDefault="00996AD7">
            <w:pPr>
              <w:rPr>
                <w:rFonts w:ascii="宋体"/>
                <w:vanish/>
              </w:rPr>
            </w:pPr>
          </w:p>
        </w:tc>
      </w:tr>
      <w:tr w:rsidR="00996AD7" w14:paraId="39D98467" w14:textId="77777777">
        <w:tc>
          <w:tcPr>
            <w:tcW w:w="0" w:type="auto"/>
            <w:gridSpan w:val="3"/>
            <w:shd w:val="clear" w:color="auto" w:fill="auto"/>
            <w:tcMar>
              <w:top w:w="40" w:type="dxa"/>
              <w:left w:w="140" w:type="dxa"/>
              <w:bottom w:w="40" w:type="dxa"/>
              <w:right w:w="20" w:type="dxa"/>
            </w:tcMar>
            <w:vAlign w:val="center"/>
          </w:tcPr>
          <w:p w14:paraId="39D9845B" w14:textId="77777777" w:rsidR="00996AD7" w:rsidRDefault="00D96458">
            <w:pPr>
              <w:textAlignment w:val="center"/>
            </w:pPr>
            <w:r>
              <w:rPr>
                <w:rFonts w:ascii="Arial" w:eastAsia="宋体" w:hAnsi="Arial" w:cs="Arial"/>
                <w:color w:val="262626"/>
                <w:sz w:val="18"/>
                <w:szCs w:val="18"/>
              </w:rPr>
              <w:t>3.70</w:t>
            </w:r>
            <w:r>
              <w:rPr>
                <w:rFonts w:ascii="Arial" w:eastAsia="宋体" w:hAnsi="Arial" w:cs="Arial"/>
                <w:color w:val="262626"/>
                <w:sz w:val="18"/>
                <w:szCs w:val="18"/>
              </w:rPr>
              <w:t>%, due July 2025</w:t>
            </w:r>
          </w:p>
        </w:tc>
        <w:tc>
          <w:tcPr>
            <w:tcW w:w="0" w:type="auto"/>
            <w:gridSpan w:val="3"/>
            <w:shd w:val="clear" w:color="auto" w:fill="auto"/>
            <w:tcMar>
              <w:top w:w="0" w:type="dxa"/>
              <w:left w:w="20" w:type="dxa"/>
              <w:bottom w:w="0" w:type="dxa"/>
              <w:right w:w="20" w:type="dxa"/>
            </w:tcMar>
            <w:vAlign w:val="bottom"/>
          </w:tcPr>
          <w:p w14:paraId="39D9845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5D" w14:textId="77777777" w:rsidR="00996AD7" w:rsidRDefault="00D96458">
            <w:pPr>
              <w:jc w:val="right"/>
              <w:textAlignment w:val="bottom"/>
            </w:pPr>
            <w:r>
              <w:rPr>
                <w:rFonts w:ascii="Arial" w:eastAsia="宋体" w:hAnsi="Arial" w:cs="Arial"/>
                <w:color w:val="0068B5"/>
                <w:sz w:val="18"/>
                <w:szCs w:val="18"/>
              </w:rPr>
              <w:t>2.16 </w:t>
            </w:r>
          </w:p>
        </w:tc>
        <w:tc>
          <w:tcPr>
            <w:tcW w:w="0" w:type="auto"/>
            <w:shd w:val="clear" w:color="auto" w:fill="auto"/>
            <w:tcMar>
              <w:top w:w="40" w:type="dxa"/>
              <w:left w:w="0" w:type="dxa"/>
              <w:bottom w:w="40" w:type="dxa"/>
              <w:right w:w="20" w:type="dxa"/>
            </w:tcMar>
            <w:vAlign w:val="bottom"/>
          </w:tcPr>
          <w:p w14:paraId="39D9845E"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5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60" w14:textId="77777777" w:rsidR="00996AD7" w:rsidRDefault="00D96458">
            <w:pPr>
              <w:jc w:val="right"/>
              <w:textAlignment w:val="bottom"/>
            </w:pPr>
            <w:r>
              <w:rPr>
                <w:rFonts w:ascii="Arial" w:eastAsia="宋体" w:hAnsi="Arial" w:cs="Arial"/>
                <w:color w:val="0068B5"/>
                <w:sz w:val="18"/>
                <w:szCs w:val="18"/>
              </w:rPr>
              <w:t>2,250 </w:t>
            </w:r>
          </w:p>
        </w:tc>
        <w:tc>
          <w:tcPr>
            <w:tcW w:w="0" w:type="auto"/>
            <w:shd w:val="clear" w:color="auto" w:fill="auto"/>
            <w:tcMar>
              <w:top w:w="40" w:type="dxa"/>
              <w:left w:w="0" w:type="dxa"/>
              <w:bottom w:w="40" w:type="dxa"/>
              <w:right w:w="20" w:type="dxa"/>
            </w:tcMar>
            <w:vAlign w:val="bottom"/>
          </w:tcPr>
          <w:p w14:paraId="39D9846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6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63" w14:textId="77777777" w:rsidR="00996AD7" w:rsidRDefault="00D96458">
            <w:pPr>
              <w:jc w:val="right"/>
              <w:textAlignment w:val="bottom"/>
            </w:pPr>
            <w:r>
              <w:rPr>
                <w:rFonts w:ascii="Arial" w:eastAsia="宋体" w:hAnsi="Arial" w:cs="Arial"/>
                <w:color w:val="262626"/>
                <w:sz w:val="18"/>
                <w:szCs w:val="18"/>
              </w:rPr>
              <w:t>2,250 </w:t>
            </w:r>
          </w:p>
        </w:tc>
        <w:tc>
          <w:tcPr>
            <w:tcW w:w="0" w:type="auto"/>
            <w:shd w:val="clear" w:color="auto" w:fill="auto"/>
            <w:tcMar>
              <w:top w:w="40" w:type="dxa"/>
              <w:left w:w="0" w:type="dxa"/>
              <w:bottom w:w="40" w:type="dxa"/>
              <w:right w:w="20" w:type="dxa"/>
            </w:tcMar>
            <w:vAlign w:val="bottom"/>
          </w:tcPr>
          <w:p w14:paraId="39D98464" w14:textId="77777777" w:rsidR="00996AD7" w:rsidRDefault="00996AD7">
            <w:pPr>
              <w:jc w:val="right"/>
              <w:rPr>
                <w:rFonts w:ascii="宋体"/>
              </w:rPr>
            </w:pPr>
          </w:p>
        </w:tc>
        <w:tc>
          <w:tcPr>
            <w:tcW w:w="0" w:type="auto"/>
            <w:shd w:val="clear" w:color="auto" w:fill="auto"/>
            <w:vAlign w:val="bottom"/>
          </w:tcPr>
          <w:p w14:paraId="39D98465" w14:textId="77777777" w:rsidR="00996AD7" w:rsidRDefault="00996AD7">
            <w:pPr>
              <w:rPr>
                <w:rFonts w:ascii="宋体"/>
                <w:vanish/>
              </w:rPr>
            </w:pPr>
          </w:p>
        </w:tc>
        <w:tc>
          <w:tcPr>
            <w:tcW w:w="0" w:type="auto"/>
            <w:shd w:val="clear" w:color="auto" w:fill="auto"/>
            <w:vAlign w:val="bottom"/>
          </w:tcPr>
          <w:p w14:paraId="39D98466" w14:textId="77777777" w:rsidR="00996AD7" w:rsidRDefault="00996AD7">
            <w:pPr>
              <w:rPr>
                <w:rFonts w:ascii="宋体"/>
                <w:vanish/>
              </w:rPr>
            </w:pPr>
          </w:p>
        </w:tc>
      </w:tr>
      <w:tr w:rsidR="00996AD7" w14:paraId="39D98474" w14:textId="77777777">
        <w:tc>
          <w:tcPr>
            <w:tcW w:w="0" w:type="auto"/>
            <w:gridSpan w:val="3"/>
            <w:shd w:val="clear" w:color="auto" w:fill="auto"/>
            <w:tcMar>
              <w:top w:w="40" w:type="dxa"/>
              <w:left w:w="140" w:type="dxa"/>
              <w:bottom w:w="40" w:type="dxa"/>
              <w:right w:w="20" w:type="dxa"/>
            </w:tcMar>
            <w:vAlign w:val="center"/>
          </w:tcPr>
          <w:p w14:paraId="39D98468" w14:textId="77777777" w:rsidR="00996AD7" w:rsidRDefault="00D96458">
            <w:pPr>
              <w:textAlignment w:val="center"/>
            </w:pPr>
            <w:r>
              <w:rPr>
                <w:rFonts w:ascii="Arial" w:eastAsia="宋体" w:hAnsi="Arial" w:cs="Arial"/>
                <w:color w:val="262626"/>
                <w:sz w:val="18"/>
                <w:szCs w:val="18"/>
              </w:rPr>
              <w:t>2.60%, due May 2026</w:t>
            </w:r>
          </w:p>
        </w:tc>
        <w:tc>
          <w:tcPr>
            <w:tcW w:w="0" w:type="auto"/>
            <w:gridSpan w:val="3"/>
            <w:shd w:val="clear" w:color="auto" w:fill="auto"/>
            <w:tcMar>
              <w:top w:w="0" w:type="dxa"/>
              <w:left w:w="20" w:type="dxa"/>
              <w:bottom w:w="0" w:type="dxa"/>
              <w:right w:w="20" w:type="dxa"/>
            </w:tcMar>
            <w:vAlign w:val="bottom"/>
          </w:tcPr>
          <w:p w14:paraId="39D9846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6A" w14:textId="77777777" w:rsidR="00996AD7" w:rsidRDefault="00D96458">
            <w:pPr>
              <w:jc w:val="right"/>
              <w:textAlignment w:val="bottom"/>
            </w:pPr>
            <w:r>
              <w:rPr>
                <w:rFonts w:ascii="Arial" w:eastAsia="宋体" w:hAnsi="Arial" w:cs="Arial"/>
                <w:color w:val="0068B5"/>
                <w:sz w:val="18"/>
                <w:szCs w:val="18"/>
              </w:rPr>
              <w:t>0.64 </w:t>
            </w:r>
          </w:p>
        </w:tc>
        <w:tc>
          <w:tcPr>
            <w:tcW w:w="0" w:type="auto"/>
            <w:shd w:val="clear" w:color="auto" w:fill="auto"/>
            <w:tcMar>
              <w:top w:w="40" w:type="dxa"/>
              <w:left w:w="0" w:type="dxa"/>
              <w:bottom w:w="40" w:type="dxa"/>
              <w:right w:w="20" w:type="dxa"/>
            </w:tcMar>
            <w:vAlign w:val="bottom"/>
          </w:tcPr>
          <w:p w14:paraId="39D9846B"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6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6D" w14:textId="77777777" w:rsidR="00996AD7" w:rsidRDefault="00D9645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39D9846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6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70" w14:textId="77777777" w:rsidR="00996AD7" w:rsidRDefault="00D96458">
            <w:pPr>
              <w:jc w:val="right"/>
              <w:textAlignment w:val="bottom"/>
            </w:pPr>
            <w:r>
              <w:rPr>
                <w:rFonts w:ascii="Arial" w:eastAsia="宋体" w:hAnsi="Arial" w:cs="Arial"/>
                <w:color w:val="262626"/>
                <w:sz w:val="18"/>
                <w:szCs w:val="18"/>
              </w:rPr>
              <w:t>1,000 </w:t>
            </w:r>
          </w:p>
        </w:tc>
        <w:tc>
          <w:tcPr>
            <w:tcW w:w="0" w:type="auto"/>
            <w:shd w:val="clear" w:color="auto" w:fill="auto"/>
            <w:tcMar>
              <w:top w:w="40" w:type="dxa"/>
              <w:left w:w="0" w:type="dxa"/>
              <w:bottom w:w="40" w:type="dxa"/>
              <w:right w:w="20" w:type="dxa"/>
            </w:tcMar>
            <w:vAlign w:val="bottom"/>
          </w:tcPr>
          <w:p w14:paraId="39D98471" w14:textId="77777777" w:rsidR="00996AD7" w:rsidRDefault="00996AD7">
            <w:pPr>
              <w:jc w:val="right"/>
              <w:rPr>
                <w:rFonts w:ascii="宋体"/>
              </w:rPr>
            </w:pPr>
          </w:p>
        </w:tc>
        <w:tc>
          <w:tcPr>
            <w:tcW w:w="0" w:type="auto"/>
            <w:shd w:val="clear" w:color="auto" w:fill="auto"/>
            <w:vAlign w:val="bottom"/>
          </w:tcPr>
          <w:p w14:paraId="39D98472" w14:textId="77777777" w:rsidR="00996AD7" w:rsidRDefault="00996AD7">
            <w:pPr>
              <w:rPr>
                <w:rFonts w:ascii="宋体"/>
                <w:vanish/>
              </w:rPr>
            </w:pPr>
          </w:p>
        </w:tc>
        <w:tc>
          <w:tcPr>
            <w:tcW w:w="0" w:type="auto"/>
            <w:shd w:val="clear" w:color="auto" w:fill="auto"/>
            <w:vAlign w:val="bottom"/>
          </w:tcPr>
          <w:p w14:paraId="39D98473" w14:textId="77777777" w:rsidR="00996AD7" w:rsidRDefault="00996AD7">
            <w:pPr>
              <w:rPr>
                <w:rFonts w:ascii="宋体"/>
                <w:vanish/>
              </w:rPr>
            </w:pPr>
          </w:p>
        </w:tc>
      </w:tr>
      <w:tr w:rsidR="00996AD7" w14:paraId="39D98481" w14:textId="77777777">
        <w:tc>
          <w:tcPr>
            <w:tcW w:w="0" w:type="auto"/>
            <w:gridSpan w:val="3"/>
            <w:shd w:val="clear" w:color="auto" w:fill="auto"/>
            <w:tcMar>
              <w:top w:w="40" w:type="dxa"/>
              <w:left w:w="140" w:type="dxa"/>
              <w:bottom w:w="40" w:type="dxa"/>
              <w:right w:w="20" w:type="dxa"/>
            </w:tcMar>
            <w:vAlign w:val="center"/>
          </w:tcPr>
          <w:p w14:paraId="39D98475" w14:textId="77777777" w:rsidR="00996AD7" w:rsidRDefault="00D96458">
            <w:pPr>
              <w:textAlignment w:val="center"/>
            </w:pPr>
            <w:r>
              <w:rPr>
                <w:rFonts w:ascii="Arial" w:eastAsia="宋体" w:hAnsi="Arial" w:cs="Arial"/>
                <w:color w:val="262626"/>
                <w:sz w:val="18"/>
                <w:szCs w:val="18"/>
              </w:rPr>
              <w:t>3.75</w:t>
            </w:r>
            <w:r>
              <w:rPr>
                <w:rFonts w:ascii="Arial" w:eastAsia="宋体" w:hAnsi="Arial" w:cs="Arial"/>
                <w:color w:val="262626"/>
                <w:sz w:val="18"/>
                <w:szCs w:val="18"/>
              </w:rPr>
              <w:t>%, due March 2027</w:t>
            </w:r>
          </w:p>
        </w:tc>
        <w:tc>
          <w:tcPr>
            <w:tcW w:w="0" w:type="auto"/>
            <w:gridSpan w:val="3"/>
            <w:shd w:val="clear" w:color="auto" w:fill="auto"/>
            <w:tcMar>
              <w:top w:w="0" w:type="dxa"/>
              <w:left w:w="20" w:type="dxa"/>
              <w:bottom w:w="0" w:type="dxa"/>
              <w:right w:w="20" w:type="dxa"/>
            </w:tcMar>
            <w:vAlign w:val="bottom"/>
          </w:tcPr>
          <w:p w14:paraId="39D9847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77" w14:textId="77777777" w:rsidR="00996AD7" w:rsidRDefault="00D96458">
            <w:pPr>
              <w:jc w:val="right"/>
              <w:textAlignment w:val="bottom"/>
            </w:pPr>
            <w:r>
              <w:rPr>
                <w:rFonts w:ascii="Arial" w:eastAsia="宋体" w:hAnsi="Arial" w:cs="Arial"/>
                <w:color w:val="0068B5"/>
                <w:sz w:val="18"/>
                <w:szCs w:val="18"/>
              </w:rPr>
              <w:t>3.79 </w:t>
            </w:r>
          </w:p>
        </w:tc>
        <w:tc>
          <w:tcPr>
            <w:tcW w:w="0" w:type="auto"/>
            <w:shd w:val="clear" w:color="auto" w:fill="auto"/>
            <w:tcMar>
              <w:top w:w="40" w:type="dxa"/>
              <w:left w:w="0" w:type="dxa"/>
              <w:bottom w:w="40" w:type="dxa"/>
              <w:right w:w="20" w:type="dxa"/>
            </w:tcMar>
            <w:vAlign w:val="bottom"/>
          </w:tcPr>
          <w:p w14:paraId="39D98478"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7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7A" w14:textId="77777777" w:rsidR="00996AD7" w:rsidRDefault="00D9645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39D9847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7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7D" w14:textId="77777777" w:rsidR="00996AD7" w:rsidRDefault="00D96458">
            <w:pPr>
              <w:jc w:val="right"/>
              <w:textAlignment w:val="bottom"/>
            </w:pPr>
            <w:r>
              <w:rPr>
                <w:rFonts w:ascii="Arial" w:eastAsia="宋体" w:hAnsi="Arial" w:cs="Arial"/>
                <w:color w:val="262626"/>
                <w:sz w:val="18"/>
                <w:szCs w:val="18"/>
              </w:rPr>
              <w:t>1,000 </w:t>
            </w:r>
          </w:p>
        </w:tc>
        <w:tc>
          <w:tcPr>
            <w:tcW w:w="0" w:type="auto"/>
            <w:shd w:val="clear" w:color="auto" w:fill="auto"/>
            <w:tcMar>
              <w:top w:w="40" w:type="dxa"/>
              <w:left w:w="0" w:type="dxa"/>
              <w:bottom w:w="40" w:type="dxa"/>
              <w:right w:w="20" w:type="dxa"/>
            </w:tcMar>
            <w:vAlign w:val="bottom"/>
          </w:tcPr>
          <w:p w14:paraId="39D9847E" w14:textId="77777777" w:rsidR="00996AD7" w:rsidRDefault="00996AD7">
            <w:pPr>
              <w:jc w:val="right"/>
              <w:rPr>
                <w:rFonts w:ascii="宋体"/>
              </w:rPr>
            </w:pPr>
          </w:p>
        </w:tc>
        <w:tc>
          <w:tcPr>
            <w:tcW w:w="0" w:type="auto"/>
            <w:shd w:val="clear" w:color="auto" w:fill="auto"/>
            <w:vAlign w:val="bottom"/>
          </w:tcPr>
          <w:p w14:paraId="39D9847F" w14:textId="77777777" w:rsidR="00996AD7" w:rsidRDefault="00996AD7">
            <w:pPr>
              <w:rPr>
                <w:rFonts w:ascii="宋体"/>
                <w:vanish/>
              </w:rPr>
            </w:pPr>
          </w:p>
        </w:tc>
        <w:tc>
          <w:tcPr>
            <w:tcW w:w="0" w:type="auto"/>
            <w:shd w:val="clear" w:color="auto" w:fill="auto"/>
            <w:vAlign w:val="bottom"/>
          </w:tcPr>
          <w:p w14:paraId="39D98480" w14:textId="77777777" w:rsidR="00996AD7" w:rsidRDefault="00996AD7">
            <w:pPr>
              <w:rPr>
                <w:rFonts w:ascii="宋体"/>
                <w:vanish/>
              </w:rPr>
            </w:pPr>
          </w:p>
        </w:tc>
      </w:tr>
      <w:tr w:rsidR="00996AD7" w14:paraId="39D9848E" w14:textId="77777777">
        <w:tc>
          <w:tcPr>
            <w:tcW w:w="0" w:type="auto"/>
            <w:gridSpan w:val="3"/>
            <w:shd w:val="clear" w:color="auto" w:fill="auto"/>
            <w:tcMar>
              <w:top w:w="40" w:type="dxa"/>
              <w:left w:w="140" w:type="dxa"/>
              <w:bottom w:w="40" w:type="dxa"/>
              <w:right w:w="20" w:type="dxa"/>
            </w:tcMar>
            <w:vAlign w:val="center"/>
          </w:tcPr>
          <w:p w14:paraId="39D98482" w14:textId="77777777" w:rsidR="00996AD7" w:rsidRDefault="00D96458">
            <w:pPr>
              <w:textAlignment w:val="center"/>
            </w:pPr>
            <w:r>
              <w:rPr>
                <w:rFonts w:ascii="Arial" w:eastAsia="宋体" w:hAnsi="Arial" w:cs="Arial"/>
                <w:color w:val="262626"/>
                <w:sz w:val="18"/>
                <w:szCs w:val="18"/>
              </w:rPr>
              <w:t>3.15</w:t>
            </w:r>
            <w:r>
              <w:rPr>
                <w:rFonts w:ascii="Arial" w:eastAsia="宋体" w:hAnsi="Arial" w:cs="Arial"/>
                <w:color w:val="262626"/>
                <w:sz w:val="18"/>
                <w:szCs w:val="18"/>
              </w:rPr>
              <w:t>%, due May 2027</w:t>
            </w:r>
          </w:p>
        </w:tc>
        <w:tc>
          <w:tcPr>
            <w:tcW w:w="0" w:type="auto"/>
            <w:gridSpan w:val="3"/>
            <w:shd w:val="clear" w:color="auto" w:fill="auto"/>
            <w:tcMar>
              <w:top w:w="0" w:type="dxa"/>
              <w:left w:w="20" w:type="dxa"/>
              <w:bottom w:w="0" w:type="dxa"/>
              <w:right w:w="20" w:type="dxa"/>
            </w:tcMar>
            <w:vAlign w:val="bottom"/>
          </w:tcPr>
          <w:p w14:paraId="39D9848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84" w14:textId="77777777" w:rsidR="00996AD7" w:rsidRDefault="00D96458">
            <w:pPr>
              <w:jc w:val="right"/>
              <w:textAlignment w:val="bottom"/>
            </w:pPr>
            <w:r>
              <w:rPr>
                <w:rFonts w:ascii="Arial" w:eastAsia="宋体" w:hAnsi="Arial" w:cs="Arial"/>
                <w:color w:val="0068B5"/>
                <w:sz w:val="18"/>
                <w:szCs w:val="18"/>
              </w:rPr>
              <w:t>1.22 </w:t>
            </w:r>
          </w:p>
        </w:tc>
        <w:tc>
          <w:tcPr>
            <w:tcW w:w="0" w:type="auto"/>
            <w:shd w:val="clear" w:color="auto" w:fill="auto"/>
            <w:tcMar>
              <w:top w:w="40" w:type="dxa"/>
              <w:left w:w="0" w:type="dxa"/>
              <w:bottom w:w="40" w:type="dxa"/>
              <w:right w:w="20" w:type="dxa"/>
            </w:tcMar>
            <w:vAlign w:val="bottom"/>
          </w:tcPr>
          <w:p w14:paraId="39D98485"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8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87" w14:textId="77777777" w:rsidR="00996AD7" w:rsidRDefault="00D9645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39D9848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8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8A" w14:textId="77777777" w:rsidR="00996AD7" w:rsidRDefault="00D96458">
            <w:pPr>
              <w:jc w:val="right"/>
              <w:textAlignment w:val="bottom"/>
            </w:pPr>
            <w:r>
              <w:rPr>
                <w:rFonts w:ascii="Arial" w:eastAsia="宋体" w:hAnsi="Arial" w:cs="Arial"/>
                <w:color w:val="262626"/>
                <w:sz w:val="18"/>
                <w:szCs w:val="18"/>
              </w:rPr>
              <w:t>1,000 </w:t>
            </w:r>
          </w:p>
        </w:tc>
        <w:tc>
          <w:tcPr>
            <w:tcW w:w="0" w:type="auto"/>
            <w:shd w:val="clear" w:color="auto" w:fill="auto"/>
            <w:tcMar>
              <w:top w:w="40" w:type="dxa"/>
              <w:left w:w="0" w:type="dxa"/>
              <w:bottom w:w="40" w:type="dxa"/>
              <w:right w:w="20" w:type="dxa"/>
            </w:tcMar>
            <w:vAlign w:val="bottom"/>
          </w:tcPr>
          <w:p w14:paraId="39D9848B" w14:textId="77777777" w:rsidR="00996AD7" w:rsidRDefault="00996AD7">
            <w:pPr>
              <w:jc w:val="right"/>
              <w:rPr>
                <w:rFonts w:ascii="宋体"/>
              </w:rPr>
            </w:pPr>
          </w:p>
        </w:tc>
        <w:tc>
          <w:tcPr>
            <w:tcW w:w="0" w:type="auto"/>
            <w:shd w:val="clear" w:color="auto" w:fill="auto"/>
            <w:vAlign w:val="bottom"/>
          </w:tcPr>
          <w:p w14:paraId="39D9848C" w14:textId="77777777" w:rsidR="00996AD7" w:rsidRDefault="00996AD7">
            <w:pPr>
              <w:rPr>
                <w:rFonts w:ascii="宋体"/>
                <w:vanish/>
              </w:rPr>
            </w:pPr>
          </w:p>
        </w:tc>
        <w:tc>
          <w:tcPr>
            <w:tcW w:w="0" w:type="auto"/>
            <w:shd w:val="clear" w:color="auto" w:fill="auto"/>
            <w:vAlign w:val="bottom"/>
          </w:tcPr>
          <w:p w14:paraId="39D9848D" w14:textId="77777777" w:rsidR="00996AD7" w:rsidRDefault="00996AD7">
            <w:pPr>
              <w:rPr>
                <w:rFonts w:ascii="宋体"/>
                <w:vanish/>
              </w:rPr>
            </w:pPr>
          </w:p>
        </w:tc>
      </w:tr>
      <w:tr w:rsidR="00996AD7" w14:paraId="39D9849B" w14:textId="77777777">
        <w:tc>
          <w:tcPr>
            <w:tcW w:w="0" w:type="auto"/>
            <w:gridSpan w:val="3"/>
            <w:shd w:val="clear" w:color="auto" w:fill="auto"/>
            <w:tcMar>
              <w:top w:w="40" w:type="dxa"/>
              <w:left w:w="140" w:type="dxa"/>
              <w:bottom w:w="40" w:type="dxa"/>
              <w:right w:w="20" w:type="dxa"/>
            </w:tcMar>
            <w:vAlign w:val="center"/>
          </w:tcPr>
          <w:p w14:paraId="39D9848F" w14:textId="77777777" w:rsidR="00996AD7" w:rsidRDefault="00D96458">
            <w:pPr>
              <w:textAlignment w:val="center"/>
            </w:pPr>
            <w:r>
              <w:rPr>
                <w:rFonts w:ascii="Arial" w:eastAsia="宋体" w:hAnsi="Arial" w:cs="Arial"/>
                <w:color w:val="262626"/>
                <w:sz w:val="18"/>
                <w:szCs w:val="18"/>
              </w:rPr>
              <w:t>1.60</w:t>
            </w:r>
            <w:r>
              <w:rPr>
                <w:rFonts w:ascii="Arial" w:eastAsia="宋体" w:hAnsi="Arial" w:cs="Arial"/>
                <w:color w:val="262626"/>
                <w:sz w:val="18"/>
                <w:szCs w:val="18"/>
              </w:rPr>
              <w:t>%, due August 2028</w:t>
            </w:r>
          </w:p>
        </w:tc>
        <w:tc>
          <w:tcPr>
            <w:tcW w:w="0" w:type="auto"/>
            <w:gridSpan w:val="3"/>
            <w:shd w:val="clear" w:color="auto" w:fill="auto"/>
            <w:tcMar>
              <w:top w:w="0" w:type="dxa"/>
              <w:left w:w="20" w:type="dxa"/>
              <w:bottom w:w="0" w:type="dxa"/>
              <w:right w:w="20" w:type="dxa"/>
            </w:tcMar>
            <w:vAlign w:val="bottom"/>
          </w:tcPr>
          <w:p w14:paraId="39D9849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91" w14:textId="77777777" w:rsidR="00996AD7" w:rsidRDefault="00D96458">
            <w:pPr>
              <w:jc w:val="right"/>
              <w:textAlignment w:val="bottom"/>
            </w:pPr>
            <w:r>
              <w:rPr>
                <w:rFonts w:ascii="Arial" w:eastAsia="宋体" w:hAnsi="Arial" w:cs="Arial"/>
                <w:color w:val="0068B5"/>
                <w:sz w:val="18"/>
                <w:szCs w:val="18"/>
              </w:rPr>
              <w:t>1.68 </w:t>
            </w:r>
          </w:p>
        </w:tc>
        <w:tc>
          <w:tcPr>
            <w:tcW w:w="0" w:type="auto"/>
            <w:shd w:val="clear" w:color="auto" w:fill="auto"/>
            <w:tcMar>
              <w:top w:w="40" w:type="dxa"/>
              <w:left w:w="0" w:type="dxa"/>
              <w:bottom w:w="40" w:type="dxa"/>
              <w:right w:w="20" w:type="dxa"/>
            </w:tcMar>
            <w:vAlign w:val="bottom"/>
          </w:tcPr>
          <w:p w14:paraId="39D98492"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9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94" w14:textId="77777777" w:rsidR="00996AD7" w:rsidRDefault="00D9645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39D9849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9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97"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498" w14:textId="77777777" w:rsidR="00996AD7" w:rsidRDefault="00996AD7">
            <w:pPr>
              <w:jc w:val="right"/>
              <w:rPr>
                <w:rFonts w:ascii="宋体"/>
              </w:rPr>
            </w:pPr>
          </w:p>
        </w:tc>
        <w:tc>
          <w:tcPr>
            <w:tcW w:w="0" w:type="auto"/>
            <w:shd w:val="clear" w:color="auto" w:fill="auto"/>
            <w:vAlign w:val="bottom"/>
          </w:tcPr>
          <w:p w14:paraId="39D98499" w14:textId="77777777" w:rsidR="00996AD7" w:rsidRDefault="00996AD7">
            <w:pPr>
              <w:rPr>
                <w:rFonts w:ascii="宋体"/>
                <w:vanish/>
              </w:rPr>
            </w:pPr>
          </w:p>
        </w:tc>
        <w:tc>
          <w:tcPr>
            <w:tcW w:w="0" w:type="auto"/>
            <w:shd w:val="clear" w:color="auto" w:fill="auto"/>
            <w:vAlign w:val="bottom"/>
          </w:tcPr>
          <w:p w14:paraId="39D9849A" w14:textId="77777777" w:rsidR="00996AD7" w:rsidRDefault="00996AD7">
            <w:pPr>
              <w:rPr>
                <w:rFonts w:ascii="宋体"/>
                <w:vanish/>
              </w:rPr>
            </w:pPr>
          </w:p>
        </w:tc>
      </w:tr>
      <w:tr w:rsidR="00996AD7" w14:paraId="39D984A8" w14:textId="77777777">
        <w:tc>
          <w:tcPr>
            <w:tcW w:w="0" w:type="auto"/>
            <w:gridSpan w:val="3"/>
            <w:shd w:val="clear" w:color="auto" w:fill="auto"/>
            <w:tcMar>
              <w:top w:w="40" w:type="dxa"/>
              <w:left w:w="140" w:type="dxa"/>
              <w:bottom w:w="40" w:type="dxa"/>
              <w:right w:w="20" w:type="dxa"/>
            </w:tcMar>
            <w:vAlign w:val="center"/>
          </w:tcPr>
          <w:p w14:paraId="39D9849C" w14:textId="77777777" w:rsidR="00996AD7" w:rsidRDefault="00D96458">
            <w:pPr>
              <w:textAlignment w:val="center"/>
            </w:pPr>
            <w:r>
              <w:rPr>
                <w:rFonts w:ascii="Arial" w:eastAsia="宋体" w:hAnsi="Arial" w:cs="Arial"/>
                <w:color w:val="262626"/>
                <w:sz w:val="18"/>
                <w:szCs w:val="18"/>
              </w:rPr>
              <w:t>2.45</w:t>
            </w:r>
            <w:r>
              <w:rPr>
                <w:rFonts w:ascii="Arial" w:eastAsia="宋体" w:hAnsi="Arial" w:cs="Arial"/>
                <w:color w:val="262626"/>
                <w:sz w:val="18"/>
                <w:szCs w:val="18"/>
              </w:rPr>
              <w:t>%, due November 2029</w:t>
            </w:r>
          </w:p>
        </w:tc>
        <w:tc>
          <w:tcPr>
            <w:tcW w:w="0" w:type="auto"/>
            <w:gridSpan w:val="3"/>
            <w:shd w:val="clear" w:color="auto" w:fill="auto"/>
            <w:tcMar>
              <w:top w:w="0" w:type="dxa"/>
              <w:left w:w="20" w:type="dxa"/>
              <w:bottom w:w="0" w:type="dxa"/>
              <w:right w:w="20" w:type="dxa"/>
            </w:tcMar>
            <w:vAlign w:val="bottom"/>
          </w:tcPr>
          <w:p w14:paraId="39D9849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9E" w14:textId="77777777" w:rsidR="00996AD7" w:rsidRDefault="00D96458">
            <w:pPr>
              <w:jc w:val="right"/>
              <w:textAlignment w:val="bottom"/>
            </w:pPr>
            <w:r>
              <w:rPr>
                <w:rFonts w:ascii="Arial" w:eastAsia="宋体" w:hAnsi="Arial" w:cs="Arial"/>
                <w:color w:val="0068B5"/>
                <w:sz w:val="18"/>
                <w:szCs w:val="18"/>
              </w:rPr>
              <w:t>2.39 </w:t>
            </w:r>
          </w:p>
        </w:tc>
        <w:tc>
          <w:tcPr>
            <w:tcW w:w="0" w:type="auto"/>
            <w:shd w:val="clear" w:color="auto" w:fill="auto"/>
            <w:tcMar>
              <w:top w:w="40" w:type="dxa"/>
              <w:left w:w="0" w:type="dxa"/>
              <w:bottom w:w="40" w:type="dxa"/>
              <w:right w:w="20" w:type="dxa"/>
            </w:tcMar>
            <w:vAlign w:val="bottom"/>
          </w:tcPr>
          <w:p w14:paraId="39D9849F"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A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A1" w14:textId="77777777" w:rsidR="00996AD7" w:rsidRDefault="00D96458">
            <w:pPr>
              <w:jc w:val="right"/>
              <w:textAlignment w:val="bottom"/>
            </w:pPr>
            <w:r>
              <w:rPr>
                <w:rFonts w:ascii="Arial" w:eastAsia="宋体" w:hAnsi="Arial" w:cs="Arial"/>
                <w:color w:val="0068B5"/>
                <w:sz w:val="18"/>
                <w:szCs w:val="18"/>
              </w:rPr>
              <w:t>2,000 </w:t>
            </w:r>
          </w:p>
        </w:tc>
        <w:tc>
          <w:tcPr>
            <w:tcW w:w="0" w:type="auto"/>
            <w:shd w:val="clear" w:color="auto" w:fill="auto"/>
            <w:tcMar>
              <w:top w:w="40" w:type="dxa"/>
              <w:left w:w="0" w:type="dxa"/>
              <w:bottom w:w="40" w:type="dxa"/>
              <w:right w:w="20" w:type="dxa"/>
            </w:tcMar>
            <w:vAlign w:val="bottom"/>
          </w:tcPr>
          <w:p w14:paraId="39D984A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A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A4" w14:textId="77777777" w:rsidR="00996AD7" w:rsidRDefault="00D96458">
            <w:pPr>
              <w:jc w:val="right"/>
              <w:textAlignment w:val="bottom"/>
            </w:pPr>
            <w:r>
              <w:rPr>
                <w:rFonts w:ascii="Arial" w:eastAsia="宋体" w:hAnsi="Arial" w:cs="Arial"/>
                <w:color w:val="262626"/>
                <w:sz w:val="18"/>
                <w:szCs w:val="18"/>
              </w:rPr>
              <w:t>2,000 </w:t>
            </w:r>
          </w:p>
        </w:tc>
        <w:tc>
          <w:tcPr>
            <w:tcW w:w="0" w:type="auto"/>
            <w:shd w:val="clear" w:color="auto" w:fill="auto"/>
            <w:tcMar>
              <w:top w:w="40" w:type="dxa"/>
              <w:left w:w="0" w:type="dxa"/>
              <w:bottom w:w="40" w:type="dxa"/>
              <w:right w:w="20" w:type="dxa"/>
            </w:tcMar>
            <w:vAlign w:val="bottom"/>
          </w:tcPr>
          <w:p w14:paraId="39D984A5" w14:textId="77777777" w:rsidR="00996AD7" w:rsidRDefault="00996AD7">
            <w:pPr>
              <w:jc w:val="right"/>
              <w:rPr>
                <w:rFonts w:ascii="宋体"/>
              </w:rPr>
            </w:pPr>
          </w:p>
        </w:tc>
        <w:tc>
          <w:tcPr>
            <w:tcW w:w="0" w:type="auto"/>
            <w:shd w:val="clear" w:color="auto" w:fill="auto"/>
            <w:vAlign w:val="bottom"/>
          </w:tcPr>
          <w:p w14:paraId="39D984A6" w14:textId="77777777" w:rsidR="00996AD7" w:rsidRDefault="00996AD7">
            <w:pPr>
              <w:rPr>
                <w:rFonts w:ascii="宋体"/>
                <w:vanish/>
              </w:rPr>
            </w:pPr>
          </w:p>
        </w:tc>
        <w:tc>
          <w:tcPr>
            <w:tcW w:w="0" w:type="auto"/>
            <w:shd w:val="clear" w:color="auto" w:fill="auto"/>
            <w:vAlign w:val="bottom"/>
          </w:tcPr>
          <w:p w14:paraId="39D984A7" w14:textId="77777777" w:rsidR="00996AD7" w:rsidRDefault="00996AD7">
            <w:pPr>
              <w:rPr>
                <w:rFonts w:ascii="宋体"/>
                <w:vanish/>
              </w:rPr>
            </w:pPr>
          </w:p>
        </w:tc>
      </w:tr>
      <w:tr w:rsidR="00996AD7" w14:paraId="39D984B5" w14:textId="77777777">
        <w:tc>
          <w:tcPr>
            <w:tcW w:w="0" w:type="auto"/>
            <w:gridSpan w:val="3"/>
            <w:shd w:val="clear" w:color="auto" w:fill="auto"/>
            <w:tcMar>
              <w:top w:w="40" w:type="dxa"/>
              <w:left w:w="140" w:type="dxa"/>
              <w:bottom w:w="40" w:type="dxa"/>
              <w:right w:w="20" w:type="dxa"/>
            </w:tcMar>
            <w:vAlign w:val="center"/>
          </w:tcPr>
          <w:p w14:paraId="39D984A9" w14:textId="77777777" w:rsidR="00996AD7" w:rsidRDefault="00D96458">
            <w:pPr>
              <w:textAlignment w:val="center"/>
            </w:pPr>
            <w:r>
              <w:rPr>
                <w:rFonts w:ascii="Arial" w:eastAsia="宋体" w:hAnsi="Arial" w:cs="Arial"/>
                <w:color w:val="262626"/>
                <w:sz w:val="18"/>
                <w:szCs w:val="18"/>
              </w:rPr>
              <w:t>3.90%, due March 2030</w:t>
            </w:r>
          </w:p>
        </w:tc>
        <w:tc>
          <w:tcPr>
            <w:tcW w:w="0" w:type="auto"/>
            <w:gridSpan w:val="3"/>
            <w:shd w:val="clear" w:color="auto" w:fill="auto"/>
            <w:tcMar>
              <w:top w:w="0" w:type="dxa"/>
              <w:left w:w="20" w:type="dxa"/>
              <w:bottom w:w="0" w:type="dxa"/>
              <w:right w:w="20" w:type="dxa"/>
            </w:tcMar>
            <w:vAlign w:val="bottom"/>
          </w:tcPr>
          <w:p w14:paraId="39D984A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AB" w14:textId="77777777" w:rsidR="00996AD7" w:rsidRDefault="00D96458">
            <w:pPr>
              <w:jc w:val="right"/>
              <w:textAlignment w:val="bottom"/>
            </w:pPr>
            <w:r>
              <w:rPr>
                <w:rFonts w:ascii="Arial" w:eastAsia="宋体" w:hAnsi="Arial" w:cs="Arial"/>
                <w:color w:val="0068B5"/>
                <w:sz w:val="18"/>
                <w:szCs w:val="18"/>
              </w:rPr>
              <w:t>3.92 </w:t>
            </w:r>
          </w:p>
        </w:tc>
        <w:tc>
          <w:tcPr>
            <w:tcW w:w="0" w:type="auto"/>
            <w:shd w:val="clear" w:color="auto" w:fill="auto"/>
            <w:tcMar>
              <w:top w:w="40" w:type="dxa"/>
              <w:left w:w="0" w:type="dxa"/>
              <w:bottom w:w="40" w:type="dxa"/>
              <w:right w:w="20" w:type="dxa"/>
            </w:tcMar>
            <w:vAlign w:val="bottom"/>
          </w:tcPr>
          <w:p w14:paraId="39D984AC"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A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AE" w14:textId="77777777" w:rsidR="00996AD7" w:rsidRDefault="00D96458">
            <w:pPr>
              <w:jc w:val="right"/>
              <w:textAlignment w:val="bottom"/>
            </w:pPr>
            <w:r>
              <w:rPr>
                <w:rFonts w:ascii="Arial" w:eastAsia="宋体" w:hAnsi="Arial" w:cs="Arial"/>
                <w:color w:val="0068B5"/>
                <w:sz w:val="18"/>
                <w:szCs w:val="18"/>
              </w:rPr>
              <w:t>1,500 </w:t>
            </w:r>
          </w:p>
        </w:tc>
        <w:tc>
          <w:tcPr>
            <w:tcW w:w="0" w:type="auto"/>
            <w:shd w:val="clear" w:color="auto" w:fill="auto"/>
            <w:tcMar>
              <w:top w:w="40" w:type="dxa"/>
              <w:left w:w="0" w:type="dxa"/>
              <w:bottom w:w="40" w:type="dxa"/>
              <w:right w:w="20" w:type="dxa"/>
            </w:tcMar>
            <w:vAlign w:val="bottom"/>
          </w:tcPr>
          <w:p w14:paraId="39D984A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B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B1" w14:textId="77777777" w:rsidR="00996AD7" w:rsidRDefault="00D96458">
            <w:pPr>
              <w:jc w:val="right"/>
              <w:textAlignment w:val="bottom"/>
            </w:pPr>
            <w:r>
              <w:rPr>
                <w:rFonts w:ascii="Arial" w:eastAsia="宋体" w:hAnsi="Arial" w:cs="Arial"/>
                <w:color w:val="262626"/>
                <w:sz w:val="18"/>
                <w:szCs w:val="18"/>
              </w:rPr>
              <w:t>1,500 </w:t>
            </w:r>
          </w:p>
        </w:tc>
        <w:tc>
          <w:tcPr>
            <w:tcW w:w="0" w:type="auto"/>
            <w:shd w:val="clear" w:color="auto" w:fill="auto"/>
            <w:tcMar>
              <w:top w:w="40" w:type="dxa"/>
              <w:left w:w="0" w:type="dxa"/>
              <w:bottom w:w="40" w:type="dxa"/>
              <w:right w:w="20" w:type="dxa"/>
            </w:tcMar>
            <w:vAlign w:val="bottom"/>
          </w:tcPr>
          <w:p w14:paraId="39D984B2" w14:textId="77777777" w:rsidR="00996AD7" w:rsidRDefault="00996AD7">
            <w:pPr>
              <w:jc w:val="right"/>
              <w:rPr>
                <w:rFonts w:ascii="宋体"/>
              </w:rPr>
            </w:pPr>
          </w:p>
        </w:tc>
        <w:tc>
          <w:tcPr>
            <w:tcW w:w="0" w:type="auto"/>
            <w:shd w:val="clear" w:color="auto" w:fill="auto"/>
            <w:vAlign w:val="bottom"/>
          </w:tcPr>
          <w:p w14:paraId="39D984B3" w14:textId="77777777" w:rsidR="00996AD7" w:rsidRDefault="00996AD7">
            <w:pPr>
              <w:rPr>
                <w:rFonts w:ascii="宋体"/>
                <w:vanish/>
              </w:rPr>
            </w:pPr>
          </w:p>
        </w:tc>
        <w:tc>
          <w:tcPr>
            <w:tcW w:w="0" w:type="auto"/>
            <w:shd w:val="clear" w:color="auto" w:fill="auto"/>
            <w:vAlign w:val="bottom"/>
          </w:tcPr>
          <w:p w14:paraId="39D984B4" w14:textId="77777777" w:rsidR="00996AD7" w:rsidRDefault="00996AD7">
            <w:pPr>
              <w:rPr>
                <w:rFonts w:ascii="宋体"/>
                <w:vanish/>
              </w:rPr>
            </w:pPr>
          </w:p>
        </w:tc>
      </w:tr>
      <w:tr w:rsidR="00996AD7" w14:paraId="39D984C2" w14:textId="77777777">
        <w:tc>
          <w:tcPr>
            <w:tcW w:w="0" w:type="auto"/>
            <w:gridSpan w:val="3"/>
            <w:shd w:val="clear" w:color="auto" w:fill="auto"/>
            <w:tcMar>
              <w:top w:w="40" w:type="dxa"/>
              <w:left w:w="140" w:type="dxa"/>
              <w:bottom w:w="40" w:type="dxa"/>
              <w:right w:w="20" w:type="dxa"/>
            </w:tcMar>
            <w:vAlign w:val="center"/>
          </w:tcPr>
          <w:p w14:paraId="39D984B6" w14:textId="77777777" w:rsidR="00996AD7" w:rsidRDefault="00D96458">
            <w:pPr>
              <w:textAlignment w:val="center"/>
            </w:pPr>
            <w:r>
              <w:rPr>
                <w:rFonts w:ascii="Arial" w:eastAsia="宋体" w:hAnsi="Arial" w:cs="Arial"/>
                <w:color w:val="262626"/>
                <w:sz w:val="18"/>
                <w:szCs w:val="18"/>
              </w:rPr>
              <w:t>2.00</w:t>
            </w:r>
            <w:r>
              <w:rPr>
                <w:rFonts w:ascii="Arial" w:eastAsia="宋体" w:hAnsi="Arial" w:cs="Arial"/>
                <w:color w:val="262626"/>
                <w:sz w:val="18"/>
                <w:szCs w:val="18"/>
              </w:rPr>
              <w:t>%, due August 2031</w:t>
            </w:r>
          </w:p>
        </w:tc>
        <w:tc>
          <w:tcPr>
            <w:tcW w:w="0" w:type="auto"/>
            <w:gridSpan w:val="3"/>
            <w:shd w:val="clear" w:color="auto" w:fill="auto"/>
            <w:tcMar>
              <w:top w:w="0" w:type="dxa"/>
              <w:left w:w="20" w:type="dxa"/>
              <w:bottom w:w="0" w:type="dxa"/>
              <w:right w:w="20" w:type="dxa"/>
            </w:tcMar>
            <w:vAlign w:val="bottom"/>
          </w:tcPr>
          <w:p w14:paraId="39D984B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B8" w14:textId="77777777" w:rsidR="00996AD7" w:rsidRDefault="00D96458">
            <w:pPr>
              <w:jc w:val="right"/>
              <w:textAlignment w:val="bottom"/>
            </w:pPr>
            <w:r>
              <w:rPr>
                <w:rFonts w:ascii="Arial" w:eastAsia="宋体" w:hAnsi="Arial" w:cs="Arial"/>
                <w:color w:val="0068B5"/>
                <w:sz w:val="18"/>
                <w:szCs w:val="18"/>
              </w:rPr>
              <w:t>2.04 </w:t>
            </w:r>
          </w:p>
        </w:tc>
        <w:tc>
          <w:tcPr>
            <w:tcW w:w="0" w:type="auto"/>
            <w:shd w:val="clear" w:color="auto" w:fill="auto"/>
            <w:tcMar>
              <w:top w:w="40" w:type="dxa"/>
              <w:left w:w="0" w:type="dxa"/>
              <w:bottom w:w="40" w:type="dxa"/>
              <w:right w:w="20" w:type="dxa"/>
            </w:tcMar>
            <w:vAlign w:val="bottom"/>
          </w:tcPr>
          <w:p w14:paraId="39D984B9"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B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BB" w14:textId="77777777" w:rsidR="00996AD7" w:rsidRDefault="00D96458">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39D984B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B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BE"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4BF" w14:textId="77777777" w:rsidR="00996AD7" w:rsidRDefault="00996AD7">
            <w:pPr>
              <w:jc w:val="right"/>
              <w:rPr>
                <w:rFonts w:ascii="宋体"/>
              </w:rPr>
            </w:pPr>
          </w:p>
        </w:tc>
        <w:tc>
          <w:tcPr>
            <w:tcW w:w="0" w:type="auto"/>
            <w:shd w:val="clear" w:color="auto" w:fill="auto"/>
            <w:vAlign w:val="bottom"/>
          </w:tcPr>
          <w:p w14:paraId="39D984C0" w14:textId="77777777" w:rsidR="00996AD7" w:rsidRDefault="00996AD7">
            <w:pPr>
              <w:rPr>
                <w:rFonts w:ascii="宋体"/>
                <w:vanish/>
              </w:rPr>
            </w:pPr>
          </w:p>
        </w:tc>
        <w:tc>
          <w:tcPr>
            <w:tcW w:w="0" w:type="auto"/>
            <w:shd w:val="clear" w:color="auto" w:fill="auto"/>
            <w:vAlign w:val="bottom"/>
          </w:tcPr>
          <w:p w14:paraId="39D984C1" w14:textId="77777777" w:rsidR="00996AD7" w:rsidRDefault="00996AD7">
            <w:pPr>
              <w:rPr>
                <w:rFonts w:ascii="宋体"/>
                <w:vanish/>
              </w:rPr>
            </w:pPr>
          </w:p>
        </w:tc>
      </w:tr>
      <w:tr w:rsidR="00996AD7" w14:paraId="39D984CF" w14:textId="77777777">
        <w:tc>
          <w:tcPr>
            <w:tcW w:w="0" w:type="auto"/>
            <w:gridSpan w:val="3"/>
            <w:shd w:val="clear" w:color="auto" w:fill="auto"/>
            <w:tcMar>
              <w:top w:w="40" w:type="dxa"/>
              <w:left w:w="140" w:type="dxa"/>
              <w:bottom w:w="40" w:type="dxa"/>
              <w:right w:w="20" w:type="dxa"/>
            </w:tcMar>
            <w:vAlign w:val="center"/>
          </w:tcPr>
          <w:p w14:paraId="39D984C3" w14:textId="77777777" w:rsidR="00996AD7" w:rsidRDefault="00D96458">
            <w:pPr>
              <w:textAlignment w:val="center"/>
            </w:pPr>
            <w:r>
              <w:rPr>
                <w:rFonts w:ascii="Arial" w:eastAsia="宋体" w:hAnsi="Arial" w:cs="Arial"/>
                <w:color w:val="262626"/>
                <w:sz w:val="18"/>
                <w:szCs w:val="18"/>
              </w:rPr>
              <w:t>4.00</w:t>
            </w:r>
            <w:r>
              <w:rPr>
                <w:rFonts w:ascii="Arial" w:eastAsia="宋体" w:hAnsi="Arial" w:cs="Arial"/>
                <w:color w:val="262626"/>
                <w:sz w:val="18"/>
                <w:szCs w:val="18"/>
              </w:rPr>
              <w:t>%, due December 2032</w:t>
            </w:r>
          </w:p>
        </w:tc>
        <w:tc>
          <w:tcPr>
            <w:tcW w:w="0" w:type="auto"/>
            <w:gridSpan w:val="3"/>
            <w:shd w:val="clear" w:color="auto" w:fill="auto"/>
            <w:tcMar>
              <w:top w:w="0" w:type="dxa"/>
              <w:left w:w="20" w:type="dxa"/>
              <w:bottom w:w="0" w:type="dxa"/>
              <w:right w:w="20" w:type="dxa"/>
            </w:tcMar>
            <w:vAlign w:val="bottom"/>
          </w:tcPr>
          <w:p w14:paraId="39D984C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C5" w14:textId="77777777" w:rsidR="00996AD7" w:rsidRDefault="00D96458">
            <w:pPr>
              <w:jc w:val="right"/>
              <w:textAlignment w:val="bottom"/>
            </w:pPr>
            <w:r>
              <w:rPr>
                <w:rFonts w:ascii="Arial" w:eastAsia="宋体" w:hAnsi="Arial" w:cs="Arial"/>
                <w:color w:val="0068B5"/>
                <w:sz w:val="18"/>
                <w:szCs w:val="18"/>
              </w:rPr>
              <w:t>1.25 </w:t>
            </w:r>
          </w:p>
        </w:tc>
        <w:tc>
          <w:tcPr>
            <w:tcW w:w="0" w:type="auto"/>
            <w:shd w:val="clear" w:color="auto" w:fill="auto"/>
            <w:tcMar>
              <w:top w:w="40" w:type="dxa"/>
              <w:left w:w="0" w:type="dxa"/>
              <w:bottom w:w="40" w:type="dxa"/>
              <w:right w:w="20" w:type="dxa"/>
            </w:tcMar>
            <w:vAlign w:val="bottom"/>
          </w:tcPr>
          <w:p w14:paraId="39D984C6"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C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C8" w14:textId="77777777" w:rsidR="00996AD7" w:rsidRDefault="00D96458">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39D984C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C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CB" w14:textId="77777777" w:rsidR="00996AD7" w:rsidRDefault="00D96458">
            <w:pPr>
              <w:jc w:val="right"/>
              <w:textAlignment w:val="bottom"/>
            </w:pPr>
            <w:r>
              <w:rPr>
                <w:rFonts w:ascii="Arial" w:eastAsia="宋体" w:hAnsi="Arial" w:cs="Arial"/>
                <w:color w:val="262626"/>
                <w:sz w:val="18"/>
                <w:szCs w:val="18"/>
              </w:rPr>
              <w:t>750 </w:t>
            </w:r>
          </w:p>
        </w:tc>
        <w:tc>
          <w:tcPr>
            <w:tcW w:w="0" w:type="auto"/>
            <w:shd w:val="clear" w:color="auto" w:fill="auto"/>
            <w:tcMar>
              <w:top w:w="40" w:type="dxa"/>
              <w:left w:w="0" w:type="dxa"/>
              <w:bottom w:w="40" w:type="dxa"/>
              <w:right w:w="20" w:type="dxa"/>
            </w:tcMar>
            <w:vAlign w:val="bottom"/>
          </w:tcPr>
          <w:p w14:paraId="39D984CC" w14:textId="77777777" w:rsidR="00996AD7" w:rsidRDefault="00996AD7">
            <w:pPr>
              <w:jc w:val="right"/>
              <w:rPr>
                <w:rFonts w:ascii="宋体"/>
              </w:rPr>
            </w:pPr>
          </w:p>
        </w:tc>
        <w:tc>
          <w:tcPr>
            <w:tcW w:w="0" w:type="auto"/>
            <w:shd w:val="clear" w:color="auto" w:fill="auto"/>
            <w:vAlign w:val="bottom"/>
          </w:tcPr>
          <w:p w14:paraId="39D984CD" w14:textId="77777777" w:rsidR="00996AD7" w:rsidRDefault="00996AD7">
            <w:pPr>
              <w:rPr>
                <w:rFonts w:ascii="宋体"/>
                <w:vanish/>
              </w:rPr>
            </w:pPr>
          </w:p>
        </w:tc>
        <w:tc>
          <w:tcPr>
            <w:tcW w:w="0" w:type="auto"/>
            <w:shd w:val="clear" w:color="auto" w:fill="auto"/>
            <w:vAlign w:val="bottom"/>
          </w:tcPr>
          <w:p w14:paraId="39D984CE" w14:textId="77777777" w:rsidR="00996AD7" w:rsidRDefault="00996AD7">
            <w:pPr>
              <w:rPr>
                <w:rFonts w:ascii="宋体"/>
                <w:vanish/>
              </w:rPr>
            </w:pPr>
          </w:p>
        </w:tc>
      </w:tr>
      <w:tr w:rsidR="00996AD7" w14:paraId="39D984DC" w14:textId="77777777">
        <w:tc>
          <w:tcPr>
            <w:tcW w:w="0" w:type="auto"/>
            <w:gridSpan w:val="3"/>
            <w:shd w:val="clear" w:color="auto" w:fill="auto"/>
            <w:tcMar>
              <w:top w:w="40" w:type="dxa"/>
              <w:left w:w="140" w:type="dxa"/>
              <w:bottom w:w="40" w:type="dxa"/>
              <w:right w:w="20" w:type="dxa"/>
            </w:tcMar>
            <w:vAlign w:val="center"/>
          </w:tcPr>
          <w:p w14:paraId="39D984D0" w14:textId="77777777" w:rsidR="00996AD7" w:rsidRDefault="00D96458">
            <w:pPr>
              <w:textAlignment w:val="center"/>
            </w:pPr>
            <w:r>
              <w:rPr>
                <w:rFonts w:ascii="Arial" w:eastAsia="宋体" w:hAnsi="Arial" w:cs="Arial"/>
                <w:color w:val="262626"/>
                <w:sz w:val="18"/>
                <w:szCs w:val="18"/>
              </w:rPr>
              <w:t>4.60</w:t>
            </w:r>
            <w:r>
              <w:rPr>
                <w:rFonts w:ascii="Arial" w:eastAsia="宋体" w:hAnsi="Arial" w:cs="Arial"/>
                <w:color w:val="262626"/>
                <w:sz w:val="18"/>
                <w:szCs w:val="18"/>
              </w:rPr>
              <w:t>%, due March 2040</w:t>
            </w:r>
          </w:p>
        </w:tc>
        <w:tc>
          <w:tcPr>
            <w:tcW w:w="0" w:type="auto"/>
            <w:gridSpan w:val="3"/>
            <w:shd w:val="clear" w:color="auto" w:fill="auto"/>
            <w:tcMar>
              <w:top w:w="0" w:type="dxa"/>
              <w:left w:w="20" w:type="dxa"/>
              <w:bottom w:w="0" w:type="dxa"/>
              <w:right w:w="20" w:type="dxa"/>
            </w:tcMar>
            <w:vAlign w:val="bottom"/>
          </w:tcPr>
          <w:p w14:paraId="39D984D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D2" w14:textId="77777777" w:rsidR="00996AD7" w:rsidRDefault="00D96458">
            <w:pPr>
              <w:jc w:val="right"/>
              <w:textAlignment w:val="bottom"/>
            </w:pPr>
            <w:r>
              <w:rPr>
                <w:rFonts w:ascii="Arial" w:eastAsia="宋体" w:hAnsi="Arial" w:cs="Arial"/>
                <w:color w:val="0068B5"/>
                <w:sz w:val="18"/>
                <w:szCs w:val="18"/>
              </w:rPr>
              <w:t>4.60 </w:t>
            </w:r>
          </w:p>
        </w:tc>
        <w:tc>
          <w:tcPr>
            <w:tcW w:w="0" w:type="auto"/>
            <w:shd w:val="clear" w:color="auto" w:fill="auto"/>
            <w:tcMar>
              <w:top w:w="40" w:type="dxa"/>
              <w:left w:w="0" w:type="dxa"/>
              <w:bottom w:w="40" w:type="dxa"/>
              <w:right w:w="20" w:type="dxa"/>
            </w:tcMar>
            <w:vAlign w:val="bottom"/>
          </w:tcPr>
          <w:p w14:paraId="39D984D3"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D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D5" w14:textId="77777777" w:rsidR="00996AD7" w:rsidRDefault="00D96458">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39D984D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D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D8" w14:textId="77777777" w:rsidR="00996AD7" w:rsidRDefault="00D96458">
            <w:pPr>
              <w:jc w:val="right"/>
              <w:textAlignment w:val="bottom"/>
            </w:pPr>
            <w:r>
              <w:rPr>
                <w:rFonts w:ascii="Arial" w:eastAsia="宋体" w:hAnsi="Arial" w:cs="Arial"/>
                <w:color w:val="262626"/>
                <w:sz w:val="18"/>
                <w:szCs w:val="18"/>
              </w:rPr>
              <w:t>750 </w:t>
            </w:r>
          </w:p>
        </w:tc>
        <w:tc>
          <w:tcPr>
            <w:tcW w:w="0" w:type="auto"/>
            <w:shd w:val="clear" w:color="auto" w:fill="auto"/>
            <w:tcMar>
              <w:top w:w="40" w:type="dxa"/>
              <w:left w:w="0" w:type="dxa"/>
              <w:bottom w:w="40" w:type="dxa"/>
              <w:right w:w="20" w:type="dxa"/>
            </w:tcMar>
            <w:vAlign w:val="bottom"/>
          </w:tcPr>
          <w:p w14:paraId="39D984D9" w14:textId="77777777" w:rsidR="00996AD7" w:rsidRDefault="00996AD7">
            <w:pPr>
              <w:jc w:val="right"/>
              <w:rPr>
                <w:rFonts w:ascii="宋体"/>
              </w:rPr>
            </w:pPr>
          </w:p>
        </w:tc>
        <w:tc>
          <w:tcPr>
            <w:tcW w:w="0" w:type="auto"/>
            <w:shd w:val="clear" w:color="auto" w:fill="auto"/>
            <w:vAlign w:val="bottom"/>
          </w:tcPr>
          <w:p w14:paraId="39D984DA" w14:textId="77777777" w:rsidR="00996AD7" w:rsidRDefault="00996AD7">
            <w:pPr>
              <w:rPr>
                <w:rFonts w:ascii="宋体"/>
                <w:vanish/>
              </w:rPr>
            </w:pPr>
          </w:p>
        </w:tc>
        <w:tc>
          <w:tcPr>
            <w:tcW w:w="0" w:type="auto"/>
            <w:shd w:val="clear" w:color="auto" w:fill="auto"/>
            <w:vAlign w:val="bottom"/>
          </w:tcPr>
          <w:p w14:paraId="39D984DB" w14:textId="77777777" w:rsidR="00996AD7" w:rsidRDefault="00996AD7">
            <w:pPr>
              <w:rPr>
                <w:rFonts w:ascii="宋体"/>
                <w:vanish/>
              </w:rPr>
            </w:pPr>
          </w:p>
        </w:tc>
      </w:tr>
      <w:tr w:rsidR="00996AD7" w14:paraId="39D984E9" w14:textId="77777777">
        <w:tc>
          <w:tcPr>
            <w:tcW w:w="0" w:type="auto"/>
            <w:gridSpan w:val="3"/>
            <w:shd w:val="clear" w:color="auto" w:fill="auto"/>
            <w:tcMar>
              <w:top w:w="40" w:type="dxa"/>
              <w:left w:w="140" w:type="dxa"/>
              <w:bottom w:w="40" w:type="dxa"/>
              <w:right w:w="20" w:type="dxa"/>
            </w:tcMar>
            <w:vAlign w:val="center"/>
          </w:tcPr>
          <w:p w14:paraId="39D984DD" w14:textId="77777777" w:rsidR="00996AD7" w:rsidRDefault="00D96458">
            <w:pPr>
              <w:textAlignment w:val="center"/>
            </w:pPr>
            <w:r>
              <w:rPr>
                <w:rFonts w:ascii="Arial" w:eastAsia="宋体" w:hAnsi="Arial" w:cs="Arial"/>
                <w:color w:val="262626"/>
                <w:sz w:val="18"/>
                <w:szCs w:val="18"/>
              </w:rPr>
              <w:t>2.80%, due August 2041</w:t>
            </w:r>
          </w:p>
        </w:tc>
        <w:tc>
          <w:tcPr>
            <w:tcW w:w="0" w:type="auto"/>
            <w:gridSpan w:val="3"/>
            <w:shd w:val="clear" w:color="auto" w:fill="auto"/>
            <w:tcMar>
              <w:top w:w="0" w:type="dxa"/>
              <w:left w:w="20" w:type="dxa"/>
              <w:bottom w:w="0" w:type="dxa"/>
              <w:right w:w="20" w:type="dxa"/>
            </w:tcMar>
            <w:vAlign w:val="bottom"/>
          </w:tcPr>
          <w:p w14:paraId="39D984D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DF" w14:textId="77777777" w:rsidR="00996AD7" w:rsidRDefault="00D96458">
            <w:pPr>
              <w:jc w:val="right"/>
              <w:textAlignment w:val="bottom"/>
            </w:pPr>
            <w:r>
              <w:rPr>
                <w:rFonts w:ascii="Arial" w:eastAsia="宋体" w:hAnsi="Arial" w:cs="Arial"/>
                <w:color w:val="0068B5"/>
                <w:sz w:val="18"/>
                <w:szCs w:val="18"/>
              </w:rPr>
              <w:t>2.82 </w:t>
            </w:r>
          </w:p>
        </w:tc>
        <w:tc>
          <w:tcPr>
            <w:tcW w:w="0" w:type="auto"/>
            <w:shd w:val="clear" w:color="auto" w:fill="auto"/>
            <w:tcMar>
              <w:top w:w="40" w:type="dxa"/>
              <w:left w:w="0" w:type="dxa"/>
              <w:bottom w:w="40" w:type="dxa"/>
              <w:right w:w="20" w:type="dxa"/>
            </w:tcMar>
            <w:vAlign w:val="bottom"/>
          </w:tcPr>
          <w:p w14:paraId="39D984E0"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E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E2" w14:textId="77777777" w:rsidR="00996AD7" w:rsidRDefault="00D96458">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39D984E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E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E5"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4E6" w14:textId="77777777" w:rsidR="00996AD7" w:rsidRDefault="00996AD7">
            <w:pPr>
              <w:jc w:val="right"/>
              <w:rPr>
                <w:rFonts w:ascii="宋体"/>
              </w:rPr>
            </w:pPr>
          </w:p>
        </w:tc>
        <w:tc>
          <w:tcPr>
            <w:tcW w:w="0" w:type="auto"/>
            <w:shd w:val="clear" w:color="auto" w:fill="auto"/>
            <w:vAlign w:val="bottom"/>
          </w:tcPr>
          <w:p w14:paraId="39D984E7" w14:textId="77777777" w:rsidR="00996AD7" w:rsidRDefault="00996AD7">
            <w:pPr>
              <w:rPr>
                <w:rFonts w:ascii="宋体"/>
                <w:vanish/>
              </w:rPr>
            </w:pPr>
          </w:p>
        </w:tc>
        <w:tc>
          <w:tcPr>
            <w:tcW w:w="0" w:type="auto"/>
            <w:shd w:val="clear" w:color="auto" w:fill="auto"/>
            <w:vAlign w:val="bottom"/>
          </w:tcPr>
          <w:p w14:paraId="39D984E8" w14:textId="77777777" w:rsidR="00996AD7" w:rsidRDefault="00996AD7">
            <w:pPr>
              <w:rPr>
                <w:rFonts w:ascii="宋体"/>
                <w:vanish/>
              </w:rPr>
            </w:pPr>
          </w:p>
        </w:tc>
      </w:tr>
      <w:tr w:rsidR="00996AD7" w14:paraId="39D984F6" w14:textId="77777777">
        <w:tc>
          <w:tcPr>
            <w:tcW w:w="0" w:type="auto"/>
            <w:gridSpan w:val="3"/>
            <w:shd w:val="clear" w:color="auto" w:fill="auto"/>
            <w:tcMar>
              <w:top w:w="40" w:type="dxa"/>
              <w:left w:w="140" w:type="dxa"/>
              <w:bottom w:w="40" w:type="dxa"/>
              <w:right w:w="20" w:type="dxa"/>
            </w:tcMar>
            <w:vAlign w:val="center"/>
          </w:tcPr>
          <w:p w14:paraId="39D984EA" w14:textId="77777777" w:rsidR="00996AD7" w:rsidRDefault="00D96458">
            <w:pPr>
              <w:textAlignment w:val="center"/>
            </w:pPr>
            <w:r>
              <w:rPr>
                <w:rFonts w:ascii="Arial" w:eastAsia="宋体" w:hAnsi="Arial" w:cs="Arial"/>
                <w:color w:val="262626"/>
                <w:sz w:val="18"/>
                <w:szCs w:val="18"/>
              </w:rPr>
              <w:t>4.80</w:t>
            </w:r>
            <w:r>
              <w:rPr>
                <w:rFonts w:ascii="Arial" w:eastAsia="宋体" w:hAnsi="Arial" w:cs="Arial"/>
                <w:color w:val="262626"/>
                <w:sz w:val="18"/>
                <w:szCs w:val="18"/>
              </w:rPr>
              <w:t>%, due October 2041</w:t>
            </w:r>
          </w:p>
        </w:tc>
        <w:tc>
          <w:tcPr>
            <w:tcW w:w="0" w:type="auto"/>
            <w:gridSpan w:val="3"/>
            <w:shd w:val="clear" w:color="auto" w:fill="auto"/>
            <w:tcMar>
              <w:top w:w="0" w:type="dxa"/>
              <w:left w:w="20" w:type="dxa"/>
              <w:bottom w:w="0" w:type="dxa"/>
              <w:right w:w="20" w:type="dxa"/>
            </w:tcMar>
            <w:vAlign w:val="bottom"/>
          </w:tcPr>
          <w:p w14:paraId="39D984E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EC" w14:textId="77777777" w:rsidR="00996AD7" w:rsidRDefault="00D96458">
            <w:pPr>
              <w:jc w:val="right"/>
              <w:textAlignment w:val="bottom"/>
            </w:pPr>
            <w:r>
              <w:rPr>
                <w:rFonts w:ascii="Arial" w:eastAsia="宋体" w:hAnsi="Arial" w:cs="Arial"/>
                <w:color w:val="0068B5"/>
                <w:sz w:val="18"/>
                <w:szCs w:val="18"/>
              </w:rPr>
              <w:t>2.02 </w:t>
            </w:r>
          </w:p>
        </w:tc>
        <w:tc>
          <w:tcPr>
            <w:tcW w:w="0" w:type="auto"/>
            <w:shd w:val="clear" w:color="auto" w:fill="auto"/>
            <w:tcMar>
              <w:top w:w="40" w:type="dxa"/>
              <w:left w:w="0" w:type="dxa"/>
              <w:bottom w:w="40" w:type="dxa"/>
              <w:right w:w="20" w:type="dxa"/>
            </w:tcMar>
            <w:vAlign w:val="bottom"/>
          </w:tcPr>
          <w:p w14:paraId="39D984ED"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E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EF" w14:textId="77777777" w:rsidR="00996AD7" w:rsidRDefault="00D96458">
            <w:pPr>
              <w:jc w:val="right"/>
              <w:textAlignment w:val="bottom"/>
            </w:pPr>
            <w:r>
              <w:rPr>
                <w:rFonts w:ascii="Arial" w:eastAsia="宋体" w:hAnsi="Arial" w:cs="Arial"/>
                <w:color w:val="0068B5"/>
                <w:sz w:val="18"/>
                <w:szCs w:val="18"/>
              </w:rPr>
              <w:t>802 </w:t>
            </w:r>
          </w:p>
        </w:tc>
        <w:tc>
          <w:tcPr>
            <w:tcW w:w="0" w:type="auto"/>
            <w:shd w:val="clear" w:color="auto" w:fill="auto"/>
            <w:tcMar>
              <w:top w:w="40" w:type="dxa"/>
              <w:left w:w="0" w:type="dxa"/>
              <w:bottom w:w="40" w:type="dxa"/>
              <w:right w:w="20" w:type="dxa"/>
            </w:tcMar>
            <w:vAlign w:val="bottom"/>
          </w:tcPr>
          <w:p w14:paraId="39D984F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F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F2" w14:textId="77777777" w:rsidR="00996AD7" w:rsidRDefault="00D96458">
            <w:pPr>
              <w:jc w:val="right"/>
              <w:textAlignment w:val="bottom"/>
            </w:pPr>
            <w:r>
              <w:rPr>
                <w:rFonts w:ascii="Arial" w:eastAsia="宋体" w:hAnsi="Arial" w:cs="Arial"/>
                <w:color w:val="262626"/>
                <w:sz w:val="18"/>
                <w:szCs w:val="18"/>
              </w:rPr>
              <w:t>802 </w:t>
            </w:r>
          </w:p>
        </w:tc>
        <w:tc>
          <w:tcPr>
            <w:tcW w:w="0" w:type="auto"/>
            <w:shd w:val="clear" w:color="auto" w:fill="auto"/>
            <w:tcMar>
              <w:top w:w="40" w:type="dxa"/>
              <w:left w:w="0" w:type="dxa"/>
              <w:bottom w:w="40" w:type="dxa"/>
              <w:right w:w="20" w:type="dxa"/>
            </w:tcMar>
            <w:vAlign w:val="bottom"/>
          </w:tcPr>
          <w:p w14:paraId="39D984F3" w14:textId="77777777" w:rsidR="00996AD7" w:rsidRDefault="00996AD7">
            <w:pPr>
              <w:jc w:val="right"/>
              <w:rPr>
                <w:rFonts w:ascii="宋体"/>
              </w:rPr>
            </w:pPr>
          </w:p>
        </w:tc>
        <w:tc>
          <w:tcPr>
            <w:tcW w:w="0" w:type="auto"/>
            <w:shd w:val="clear" w:color="auto" w:fill="auto"/>
            <w:vAlign w:val="bottom"/>
          </w:tcPr>
          <w:p w14:paraId="39D984F4" w14:textId="77777777" w:rsidR="00996AD7" w:rsidRDefault="00996AD7">
            <w:pPr>
              <w:rPr>
                <w:rFonts w:ascii="宋体"/>
                <w:vanish/>
              </w:rPr>
            </w:pPr>
          </w:p>
        </w:tc>
        <w:tc>
          <w:tcPr>
            <w:tcW w:w="0" w:type="auto"/>
            <w:shd w:val="clear" w:color="auto" w:fill="auto"/>
            <w:vAlign w:val="bottom"/>
          </w:tcPr>
          <w:p w14:paraId="39D984F5" w14:textId="77777777" w:rsidR="00996AD7" w:rsidRDefault="00996AD7">
            <w:pPr>
              <w:rPr>
                <w:rFonts w:ascii="宋体"/>
                <w:vanish/>
              </w:rPr>
            </w:pPr>
          </w:p>
        </w:tc>
      </w:tr>
      <w:tr w:rsidR="00996AD7" w14:paraId="39D98503" w14:textId="77777777">
        <w:tc>
          <w:tcPr>
            <w:tcW w:w="0" w:type="auto"/>
            <w:gridSpan w:val="3"/>
            <w:shd w:val="clear" w:color="auto" w:fill="auto"/>
            <w:tcMar>
              <w:top w:w="40" w:type="dxa"/>
              <w:left w:w="140" w:type="dxa"/>
              <w:bottom w:w="40" w:type="dxa"/>
              <w:right w:w="20" w:type="dxa"/>
            </w:tcMar>
            <w:vAlign w:val="center"/>
          </w:tcPr>
          <w:p w14:paraId="39D984F7" w14:textId="77777777" w:rsidR="00996AD7" w:rsidRDefault="00D96458">
            <w:pPr>
              <w:textAlignment w:val="center"/>
            </w:pPr>
            <w:r>
              <w:rPr>
                <w:rFonts w:ascii="Arial" w:eastAsia="宋体" w:hAnsi="Arial" w:cs="Arial"/>
                <w:color w:val="262626"/>
                <w:sz w:val="18"/>
                <w:szCs w:val="18"/>
              </w:rPr>
              <w:t>4.25</w:t>
            </w:r>
            <w:r>
              <w:rPr>
                <w:rFonts w:ascii="Arial" w:eastAsia="宋体" w:hAnsi="Arial" w:cs="Arial"/>
                <w:color w:val="262626"/>
                <w:sz w:val="18"/>
                <w:szCs w:val="18"/>
              </w:rPr>
              <w:t>%, due December 2042</w:t>
            </w:r>
          </w:p>
        </w:tc>
        <w:tc>
          <w:tcPr>
            <w:tcW w:w="0" w:type="auto"/>
            <w:gridSpan w:val="3"/>
            <w:shd w:val="clear" w:color="auto" w:fill="auto"/>
            <w:tcMar>
              <w:top w:w="0" w:type="dxa"/>
              <w:left w:w="20" w:type="dxa"/>
              <w:bottom w:w="0" w:type="dxa"/>
              <w:right w:w="20" w:type="dxa"/>
            </w:tcMar>
            <w:vAlign w:val="bottom"/>
          </w:tcPr>
          <w:p w14:paraId="39D984F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F9" w14:textId="77777777" w:rsidR="00996AD7" w:rsidRDefault="00D96458">
            <w:pPr>
              <w:jc w:val="right"/>
              <w:textAlignment w:val="bottom"/>
            </w:pPr>
            <w:r>
              <w:rPr>
                <w:rFonts w:ascii="Arial" w:eastAsia="宋体" w:hAnsi="Arial" w:cs="Arial"/>
                <w:color w:val="0068B5"/>
                <w:sz w:val="18"/>
                <w:szCs w:val="18"/>
              </w:rPr>
              <w:t>1.42 </w:t>
            </w:r>
          </w:p>
        </w:tc>
        <w:tc>
          <w:tcPr>
            <w:tcW w:w="0" w:type="auto"/>
            <w:shd w:val="clear" w:color="auto" w:fill="auto"/>
            <w:tcMar>
              <w:top w:w="40" w:type="dxa"/>
              <w:left w:w="0" w:type="dxa"/>
              <w:bottom w:w="40" w:type="dxa"/>
              <w:right w:w="20" w:type="dxa"/>
            </w:tcMar>
            <w:vAlign w:val="bottom"/>
          </w:tcPr>
          <w:p w14:paraId="39D984FA"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4F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FC" w14:textId="77777777" w:rsidR="00996AD7" w:rsidRDefault="00D96458">
            <w:pPr>
              <w:jc w:val="right"/>
              <w:textAlignment w:val="bottom"/>
            </w:pPr>
            <w:r>
              <w:rPr>
                <w:rFonts w:ascii="Arial" w:eastAsia="宋体" w:hAnsi="Arial" w:cs="Arial"/>
                <w:color w:val="0068B5"/>
                <w:sz w:val="18"/>
                <w:szCs w:val="18"/>
              </w:rPr>
              <w:t>567 </w:t>
            </w:r>
          </w:p>
        </w:tc>
        <w:tc>
          <w:tcPr>
            <w:tcW w:w="0" w:type="auto"/>
            <w:shd w:val="clear" w:color="auto" w:fill="auto"/>
            <w:tcMar>
              <w:top w:w="40" w:type="dxa"/>
              <w:left w:w="0" w:type="dxa"/>
              <w:bottom w:w="40" w:type="dxa"/>
              <w:right w:w="20" w:type="dxa"/>
            </w:tcMar>
            <w:vAlign w:val="bottom"/>
          </w:tcPr>
          <w:p w14:paraId="39D984F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4F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4FF" w14:textId="77777777" w:rsidR="00996AD7" w:rsidRDefault="00D96458">
            <w:pPr>
              <w:jc w:val="right"/>
              <w:textAlignment w:val="bottom"/>
            </w:pPr>
            <w:r>
              <w:rPr>
                <w:rFonts w:ascii="Arial" w:eastAsia="宋体" w:hAnsi="Arial" w:cs="Arial"/>
                <w:color w:val="262626"/>
                <w:sz w:val="18"/>
                <w:szCs w:val="18"/>
              </w:rPr>
              <w:t>567 </w:t>
            </w:r>
          </w:p>
        </w:tc>
        <w:tc>
          <w:tcPr>
            <w:tcW w:w="0" w:type="auto"/>
            <w:shd w:val="clear" w:color="auto" w:fill="auto"/>
            <w:tcMar>
              <w:top w:w="40" w:type="dxa"/>
              <w:left w:w="0" w:type="dxa"/>
              <w:bottom w:w="40" w:type="dxa"/>
              <w:right w:w="20" w:type="dxa"/>
            </w:tcMar>
            <w:vAlign w:val="bottom"/>
          </w:tcPr>
          <w:p w14:paraId="39D98500" w14:textId="77777777" w:rsidR="00996AD7" w:rsidRDefault="00996AD7">
            <w:pPr>
              <w:jc w:val="right"/>
              <w:rPr>
                <w:rFonts w:ascii="宋体"/>
              </w:rPr>
            </w:pPr>
          </w:p>
        </w:tc>
        <w:tc>
          <w:tcPr>
            <w:tcW w:w="0" w:type="auto"/>
            <w:shd w:val="clear" w:color="auto" w:fill="auto"/>
            <w:vAlign w:val="bottom"/>
          </w:tcPr>
          <w:p w14:paraId="39D98501" w14:textId="77777777" w:rsidR="00996AD7" w:rsidRDefault="00996AD7">
            <w:pPr>
              <w:rPr>
                <w:rFonts w:ascii="宋体"/>
                <w:vanish/>
              </w:rPr>
            </w:pPr>
          </w:p>
        </w:tc>
        <w:tc>
          <w:tcPr>
            <w:tcW w:w="0" w:type="auto"/>
            <w:shd w:val="clear" w:color="auto" w:fill="auto"/>
            <w:vAlign w:val="bottom"/>
          </w:tcPr>
          <w:p w14:paraId="39D98502" w14:textId="77777777" w:rsidR="00996AD7" w:rsidRDefault="00996AD7">
            <w:pPr>
              <w:rPr>
                <w:rFonts w:ascii="宋体"/>
                <w:vanish/>
              </w:rPr>
            </w:pPr>
          </w:p>
        </w:tc>
      </w:tr>
      <w:tr w:rsidR="00996AD7" w14:paraId="39D98510" w14:textId="77777777">
        <w:tc>
          <w:tcPr>
            <w:tcW w:w="0" w:type="auto"/>
            <w:gridSpan w:val="3"/>
            <w:shd w:val="clear" w:color="auto" w:fill="auto"/>
            <w:tcMar>
              <w:top w:w="40" w:type="dxa"/>
              <w:left w:w="140" w:type="dxa"/>
              <w:bottom w:w="40" w:type="dxa"/>
              <w:right w:w="20" w:type="dxa"/>
            </w:tcMar>
            <w:vAlign w:val="center"/>
          </w:tcPr>
          <w:p w14:paraId="39D98504" w14:textId="77777777" w:rsidR="00996AD7" w:rsidRDefault="00D96458">
            <w:pPr>
              <w:textAlignment w:val="center"/>
            </w:pPr>
            <w:r>
              <w:rPr>
                <w:rFonts w:ascii="Arial" w:eastAsia="宋体" w:hAnsi="Arial" w:cs="Arial"/>
                <w:color w:val="262626"/>
                <w:sz w:val="18"/>
                <w:szCs w:val="18"/>
              </w:rPr>
              <w:t>4.90</w:t>
            </w:r>
            <w:r>
              <w:rPr>
                <w:rFonts w:ascii="Arial" w:eastAsia="宋体" w:hAnsi="Arial" w:cs="Arial"/>
                <w:color w:val="262626"/>
                <w:sz w:val="18"/>
                <w:szCs w:val="18"/>
              </w:rPr>
              <w:t>%, due July 2045</w:t>
            </w:r>
          </w:p>
        </w:tc>
        <w:tc>
          <w:tcPr>
            <w:tcW w:w="0" w:type="auto"/>
            <w:gridSpan w:val="3"/>
            <w:shd w:val="clear" w:color="auto" w:fill="auto"/>
            <w:tcMar>
              <w:top w:w="0" w:type="dxa"/>
              <w:left w:w="20" w:type="dxa"/>
              <w:bottom w:w="0" w:type="dxa"/>
              <w:right w:w="20" w:type="dxa"/>
            </w:tcMar>
            <w:vAlign w:val="bottom"/>
          </w:tcPr>
          <w:p w14:paraId="39D9850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06" w14:textId="77777777" w:rsidR="00996AD7" w:rsidRDefault="00D96458">
            <w:pPr>
              <w:jc w:val="right"/>
              <w:textAlignment w:val="bottom"/>
            </w:pPr>
            <w:r>
              <w:rPr>
                <w:rFonts w:ascii="Arial" w:eastAsia="宋体" w:hAnsi="Arial" w:cs="Arial"/>
                <w:color w:val="0068B5"/>
                <w:sz w:val="18"/>
                <w:szCs w:val="18"/>
              </w:rPr>
              <w:t>2.12 </w:t>
            </w:r>
          </w:p>
        </w:tc>
        <w:tc>
          <w:tcPr>
            <w:tcW w:w="0" w:type="auto"/>
            <w:shd w:val="clear" w:color="auto" w:fill="auto"/>
            <w:tcMar>
              <w:top w:w="40" w:type="dxa"/>
              <w:left w:w="0" w:type="dxa"/>
              <w:bottom w:w="40" w:type="dxa"/>
              <w:right w:w="20" w:type="dxa"/>
            </w:tcMar>
            <w:vAlign w:val="bottom"/>
          </w:tcPr>
          <w:p w14:paraId="39D98507"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0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09" w14:textId="77777777" w:rsidR="00996AD7" w:rsidRDefault="00D96458">
            <w:pPr>
              <w:jc w:val="right"/>
              <w:textAlignment w:val="bottom"/>
            </w:pPr>
            <w:r>
              <w:rPr>
                <w:rFonts w:ascii="Arial" w:eastAsia="宋体" w:hAnsi="Arial" w:cs="Arial"/>
                <w:color w:val="0068B5"/>
                <w:sz w:val="18"/>
                <w:szCs w:val="18"/>
              </w:rPr>
              <w:t>772 </w:t>
            </w:r>
          </w:p>
        </w:tc>
        <w:tc>
          <w:tcPr>
            <w:tcW w:w="0" w:type="auto"/>
            <w:shd w:val="clear" w:color="auto" w:fill="auto"/>
            <w:tcMar>
              <w:top w:w="40" w:type="dxa"/>
              <w:left w:w="0" w:type="dxa"/>
              <w:bottom w:w="40" w:type="dxa"/>
              <w:right w:w="20" w:type="dxa"/>
            </w:tcMar>
            <w:vAlign w:val="bottom"/>
          </w:tcPr>
          <w:p w14:paraId="39D9850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0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0C" w14:textId="77777777" w:rsidR="00996AD7" w:rsidRDefault="00D96458">
            <w:pPr>
              <w:jc w:val="right"/>
              <w:textAlignment w:val="bottom"/>
            </w:pPr>
            <w:r>
              <w:rPr>
                <w:rFonts w:ascii="Arial" w:eastAsia="宋体" w:hAnsi="Arial" w:cs="Arial"/>
                <w:color w:val="262626"/>
                <w:sz w:val="18"/>
                <w:szCs w:val="18"/>
              </w:rPr>
              <w:t>772 </w:t>
            </w:r>
          </w:p>
        </w:tc>
        <w:tc>
          <w:tcPr>
            <w:tcW w:w="0" w:type="auto"/>
            <w:shd w:val="clear" w:color="auto" w:fill="auto"/>
            <w:tcMar>
              <w:top w:w="40" w:type="dxa"/>
              <w:left w:w="0" w:type="dxa"/>
              <w:bottom w:w="40" w:type="dxa"/>
              <w:right w:w="20" w:type="dxa"/>
            </w:tcMar>
            <w:vAlign w:val="bottom"/>
          </w:tcPr>
          <w:p w14:paraId="39D9850D" w14:textId="77777777" w:rsidR="00996AD7" w:rsidRDefault="00996AD7">
            <w:pPr>
              <w:jc w:val="right"/>
              <w:rPr>
                <w:rFonts w:ascii="宋体"/>
              </w:rPr>
            </w:pPr>
          </w:p>
        </w:tc>
        <w:tc>
          <w:tcPr>
            <w:tcW w:w="0" w:type="auto"/>
            <w:shd w:val="clear" w:color="auto" w:fill="auto"/>
            <w:vAlign w:val="bottom"/>
          </w:tcPr>
          <w:p w14:paraId="39D9850E" w14:textId="77777777" w:rsidR="00996AD7" w:rsidRDefault="00996AD7">
            <w:pPr>
              <w:rPr>
                <w:rFonts w:ascii="宋体"/>
                <w:vanish/>
              </w:rPr>
            </w:pPr>
          </w:p>
        </w:tc>
        <w:tc>
          <w:tcPr>
            <w:tcW w:w="0" w:type="auto"/>
            <w:shd w:val="clear" w:color="auto" w:fill="auto"/>
            <w:vAlign w:val="bottom"/>
          </w:tcPr>
          <w:p w14:paraId="39D9850F" w14:textId="77777777" w:rsidR="00996AD7" w:rsidRDefault="00996AD7">
            <w:pPr>
              <w:rPr>
                <w:rFonts w:ascii="宋体"/>
                <w:vanish/>
              </w:rPr>
            </w:pPr>
          </w:p>
        </w:tc>
      </w:tr>
      <w:tr w:rsidR="00996AD7" w14:paraId="39D9851D" w14:textId="77777777">
        <w:tc>
          <w:tcPr>
            <w:tcW w:w="0" w:type="auto"/>
            <w:gridSpan w:val="3"/>
            <w:shd w:val="clear" w:color="auto" w:fill="auto"/>
            <w:tcMar>
              <w:top w:w="40" w:type="dxa"/>
              <w:left w:w="140" w:type="dxa"/>
              <w:bottom w:w="40" w:type="dxa"/>
              <w:right w:w="20" w:type="dxa"/>
            </w:tcMar>
            <w:vAlign w:val="center"/>
          </w:tcPr>
          <w:p w14:paraId="39D98511" w14:textId="77777777" w:rsidR="00996AD7" w:rsidRDefault="00D96458">
            <w:pPr>
              <w:textAlignment w:val="center"/>
            </w:pPr>
            <w:r>
              <w:rPr>
                <w:rFonts w:ascii="Arial" w:eastAsia="宋体" w:hAnsi="Arial" w:cs="Arial"/>
                <w:color w:val="262626"/>
                <w:sz w:val="18"/>
                <w:szCs w:val="18"/>
              </w:rPr>
              <w:t>4.10</w:t>
            </w:r>
            <w:r>
              <w:rPr>
                <w:rFonts w:ascii="Arial" w:eastAsia="宋体" w:hAnsi="Arial" w:cs="Arial"/>
                <w:color w:val="262626"/>
                <w:sz w:val="18"/>
                <w:szCs w:val="18"/>
              </w:rPr>
              <w:t>%, due May 2046</w:t>
            </w:r>
          </w:p>
        </w:tc>
        <w:tc>
          <w:tcPr>
            <w:tcW w:w="0" w:type="auto"/>
            <w:gridSpan w:val="3"/>
            <w:shd w:val="clear" w:color="auto" w:fill="auto"/>
            <w:tcMar>
              <w:top w:w="0" w:type="dxa"/>
              <w:left w:w="20" w:type="dxa"/>
              <w:bottom w:w="0" w:type="dxa"/>
              <w:right w:w="20" w:type="dxa"/>
            </w:tcMar>
            <w:vAlign w:val="bottom"/>
          </w:tcPr>
          <w:p w14:paraId="39D9851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13" w14:textId="77777777" w:rsidR="00996AD7" w:rsidRDefault="00D96458">
            <w:pPr>
              <w:jc w:val="right"/>
              <w:textAlignment w:val="bottom"/>
            </w:pPr>
            <w:r>
              <w:rPr>
                <w:rFonts w:ascii="Arial" w:eastAsia="宋体" w:hAnsi="Arial" w:cs="Arial"/>
                <w:color w:val="0068B5"/>
                <w:sz w:val="18"/>
                <w:szCs w:val="18"/>
              </w:rPr>
              <w:t>1.41 </w:t>
            </w:r>
          </w:p>
        </w:tc>
        <w:tc>
          <w:tcPr>
            <w:tcW w:w="0" w:type="auto"/>
            <w:shd w:val="clear" w:color="auto" w:fill="auto"/>
            <w:tcMar>
              <w:top w:w="40" w:type="dxa"/>
              <w:left w:w="0" w:type="dxa"/>
              <w:bottom w:w="40" w:type="dxa"/>
              <w:right w:w="20" w:type="dxa"/>
            </w:tcMar>
            <w:vAlign w:val="bottom"/>
          </w:tcPr>
          <w:p w14:paraId="39D98514"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1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16" w14:textId="77777777" w:rsidR="00996AD7" w:rsidRDefault="00D96458">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39D9851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1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19" w14:textId="77777777" w:rsidR="00996AD7" w:rsidRDefault="00D96458">
            <w:pPr>
              <w:jc w:val="right"/>
              <w:textAlignment w:val="bottom"/>
            </w:pPr>
            <w:r>
              <w:rPr>
                <w:rFonts w:ascii="Arial" w:eastAsia="宋体" w:hAnsi="Arial" w:cs="Arial"/>
                <w:color w:val="262626"/>
                <w:sz w:val="18"/>
                <w:szCs w:val="18"/>
              </w:rPr>
              <w:t>1,250 </w:t>
            </w:r>
          </w:p>
        </w:tc>
        <w:tc>
          <w:tcPr>
            <w:tcW w:w="0" w:type="auto"/>
            <w:shd w:val="clear" w:color="auto" w:fill="auto"/>
            <w:tcMar>
              <w:top w:w="40" w:type="dxa"/>
              <w:left w:w="0" w:type="dxa"/>
              <w:bottom w:w="40" w:type="dxa"/>
              <w:right w:w="20" w:type="dxa"/>
            </w:tcMar>
            <w:vAlign w:val="bottom"/>
          </w:tcPr>
          <w:p w14:paraId="39D9851A" w14:textId="77777777" w:rsidR="00996AD7" w:rsidRDefault="00996AD7">
            <w:pPr>
              <w:jc w:val="right"/>
              <w:rPr>
                <w:rFonts w:ascii="宋体"/>
              </w:rPr>
            </w:pPr>
          </w:p>
        </w:tc>
        <w:tc>
          <w:tcPr>
            <w:tcW w:w="0" w:type="auto"/>
            <w:shd w:val="clear" w:color="auto" w:fill="auto"/>
            <w:vAlign w:val="bottom"/>
          </w:tcPr>
          <w:p w14:paraId="39D9851B" w14:textId="77777777" w:rsidR="00996AD7" w:rsidRDefault="00996AD7">
            <w:pPr>
              <w:rPr>
                <w:rFonts w:ascii="宋体"/>
                <w:vanish/>
              </w:rPr>
            </w:pPr>
          </w:p>
        </w:tc>
        <w:tc>
          <w:tcPr>
            <w:tcW w:w="0" w:type="auto"/>
            <w:shd w:val="clear" w:color="auto" w:fill="auto"/>
            <w:vAlign w:val="bottom"/>
          </w:tcPr>
          <w:p w14:paraId="39D9851C" w14:textId="77777777" w:rsidR="00996AD7" w:rsidRDefault="00996AD7">
            <w:pPr>
              <w:rPr>
                <w:rFonts w:ascii="宋体"/>
                <w:vanish/>
              </w:rPr>
            </w:pPr>
          </w:p>
        </w:tc>
      </w:tr>
      <w:tr w:rsidR="00996AD7" w14:paraId="39D9852A" w14:textId="77777777">
        <w:tc>
          <w:tcPr>
            <w:tcW w:w="0" w:type="auto"/>
            <w:gridSpan w:val="3"/>
            <w:shd w:val="clear" w:color="auto" w:fill="auto"/>
            <w:tcMar>
              <w:top w:w="40" w:type="dxa"/>
              <w:left w:w="140" w:type="dxa"/>
              <w:bottom w:w="40" w:type="dxa"/>
              <w:right w:w="20" w:type="dxa"/>
            </w:tcMar>
            <w:vAlign w:val="center"/>
          </w:tcPr>
          <w:p w14:paraId="39D9851E" w14:textId="77777777" w:rsidR="00996AD7" w:rsidRDefault="00D96458">
            <w:pPr>
              <w:textAlignment w:val="center"/>
            </w:pPr>
            <w:r>
              <w:rPr>
                <w:rFonts w:ascii="Arial" w:eastAsia="宋体" w:hAnsi="Arial" w:cs="Arial"/>
                <w:color w:val="262626"/>
                <w:sz w:val="18"/>
                <w:szCs w:val="18"/>
              </w:rPr>
              <w:t>4.10%, due May 2047</w:t>
            </w:r>
          </w:p>
        </w:tc>
        <w:tc>
          <w:tcPr>
            <w:tcW w:w="0" w:type="auto"/>
            <w:gridSpan w:val="3"/>
            <w:shd w:val="clear" w:color="auto" w:fill="auto"/>
            <w:tcMar>
              <w:top w:w="0" w:type="dxa"/>
              <w:left w:w="20" w:type="dxa"/>
              <w:bottom w:w="0" w:type="dxa"/>
              <w:right w:w="20" w:type="dxa"/>
            </w:tcMar>
            <w:vAlign w:val="bottom"/>
          </w:tcPr>
          <w:p w14:paraId="39D9851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20" w14:textId="77777777" w:rsidR="00996AD7" w:rsidRDefault="00D96458">
            <w:pPr>
              <w:jc w:val="right"/>
              <w:textAlignment w:val="bottom"/>
            </w:pPr>
            <w:r>
              <w:rPr>
                <w:rFonts w:ascii="Arial" w:eastAsia="宋体" w:hAnsi="Arial" w:cs="Arial"/>
                <w:color w:val="0068B5"/>
                <w:sz w:val="18"/>
                <w:szCs w:val="18"/>
              </w:rPr>
              <w:t>1.37 </w:t>
            </w:r>
          </w:p>
        </w:tc>
        <w:tc>
          <w:tcPr>
            <w:tcW w:w="0" w:type="auto"/>
            <w:shd w:val="clear" w:color="auto" w:fill="auto"/>
            <w:tcMar>
              <w:top w:w="40" w:type="dxa"/>
              <w:left w:w="0" w:type="dxa"/>
              <w:bottom w:w="40" w:type="dxa"/>
              <w:right w:w="20" w:type="dxa"/>
            </w:tcMar>
            <w:vAlign w:val="bottom"/>
          </w:tcPr>
          <w:p w14:paraId="39D98521"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2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23" w14:textId="77777777" w:rsidR="00996AD7" w:rsidRDefault="00D9645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39D9852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2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26" w14:textId="77777777" w:rsidR="00996AD7" w:rsidRDefault="00D96458">
            <w:pPr>
              <w:jc w:val="right"/>
              <w:textAlignment w:val="bottom"/>
            </w:pPr>
            <w:r>
              <w:rPr>
                <w:rFonts w:ascii="Arial" w:eastAsia="宋体" w:hAnsi="Arial" w:cs="Arial"/>
                <w:color w:val="262626"/>
                <w:sz w:val="18"/>
                <w:szCs w:val="18"/>
              </w:rPr>
              <w:t>1,000 </w:t>
            </w:r>
          </w:p>
        </w:tc>
        <w:tc>
          <w:tcPr>
            <w:tcW w:w="0" w:type="auto"/>
            <w:shd w:val="clear" w:color="auto" w:fill="auto"/>
            <w:tcMar>
              <w:top w:w="40" w:type="dxa"/>
              <w:left w:w="0" w:type="dxa"/>
              <w:bottom w:w="40" w:type="dxa"/>
              <w:right w:w="20" w:type="dxa"/>
            </w:tcMar>
            <w:vAlign w:val="bottom"/>
          </w:tcPr>
          <w:p w14:paraId="39D98527" w14:textId="77777777" w:rsidR="00996AD7" w:rsidRDefault="00996AD7">
            <w:pPr>
              <w:jc w:val="right"/>
              <w:rPr>
                <w:rFonts w:ascii="宋体"/>
              </w:rPr>
            </w:pPr>
          </w:p>
        </w:tc>
        <w:tc>
          <w:tcPr>
            <w:tcW w:w="0" w:type="auto"/>
            <w:shd w:val="clear" w:color="auto" w:fill="auto"/>
            <w:vAlign w:val="bottom"/>
          </w:tcPr>
          <w:p w14:paraId="39D98528" w14:textId="77777777" w:rsidR="00996AD7" w:rsidRDefault="00996AD7">
            <w:pPr>
              <w:rPr>
                <w:rFonts w:ascii="宋体"/>
                <w:vanish/>
              </w:rPr>
            </w:pPr>
          </w:p>
        </w:tc>
        <w:tc>
          <w:tcPr>
            <w:tcW w:w="0" w:type="auto"/>
            <w:shd w:val="clear" w:color="auto" w:fill="auto"/>
            <w:vAlign w:val="bottom"/>
          </w:tcPr>
          <w:p w14:paraId="39D98529" w14:textId="77777777" w:rsidR="00996AD7" w:rsidRDefault="00996AD7">
            <w:pPr>
              <w:rPr>
                <w:rFonts w:ascii="宋体"/>
                <w:vanish/>
              </w:rPr>
            </w:pPr>
          </w:p>
        </w:tc>
      </w:tr>
      <w:tr w:rsidR="00996AD7" w14:paraId="39D98537" w14:textId="77777777">
        <w:tc>
          <w:tcPr>
            <w:tcW w:w="0" w:type="auto"/>
            <w:gridSpan w:val="3"/>
            <w:shd w:val="clear" w:color="auto" w:fill="auto"/>
            <w:tcMar>
              <w:top w:w="40" w:type="dxa"/>
              <w:left w:w="140" w:type="dxa"/>
              <w:bottom w:w="40" w:type="dxa"/>
              <w:right w:w="20" w:type="dxa"/>
            </w:tcMar>
            <w:vAlign w:val="center"/>
          </w:tcPr>
          <w:p w14:paraId="39D9852B" w14:textId="77777777" w:rsidR="00996AD7" w:rsidRDefault="00D96458">
            <w:pPr>
              <w:textAlignment w:val="center"/>
            </w:pPr>
            <w:r>
              <w:rPr>
                <w:rFonts w:ascii="Arial" w:eastAsia="宋体" w:hAnsi="Arial" w:cs="Arial"/>
                <w:color w:val="262626"/>
                <w:sz w:val="18"/>
                <w:szCs w:val="18"/>
              </w:rPr>
              <w:t>4.10</w:t>
            </w:r>
            <w:r>
              <w:rPr>
                <w:rFonts w:ascii="Arial" w:eastAsia="宋体" w:hAnsi="Arial" w:cs="Arial"/>
                <w:color w:val="262626"/>
                <w:sz w:val="18"/>
                <w:szCs w:val="18"/>
              </w:rPr>
              <w:t>%, due August 2047</w:t>
            </w:r>
          </w:p>
        </w:tc>
        <w:tc>
          <w:tcPr>
            <w:tcW w:w="0" w:type="auto"/>
            <w:gridSpan w:val="3"/>
            <w:shd w:val="clear" w:color="auto" w:fill="auto"/>
            <w:tcMar>
              <w:top w:w="0" w:type="dxa"/>
              <w:left w:w="20" w:type="dxa"/>
              <w:bottom w:w="0" w:type="dxa"/>
              <w:right w:w="20" w:type="dxa"/>
            </w:tcMar>
            <w:vAlign w:val="bottom"/>
          </w:tcPr>
          <w:p w14:paraId="39D9852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2D" w14:textId="77777777" w:rsidR="00996AD7" w:rsidRDefault="00D96458">
            <w:pPr>
              <w:jc w:val="right"/>
              <w:textAlignment w:val="bottom"/>
            </w:pPr>
            <w:r>
              <w:rPr>
                <w:rFonts w:ascii="Arial" w:eastAsia="宋体" w:hAnsi="Arial" w:cs="Arial"/>
                <w:color w:val="0068B5"/>
                <w:sz w:val="18"/>
                <w:szCs w:val="18"/>
              </w:rPr>
              <w:t>0.92 </w:t>
            </w:r>
          </w:p>
        </w:tc>
        <w:tc>
          <w:tcPr>
            <w:tcW w:w="0" w:type="auto"/>
            <w:shd w:val="clear" w:color="auto" w:fill="auto"/>
            <w:tcMar>
              <w:top w:w="40" w:type="dxa"/>
              <w:left w:w="0" w:type="dxa"/>
              <w:bottom w:w="40" w:type="dxa"/>
              <w:right w:w="20" w:type="dxa"/>
            </w:tcMar>
            <w:vAlign w:val="bottom"/>
          </w:tcPr>
          <w:p w14:paraId="39D9852E"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2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30" w14:textId="77777777" w:rsidR="00996AD7" w:rsidRDefault="00D96458">
            <w:pPr>
              <w:jc w:val="right"/>
              <w:textAlignment w:val="bottom"/>
            </w:pPr>
            <w:r>
              <w:rPr>
                <w:rFonts w:ascii="Arial" w:eastAsia="宋体" w:hAnsi="Arial" w:cs="Arial"/>
                <w:color w:val="0068B5"/>
                <w:sz w:val="18"/>
                <w:szCs w:val="18"/>
              </w:rPr>
              <w:t>640 </w:t>
            </w:r>
          </w:p>
        </w:tc>
        <w:tc>
          <w:tcPr>
            <w:tcW w:w="0" w:type="auto"/>
            <w:shd w:val="clear" w:color="auto" w:fill="auto"/>
            <w:tcMar>
              <w:top w:w="40" w:type="dxa"/>
              <w:left w:w="0" w:type="dxa"/>
              <w:bottom w:w="40" w:type="dxa"/>
              <w:right w:w="20" w:type="dxa"/>
            </w:tcMar>
            <w:vAlign w:val="bottom"/>
          </w:tcPr>
          <w:p w14:paraId="39D9853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3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33" w14:textId="77777777" w:rsidR="00996AD7" w:rsidRDefault="00D96458">
            <w:pPr>
              <w:jc w:val="right"/>
              <w:textAlignment w:val="bottom"/>
            </w:pPr>
            <w:r>
              <w:rPr>
                <w:rFonts w:ascii="Arial" w:eastAsia="宋体" w:hAnsi="Arial" w:cs="Arial"/>
                <w:color w:val="262626"/>
                <w:sz w:val="18"/>
                <w:szCs w:val="18"/>
              </w:rPr>
              <w:t>640 </w:t>
            </w:r>
          </w:p>
        </w:tc>
        <w:tc>
          <w:tcPr>
            <w:tcW w:w="0" w:type="auto"/>
            <w:shd w:val="clear" w:color="auto" w:fill="auto"/>
            <w:tcMar>
              <w:top w:w="40" w:type="dxa"/>
              <w:left w:w="0" w:type="dxa"/>
              <w:bottom w:w="40" w:type="dxa"/>
              <w:right w:w="20" w:type="dxa"/>
            </w:tcMar>
            <w:vAlign w:val="bottom"/>
          </w:tcPr>
          <w:p w14:paraId="39D98534" w14:textId="77777777" w:rsidR="00996AD7" w:rsidRDefault="00996AD7">
            <w:pPr>
              <w:jc w:val="right"/>
              <w:rPr>
                <w:rFonts w:ascii="宋体"/>
              </w:rPr>
            </w:pPr>
          </w:p>
        </w:tc>
        <w:tc>
          <w:tcPr>
            <w:tcW w:w="0" w:type="auto"/>
            <w:shd w:val="clear" w:color="auto" w:fill="auto"/>
            <w:vAlign w:val="bottom"/>
          </w:tcPr>
          <w:p w14:paraId="39D98535" w14:textId="77777777" w:rsidR="00996AD7" w:rsidRDefault="00996AD7">
            <w:pPr>
              <w:rPr>
                <w:rFonts w:ascii="宋体"/>
                <w:vanish/>
              </w:rPr>
            </w:pPr>
          </w:p>
        </w:tc>
        <w:tc>
          <w:tcPr>
            <w:tcW w:w="0" w:type="auto"/>
            <w:shd w:val="clear" w:color="auto" w:fill="auto"/>
            <w:vAlign w:val="bottom"/>
          </w:tcPr>
          <w:p w14:paraId="39D98536" w14:textId="77777777" w:rsidR="00996AD7" w:rsidRDefault="00996AD7">
            <w:pPr>
              <w:rPr>
                <w:rFonts w:ascii="宋体"/>
                <w:vanish/>
              </w:rPr>
            </w:pPr>
          </w:p>
        </w:tc>
      </w:tr>
      <w:tr w:rsidR="00996AD7" w14:paraId="39D98544" w14:textId="77777777">
        <w:tc>
          <w:tcPr>
            <w:tcW w:w="0" w:type="auto"/>
            <w:gridSpan w:val="3"/>
            <w:shd w:val="clear" w:color="auto" w:fill="auto"/>
            <w:tcMar>
              <w:top w:w="40" w:type="dxa"/>
              <w:left w:w="140" w:type="dxa"/>
              <w:bottom w:w="40" w:type="dxa"/>
              <w:right w:w="20" w:type="dxa"/>
            </w:tcMar>
            <w:vAlign w:val="center"/>
          </w:tcPr>
          <w:p w14:paraId="39D98538" w14:textId="77777777" w:rsidR="00996AD7" w:rsidRDefault="00D96458">
            <w:pPr>
              <w:textAlignment w:val="center"/>
            </w:pPr>
            <w:r>
              <w:rPr>
                <w:rFonts w:ascii="Arial" w:eastAsia="宋体" w:hAnsi="Arial" w:cs="Arial"/>
                <w:color w:val="262626"/>
                <w:sz w:val="18"/>
                <w:szCs w:val="18"/>
              </w:rPr>
              <w:t>3.73</w:t>
            </w:r>
            <w:r>
              <w:rPr>
                <w:rFonts w:ascii="Arial" w:eastAsia="宋体" w:hAnsi="Arial" w:cs="Arial"/>
                <w:color w:val="262626"/>
                <w:sz w:val="18"/>
                <w:szCs w:val="18"/>
              </w:rPr>
              <w:t>%, due December 2047</w:t>
            </w:r>
          </w:p>
        </w:tc>
        <w:tc>
          <w:tcPr>
            <w:tcW w:w="0" w:type="auto"/>
            <w:gridSpan w:val="3"/>
            <w:shd w:val="clear" w:color="auto" w:fill="auto"/>
            <w:tcMar>
              <w:top w:w="0" w:type="dxa"/>
              <w:left w:w="20" w:type="dxa"/>
              <w:bottom w:w="0" w:type="dxa"/>
              <w:right w:w="20" w:type="dxa"/>
            </w:tcMar>
            <w:vAlign w:val="bottom"/>
          </w:tcPr>
          <w:p w14:paraId="39D9853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3A" w14:textId="77777777" w:rsidR="00996AD7" w:rsidRDefault="00D96458">
            <w:pPr>
              <w:jc w:val="right"/>
              <w:textAlignment w:val="bottom"/>
            </w:pPr>
            <w:r>
              <w:rPr>
                <w:rFonts w:ascii="Arial" w:eastAsia="宋体" w:hAnsi="Arial" w:cs="Arial"/>
                <w:color w:val="0068B5"/>
                <w:sz w:val="18"/>
                <w:szCs w:val="18"/>
              </w:rPr>
              <w:t>1.77 </w:t>
            </w:r>
          </w:p>
        </w:tc>
        <w:tc>
          <w:tcPr>
            <w:tcW w:w="0" w:type="auto"/>
            <w:shd w:val="clear" w:color="auto" w:fill="auto"/>
            <w:tcMar>
              <w:top w:w="40" w:type="dxa"/>
              <w:left w:w="0" w:type="dxa"/>
              <w:bottom w:w="40" w:type="dxa"/>
              <w:right w:w="20" w:type="dxa"/>
            </w:tcMar>
            <w:vAlign w:val="bottom"/>
          </w:tcPr>
          <w:p w14:paraId="39D9853B"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3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3D" w14:textId="77777777" w:rsidR="00996AD7" w:rsidRDefault="00D96458">
            <w:pPr>
              <w:jc w:val="right"/>
              <w:textAlignment w:val="bottom"/>
            </w:pPr>
            <w:r>
              <w:rPr>
                <w:rFonts w:ascii="Arial" w:eastAsia="宋体" w:hAnsi="Arial" w:cs="Arial"/>
                <w:color w:val="0068B5"/>
                <w:sz w:val="18"/>
                <w:szCs w:val="18"/>
              </w:rPr>
              <w:t>1,967 </w:t>
            </w:r>
          </w:p>
        </w:tc>
        <w:tc>
          <w:tcPr>
            <w:tcW w:w="0" w:type="auto"/>
            <w:shd w:val="clear" w:color="auto" w:fill="auto"/>
            <w:tcMar>
              <w:top w:w="40" w:type="dxa"/>
              <w:left w:w="0" w:type="dxa"/>
              <w:bottom w:w="40" w:type="dxa"/>
              <w:right w:w="20" w:type="dxa"/>
            </w:tcMar>
            <w:vAlign w:val="bottom"/>
          </w:tcPr>
          <w:p w14:paraId="39D9853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3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40" w14:textId="77777777" w:rsidR="00996AD7" w:rsidRDefault="00D96458">
            <w:pPr>
              <w:jc w:val="right"/>
              <w:textAlignment w:val="bottom"/>
            </w:pPr>
            <w:r>
              <w:rPr>
                <w:rFonts w:ascii="Arial" w:eastAsia="宋体" w:hAnsi="Arial" w:cs="Arial"/>
                <w:color w:val="262626"/>
                <w:sz w:val="18"/>
                <w:szCs w:val="18"/>
              </w:rPr>
              <w:t>1,967 </w:t>
            </w:r>
          </w:p>
        </w:tc>
        <w:tc>
          <w:tcPr>
            <w:tcW w:w="0" w:type="auto"/>
            <w:shd w:val="clear" w:color="auto" w:fill="auto"/>
            <w:tcMar>
              <w:top w:w="40" w:type="dxa"/>
              <w:left w:w="0" w:type="dxa"/>
              <w:bottom w:w="40" w:type="dxa"/>
              <w:right w:w="20" w:type="dxa"/>
            </w:tcMar>
            <w:vAlign w:val="bottom"/>
          </w:tcPr>
          <w:p w14:paraId="39D98541" w14:textId="77777777" w:rsidR="00996AD7" w:rsidRDefault="00996AD7">
            <w:pPr>
              <w:jc w:val="right"/>
              <w:rPr>
                <w:rFonts w:ascii="宋体"/>
              </w:rPr>
            </w:pPr>
          </w:p>
        </w:tc>
        <w:tc>
          <w:tcPr>
            <w:tcW w:w="0" w:type="auto"/>
            <w:shd w:val="clear" w:color="auto" w:fill="auto"/>
            <w:vAlign w:val="bottom"/>
          </w:tcPr>
          <w:p w14:paraId="39D98542" w14:textId="77777777" w:rsidR="00996AD7" w:rsidRDefault="00996AD7">
            <w:pPr>
              <w:rPr>
                <w:rFonts w:ascii="宋体"/>
                <w:vanish/>
              </w:rPr>
            </w:pPr>
          </w:p>
        </w:tc>
        <w:tc>
          <w:tcPr>
            <w:tcW w:w="0" w:type="auto"/>
            <w:shd w:val="clear" w:color="auto" w:fill="auto"/>
            <w:vAlign w:val="bottom"/>
          </w:tcPr>
          <w:p w14:paraId="39D98543" w14:textId="77777777" w:rsidR="00996AD7" w:rsidRDefault="00996AD7">
            <w:pPr>
              <w:rPr>
                <w:rFonts w:ascii="宋体"/>
                <w:vanish/>
              </w:rPr>
            </w:pPr>
          </w:p>
        </w:tc>
      </w:tr>
      <w:tr w:rsidR="00996AD7" w14:paraId="39D98551" w14:textId="77777777">
        <w:tc>
          <w:tcPr>
            <w:tcW w:w="0" w:type="auto"/>
            <w:gridSpan w:val="3"/>
            <w:shd w:val="clear" w:color="auto" w:fill="auto"/>
            <w:tcMar>
              <w:top w:w="40" w:type="dxa"/>
              <w:left w:w="140" w:type="dxa"/>
              <w:bottom w:w="40" w:type="dxa"/>
              <w:right w:w="20" w:type="dxa"/>
            </w:tcMar>
            <w:vAlign w:val="center"/>
          </w:tcPr>
          <w:p w14:paraId="39D98545" w14:textId="77777777" w:rsidR="00996AD7" w:rsidRDefault="00D96458">
            <w:pPr>
              <w:textAlignment w:val="center"/>
            </w:pPr>
            <w:r>
              <w:rPr>
                <w:rFonts w:ascii="Arial" w:eastAsia="宋体" w:hAnsi="Arial" w:cs="Arial"/>
                <w:color w:val="262626"/>
                <w:sz w:val="18"/>
                <w:szCs w:val="18"/>
              </w:rPr>
              <w:t>3.25</w:t>
            </w:r>
            <w:r>
              <w:rPr>
                <w:rFonts w:ascii="Arial" w:eastAsia="宋体" w:hAnsi="Arial" w:cs="Arial"/>
                <w:color w:val="262626"/>
                <w:sz w:val="18"/>
                <w:szCs w:val="18"/>
              </w:rPr>
              <w:t>%, due November 2049</w:t>
            </w:r>
          </w:p>
        </w:tc>
        <w:tc>
          <w:tcPr>
            <w:tcW w:w="0" w:type="auto"/>
            <w:gridSpan w:val="3"/>
            <w:shd w:val="clear" w:color="auto" w:fill="auto"/>
            <w:tcMar>
              <w:top w:w="0" w:type="dxa"/>
              <w:left w:w="20" w:type="dxa"/>
              <w:bottom w:w="0" w:type="dxa"/>
              <w:right w:w="20" w:type="dxa"/>
            </w:tcMar>
            <w:vAlign w:val="bottom"/>
          </w:tcPr>
          <w:p w14:paraId="39D9854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47" w14:textId="77777777" w:rsidR="00996AD7" w:rsidRDefault="00D96458">
            <w:pPr>
              <w:jc w:val="right"/>
              <w:textAlignment w:val="bottom"/>
            </w:pPr>
            <w:r>
              <w:rPr>
                <w:rFonts w:ascii="Arial" w:eastAsia="宋体" w:hAnsi="Arial" w:cs="Arial"/>
                <w:color w:val="0068B5"/>
                <w:sz w:val="18"/>
                <w:szCs w:val="18"/>
              </w:rPr>
              <w:t>3.19 </w:t>
            </w:r>
          </w:p>
        </w:tc>
        <w:tc>
          <w:tcPr>
            <w:tcW w:w="0" w:type="auto"/>
            <w:shd w:val="clear" w:color="auto" w:fill="auto"/>
            <w:tcMar>
              <w:top w:w="40" w:type="dxa"/>
              <w:left w:w="0" w:type="dxa"/>
              <w:bottom w:w="40" w:type="dxa"/>
              <w:right w:w="20" w:type="dxa"/>
            </w:tcMar>
            <w:vAlign w:val="bottom"/>
          </w:tcPr>
          <w:p w14:paraId="39D98548"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4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4A" w14:textId="77777777" w:rsidR="00996AD7" w:rsidRDefault="00D96458">
            <w:pPr>
              <w:jc w:val="right"/>
              <w:textAlignment w:val="bottom"/>
            </w:pPr>
            <w:r>
              <w:rPr>
                <w:rFonts w:ascii="Arial" w:eastAsia="宋体" w:hAnsi="Arial" w:cs="Arial"/>
                <w:color w:val="0068B5"/>
                <w:sz w:val="18"/>
                <w:szCs w:val="18"/>
              </w:rPr>
              <w:t>2,000 </w:t>
            </w:r>
          </w:p>
        </w:tc>
        <w:tc>
          <w:tcPr>
            <w:tcW w:w="0" w:type="auto"/>
            <w:shd w:val="clear" w:color="auto" w:fill="auto"/>
            <w:tcMar>
              <w:top w:w="40" w:type="dxa"/>
              <w:left w:w="0" w:type="dxa"/>
              <w:bottom w:w="40" w:type="dxa"/>
              <w:right w:w="20" w:type="dxa"/>
            </w:tcMar>
            <w:vAlign w:val="bottom"/>
          </w:tcPr>
          <w:p w14:paraId="39D9854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4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4D" w14:textId="77777777" w:rsidR="00996AD7" w:rsidRDefault="00D96458">
            <w:pPr>
              <w:jc w:val="right"/>
              <w:textAlignment w:val="bottom"/>
            </w:pPr>
            <w:r>
              <w:rPr>
                <w:rFonts w:ascii="Arial" w:eastAsia="宋体" w:hAnsi="Arial" w:cs="Arial"/>
                <w:color w:val="262626"/>
                <w:sz w:val="18"/>
                <w:szCs w:val="18"/>
              </w:rPr>
              <w:t>2,000 </w:t>
            </w:r>
          </w:p>
        </w:tc>
        <w:tc>
          <w:tcPr>
            <w:tcW w:w="0" w:type="auto"/>
            <w:shd w:val="clear" w:color="auto" w:fill="auto"/>
            <w:tcMar>
              <w:top w:w="40" w:type="dxa"/>
              <w:left w:w="0" w:type="dxa"/>
              <w:bottom w:w="40" w:type="dxa"/>
              <w:right w:w="20" w:type="dxa"/>
            </w:tcMar>
            <w:vAlign w:val="bottom"/>
          </w:tcPr>
          <w:p w14:paraId="39D9854E" w14:textId="77777777" w:rsidR="00996AD7" w:rsidRDefault="00996AD7">
            <w:pPr>
              <w:jc w:val="right"/>
              <w:rPr>
                <w:rFonts w:ascii="宋体"/>
              </w:rPr>
            </w:pPr>
          </w:p>
        </w:tc>
        <w:tc>
          <w:tcPr>
            <w:tcW w:w="0" w:type="auto"/>
            <w:shd w:val="clear" w:color="auto" w:fill="auto"/>
            <w:vAlign w:val="bottom"/>
          </w:tcPr>
          <w:p w14:paraId="39D9854F" w14:textId="77777777" w:rsidR="00996AD7" w:rsidRDefault="00996AD7">
            <w:pPr>
              <w:rPr>
                <w:rFonts w:ascii="宋体"/>
                <w:vanish/>
              </w:rPr>
            </w:pPr>
          </w:p>
        </w:tc>
        <w:tc>
          <w:tcPr>
            <w:tcW w:w="0" w:type="auto"/>
            <w:shd w:val="clear" w:color="auto" w:fill="auto"/>
            <w:vAlign w:val="bottom"/>
          </w:tcPr>
          <w:p w14:paraId="39D98550" w14:textId="77777777" w:rsidR="00996AD7" w:rsidRDefault="00996AD7">
            <w:pPr>
              <w:rPr>
                <w:rFonts w:ascii="宋体"/>
                <w:vanish/>
              </w:rPr>
            </w:pPr>
          </w:p>
        </w:tc>
      </w:tr>
      <w:tr w:rsidR="00996AD7" w14:paraId="39D9855E" w14:textId="77777777">
        <w:tc>
          <w:tcPr>
            <w:tcW w:w="0" w:type="auto"/>
            <w:gridSpan w:val="3"/>
            <w:shd w:val="clear" w:color="auto" w:fill="auto"/>
            <w:tcMar>
              <w:top w:w="40" w:type="dxa"/>
              <w:left w:w="140" w:type="dxa"/>
              <w:bottom w:w="40" w:type="dxa"/>
              <w:right w:w="20" w:type="dxa"/>
            </w:tcMar>
            <w:vAlign w:val="center"/>
          </w:tcPr>
          <w:p w14:paraId="39D98552" w14:textId="77777777" w:rsidR="00996AD7" w:rsidRDefault="00D96458">
            <w:pPr>
              <w:textAlignment w:val="center"/>
            </w:pPr>
            <w:r>
              <w:rPr>
                <w:rFonts w:ascii="Arial" w:eastAsia="宋体" w:hAnsi="Arial" w:cs="Arial"/>
                <w:color w:val="262626"/>
                <w:sz w:val="18"/>
                <w:szCs w:val="18"/>
              </w:rPr>
              <w:t>4.75</w:t>
            </w:r>
            <w:r>
              <w:rPr>
                <w:rFonts w:ascii="Arial" w:eastAsia="宋体" w:hAnsi="Arial" w:cs="Arial"/>
                <w:color w:val="262626"/>
                <w:sz w:val="18"/>
                <w:szCs w:val="18"/>
              </w:rPr>
              <w:t>%, due March 2050</w:t>
            </w:r>
          </w:p>
        </w:tc>
        <w:tc>
          <w:tcPr>
            <w:tcW w:w="0" w:type="auto"/>
            <w:gridSpan w:val="3"/>
            <w:shd w:val="clear" w:color="auto" w:fill="auto"/>
            <w:tcMar>
              <w:top w:w="0" w:type="dxa"/>
              <w:left w:w="20" w:type="dxa"/>
              <w:bottom w:w="0" w:type="dxa"/>
              <w:right w:w="20" w:type="dxa"/>
            </w:tcMar>
            <w:vAlign w:val="bottom"/>
          </w:tcPr>
          <w:p w14:paraId="39D9855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54" w14:textId="77777777" w:rsidR="00996AD7" w:rsidRDefault="00D96458">
            <w:pPr>
              <w:jc w:val="right"/>
              <w:textAlignment w:val="bottom"/>
            </w:pPr>
            <w:r>
              <w:rPr>
                <w:rFonts w:ascii="Arial" w:eastAsia="宋体" w:hAnsi="Arial" w:cs="Arial"/>
                <w:color w:val="0068B5"/>
                <w:sz w:val="18"/>
                <w:szCs w:val="18"/>
              </w:rPr>
              <w:t>4.74 </w:t>
            </w:r>
          </w:p>
        </w:tc>
        <w:tc>
          <w:tcPr>
            <w:tcW w:w="0" w:type="auto"/>
            <w:shd w:val="clear" w:color="auto" w:fill="auto"/>
            <w:tcMar>
              <w:top w:w="40" w:type="dxa"/>
              <w:left w:w="0" w:type="dxa"/>
              <w:bottom w:w="40" w:type="dxa"/>
              <w:right w:w="20" w:type="dxa"/>
            </w:tcMar>
            <w:vAlign w:val="bottom"/>
          </w:tcPr>
          <w:p w14:paraId="39D98555"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5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57" w14:textId="77777777" w:rsidR="00996AD7" w:rsidRDefault="00D96458">
            <w:pPr>
              <w:jc w:val="right"/>
              <w:textAlignment w:val="bottom"/>
            </w:pPr>
            <w:r>
              <w:rPr>
                <w:rFonts w:ascii="Arial" w:eastAsia="宋体" w:hAnsi="Arial" w:cs="Arial"/>
                <w:color w:val="0068B5"/>
                <w:sz w:val="18"/>
                <w:szCs w:val="18"/>
              </w:rPr>
              <w:t>2,250 </w:t>
            </w:r>
          </w:p>
        </w:tc>
        <w:tc>
          <w:tcPr>
            <w:tcW w:w="0" w:type="auto"/>
            <w:shd w:val="clear" w:color="auto" w:fill="auto"/>
            <w:tcMar>
              <w:top w:w="40" w:type="dxa"/>
              <w:left w:w="0" w:type="dxa"/>
              <w:bottom w:w="40" w:type="dxa"/>
              <w:right w:w="20" w:type="dxa"/>
            </w:tcMar>
            <w:vAlign w:val="bottom"/>
          </w:tcPr>
          <w:p w14:paraId="39D9855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5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5A" w14:textId="77777777" w:rsidR="00996AD7" w:rsidRDefault="00D96458">
            <w:pPr>
              <w:jc w:val="right"/>
              <w:textAlignment w:val="bottom"/>
            </w:pPr>
            <w:r>
              <w:rPr>
                <w:rFonts w:ascii="Arial" w:eastAsia="宋体" w:hAnsi="Arial" w:cs="Arial"/>
                <w:color w:val="262626"/>
                <w:sz w:val="18"/>
                <w:szCs w:val="18"/>
              </w:rPr>
              <w:t>2,250 </w:t>
            </w:r>
          </w:p>
        </w:tc>
        <w:tc>
          <w:tcPr>
            <w:tcW w:w="0" w:type="auto"/>
            <w:shd w:val="clear" w:color="auto" w:fill="auto"/>
            <w:tcMar>
              <w:top w:w="40" w:type="dxa"/>
              <w:left w:w="0" w:type="dxa"/>
              <w:bottom w:w="40" w:type="dxa"/>
              <w:right w:w="20" w:type="dxa"/>
            </w:tcMar>
            <w:vAlign w:val="bottom"/>
          </w:tcPr>
          <w:p w14:paraId="39D9855B" w14:textId="77777777" w:rsidR="00996AD7" w:rsidRDefault="00996AD7">
            <w:pPr>
              <w:jc w:val="right"/>
              <w:rPr>
                <w:rFonts w:ascii="宋体"/>
              </w:rPr>
            </w:pPr>
          </w:p>
        </w:tc>
        <w:tc>
          <w:tcPr>
            <w:tcW w:w="0" w:type="auto"/>
            <w:shd w:val="clear" w:color="auto" w:fill="auto"/>
            <w:vAlign w:val="bottom"/>
          </w:tcPr>
          <w:p w14:paraId="39D9855C" w14:textId="77777777" w:rsidR="00996AD7" w:rsidRDefault="00996AD7">
            <w:pPr>
              <w:rPr>
                <w:rFonts w:ascii="宋体"/>
                <w:vanish/>
              </w:rPr>
            </w:pPr>
          </w:p>
        </w:tc>
        <w:tc>
          <w:tcPr>
            <w:tcW w:w="0" w:type="auto"/>
            <w:shd w:val="clear" w:color="auto" w:fill="auto"/>
            <w:vAlign w:val="bottom"/>
          </w:tcPr>
          <w:p w14:paraId="39D9855D" w14:textId="77777777" w:rsidR="00996AD7" w:rsidRDefault="00996AD7">
            <w:pPr>
              <w:rPr>
                <w:rFonts w:ascii="宋体"/>
                <w:vanish/>
              </w:rPr>
            </w:pPr>
          </w:p>
        </w:tc>
      </w:tr>
      <w:tr w:rsidR="00996AD7" w14:paraId="39D9856B" w14:textId="77777777">
        <w:tc>
          <w:tcPr>
            <w:tcW w:w="0" w:type="auto"/>
            <w:gridSpan w:val="3"/>
            <w:shd w:val="clear" w:color="auto" w:fill="auto"/>
            <w:tcMar>
              <w:top w:w="40" w:type="dxa"/>
              <w:left w:w="140" w:type="dxa"/>
              <w:bottom w:w="40" w:type="dxa"/>
              <w:right w:w="20" w:type="dxa"/>
            </w:tcMar>
            <w:vAlign w:val="center"/>
          </w:tcPr>
          <w:p w14:paraId="39D9855F" w14:textId="77777777" w:rsidR="00996AD7" w:rsidRDefault="00D96458">
            <w:pPr>
              <w:textAlignment w:val="center"/>
            </w:pPr>
            <w:r>
              <w:rPr>
                <w:rFonts w:ascii="Arial" w:eastAsia="宋体" w:hAnsi="Arial" w:cs="Arial"/>
                <w:color w:val="262626"/>
                <w:sz w:val="18"/>
                <w:szCs w:val="18"/>
              </w:rPr>
              <w:t>3.05%, due August 2051</w:t>
            </w:r>
          </w:p>
        </w:tc>
        <w:tc>
          <w:tcPr>
            <w:tcW w:w="0" w:type="auto"/>
            <w:gridSpan w:val="3"/>
            <w:shd w:val="clear" w:color="auto" w:fill="auto"/>
            <w:tcMar>
              <w:top w:w="0" w:type="dxa"/>
              <w:left w:w="20" w:type="dxa"/>
              <w:bottom w:w="0" w:type="dxa"/>
              <w:right w:w="20" w:type="dxa"/>
            </w:tcMar>
            <w:vAlign w:val="bottom"/>
          </w:tcPr>
          <w:p w14:paraId="39D9856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61" w14:textId="77777777" w:rsidR="00996AD7" w:rsidRDefault="00D96458">
            <w:pPr>
              <w:jc w:val="right"/>
              <w:textAlignment w:val="bottom"/>
            </w:pPr>
            <w:r>
              <w:rPr>
                <w:rFonts w:ascii="Arial" w:eastAsia="宋体" w:hAnsi="Arial" w:cs="Arial"/>
                <w:color w:val="0068B5"/>
                <w:sz w:val="18"/>
                <w:szCs w:val="18"/>
              </w:rPr>
              <w:t>3.07 </w:t>
            </w:r>
          </w:p>
        </w:tc>
        <w:tc>
          <w:tcPr>
            <w:tcW w:w="0" w:type="auto"/>
            <w:shd w:val="clear" w:color="auto" w:fill="auto"/>
            <w:tcMar>
              <w:top w:w="40" w:type="dxa"/>
              <w:left w:w="0" w:type="dxa"/>
              <w:bottom w:w="40" w:type="dxa"/>
              <w:right w:w="20" w:type="dxa"/>
            </w:tcMar>
            <w:vAlign w:val="bottom"/>
          </w:tcPr>
          <w:p w14:paraId="39D98562"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6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64" w14:textId="77777777" w:rsidR="00996AD7" w:rsidRDefault="00D96458">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39D9856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6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67"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568" w14:textId="77777777" w:rsidR="00996AD7" w:rsidRDefault="00996AD7">
            <w:pPr>
              <w:jc w:val="right"/>
              <w:rPr>
                <w:rFonts w:ascii="宋体"/>
              </w:rPr>
            </w:pPr>
          </w:p>
        </w:tc>
        <w:tc>
          <w:tcPr>
            <w:tcW w:w="0" w:type="auto"/>
            <w:shd w:val="clear" w:color="auto" w:fill="auto"/>
            <w:vAlign w:val="bottom"/>
          </w:tcPr>
          <w:p w14:paraId="39D98569" w14:textId="77777777" w:rsidR="00996AD7" w:rsidRDefault="00996AD7">
            <w:pPr>
              <w:rPr>
                <w:rFonts w:ascii="宋体"/>
                <w:vanish/>
              </w:rPr>
            </w:pPr>
          </w:p>
        </w:tc>
        <w:tc>
          <w:tcPr>
            <w:tcW w:w="0" w:type="auto"/>
            <w:shd w:val="clear" w:color="auto" w:fill="auto"/>
            <w:vAlign w:val="bottom"/>
          </w:tcPr>
          <w:p w14:paraId="39D9856A" w14:textId="77777777" w:rsidR="00996AD7" w:rsidRDefault="00996AD7">
            <w:pPr>
              <w:rPr>
                <w:rFonts w:ascii="宋体"/>
                <w:vanish/>
              </w:rPr>
            </w:pPr>
          </w:p>
        </w:tc>
      </w:tr>
      <w:tr w:rsidR="00996AD7" w14:paraId="39D98578" w14:textId="77777777">
        <w:tc>
          <w:tcPr>
            <w:tcW w:w="0" w:type="auto"/>
            <w:gridSpan w:val="3"/>
            <w:shd w:val="clear" w:color="auto" w:fill="auto"/>
            <w:tcMar>
              <w:top w:w="40" w:type="dxa"/>
              <w:left w:w="140" w:type="dxa"/>
              <w:bottom w:w="40" w:type="dxa"/>
              <w:right w:w="20" w:type="dxa"/>
            </w:tcMar>
            <w:vAlign w:val="center"/>
          </w:tcPr>
          <w:p w14:paraId="39D9856C" w14:textId="77777777" w:rsidR="00996AD7" w:rsidRDefault="00D96458">
            <w:pPr>
              <w:textAlignment w:val="center"/>
            </w:pPr>
            <w:r>
              <w:rPr>
                <w:rFonts w:ascii="Arial" w:eastAsia="宋体" w:hAnsi="Arial" w:cs="Arial"/>
                <w:color w:val="262626"/>
                <w:sz w:val="18"/>
                <w:szCs w:val="18"/>
              </w:rPr>
              <w:t>3.10</w:t>
            </w:r>
            <w:r>
              <w:rPr>
                <w:rFonts w:ascii="Arial" w:eastAsia="宋体" w:hAnsi="Arial" w:cs="Arial"/>
                <w:color w:val="262626"/>
                <w:sz w:val="18"/>
                <w:szCs w:val="18"/>
              </w:rPr>
              <w:t>%, due February 2060</w:t>
            </w:r>
          </w:p>
        </w:tc>
        <w:tc>
          <w:tcPr>
            <w:tcW w:w="0" w:type="auto"/>
            <w:gridSpan w:val="3"/>
            <w:shd w:val="clear" w:color="auto" w:fill="auto"/>
            <w:tcMar>
              <w:top w:w="0" w:type="dxa"/>
              <w:left w:w="20" w:type="dxa"/>
              <w:bottom w:w="0" w:type="dxa"/>
              <w:right w:w="20" w:type="dxa"/>
            </w:tcMar>
            <w:vAlign w:val="bottom"/>
          </w:tcPr>
          <w:p w14:paraId="39D9856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6E" w14:textId="77777777" w:rsidR="00996AD7" w:rsidRDefault="00D96458">
            <w:pPr>
              <w:jc w:val="right"/>
              <w:textAlignment w:val="bottom"/>
            </w:pPr>
            <w:r>
              <w:rPr>
                <w:rFonts w:ascii="Arial" w:eastAsia="宋体" w:hAnsi="Arial" w:cs="Arial"/>
                <w:color w:val="0068B5"/>
                <w:sz w:val="18"/>
                <w:szCs w:val="18"/>
              </w:rPr>
              <w:t>3.11 </w:t>
            </w:r>
          </w:p>
        </w:tc>
        <w:tc>
          <w:tcPr>
            <w:tcW w:w="0" w:type="auto"/>
            <w:shd w:val="clear" w:color="auto" w:fill="auto"/>
            <w:tcMar>
              <w:top w:w="40" w:type="dxa"/>
              <w:left w:w="0" w:type="dxa"/>
              <w:bottom w:w="40" w:type="dxa"/>
              <w:right w:w="20" w:type="dxa"/>
            </w:tcMar>
            <w:vAlign w:val="bottom"/>
          </w:tcPr>
          <w:p w14:paraId="39D9856F"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7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71" w14:textId="77777777" w:rsidR="00996AD7" w:rsidRDefault="00D9645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39D9857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7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74" w14:textId="77777777" w:rsidR="00996AD7" w:rsidRDefault="00D96458">
            <w:pPr>
              <w:jc w:val="right"/>
              <w:textAlignment w:val="bottom"/>
            </w:pPr>
            <w:r>
              <w:rPr>
                <w:rFonts w:ascii="Arial" w:eastAsia="宋体" w:hAnsi="Arial" w:cs="Arial"/>
                <w:color w:val="262626"/>
                <w:sz w:val="18"/>
                <w:szCs w:val="18"/>
              </w:rPr>
              <w:t>1,000 </w:t>
            </w:r>
          </w:p>
        </w:tc>
        <w:tc>
          <w:tcPr>
            <w:tcW w:w="0" w:type="auto"/>
            <w:shd w:val="clear" w:color="auto" w:fill="auto"/>
            <w:tcMar>
              <w:top w:w="40" w:type="dxa"/>
              <w:left w:w="0" w:type="dxa"/>
              <w:bottom w:w="40" w:type="dxa"/>
              <w:right w:w="20" w:type="dxa"/>
            </w:tcMar>
            <w:vAlign w:val="bottom"/>
          </w:tcPr>
          <w:p w14:paraId="39D98575" w14:textId="77777777" w:rsidR="00996AD7" w:rsidRDefault="00996AD7">
            <w:pPr>
              <w:jc w:val="right"/>
              <w:rPr>
                <w:rFonts w:ascii="宋体"/>
              </w:rPr>
            </w:pPr>
          </w:p>
        </w:tc>
        <w:tc>
          <w:tcPr>
            <w:tcW w:w="0" w:type="auto"/>
            <w:shd w:val="clear" w:color="auto" w:fill="auto"/>
            <w:vAlign w:val="bottom"/>
          </w:tcPr>
          <w:p w14:paraId="39D98576" w14:textId="77777777" w:rsidR="00996AD7" w:rsidRDefault="00996AD7">
            <w:pPr>
              <w:rPr>
                <w:rFonts w:ascii="宋体"/>
                <w:vanish/>
              </w:rPr>
            </w:pPr>
          </w:p>
        </w:tc>
        <w:tc>
          <w:tcPr>
            <w:tcW w:w="0" w:type="auto"/>
            <w:shd w:val="clear" w:color="auto" w:fill="auto"/>
            <w:vAlign w:val="bottom"/>
          </w:tcPr>
          <w:p w14:paraId="39D98577" w14:textId="77777777" w:rsidR="00996AD7" w:rsidRDefault="00996AD7">
            <w:pPr>
              <w:rPr>
                <w:rFonts w:ascii="宋体"/>
                <w:vanish/>
              </w:rPr>
            </w:pPr>
          </w:p>
        </w:tc>
      </w:tr>
      <w:tr w:rsidR="00996AD7" w14:paraId="39D98585" w14:textId="77777777">
        <w:tc>
          <w:tcPr>
            <w:tcW w:w="0" w:type="auto"/>
            <w:gridSpan w:val="3"/>
            <w:shd w:val="clear" w:color="auto" w:fill="auto"/>
            <w:tcMar>
              <w:top w:w="40" w:type="dxa"/>
              <w:left w:w="140" w:type="dxa"/>
              <w:bottom w:w="40" w:type="dxa"/>
              <w:right w:w="20" w:type="dxa"/>
            </w:tcMar>
            <w:vAlign w:val="center"/>
          </w:tcPr>
          <w:p w14:paraId="39D98579" w14:textId="77777777" w:rsidR="00996AD7" w:rsidRDefault="00D96458">
            <w:pPr>
              <w:textAlignment w:val="center"/>
            </w:pPr>
            <w:r>
              <w:rPr>
                <w:rFonts w:ascii="Arial" w:eastAsia="宋体" w:hAnsi="Arial" w:cs="Arial"/>
                <w:color w:val="262626"/>
                <w:sz w:val="18"/>
                <w:szCs w:val="18"/>
              </w:rPr>
              <w:t>4.95</w:t>
            </w:r>
            <w:r>
              <w:rPr>
                <w:rFonts w:ascii="Arial" w:eastAsia="宋体" w:hAnsi="Arial" w:cs="Arial"/>
                <w:color w:val="262626"/>
                <w:sz w:val="18"/>
                <w:szCs w:val="18"/>
              </w:rPr>
              <w:t>%, due March 2060</w:t>
            </w:r>
          </w:p>
        </w:tc>
        <w:tc>
          <w:tcPr>
            <w:tcW w:w="0" w:type="auto"/>
            <w:gridSpan w:val="3"/>
            <w:shd w:val="clear" w:color="auto" w:fill="auto"/>
            <w:tcMar>
              <w:top w:w="0" w:type="dxa"/>
              <w:left w:w="20" w:type="dxa"/>
              <w:bottom w:w="0" w:type="dxa"/>
              <w:right w:w="20" w:type="dxa"/>
            </w:tcMar>
            <w:vAlign w:val="bottom"/>
          </w:tcPr>
          <w:p w14:paraId="39D9857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7B" w14:textId="77777777" w:rsidR="00996AD7" w:rsidRDefault="00D96458">
            <w:pPr>
              <w:jc w:val="right"/>
              <w:textAlignment w:val="bottom"/>
            </w:pPr>
            <w:r>
              <w:rPr>
                <w:rFonts w:ascii="Arial" w:eastAsia="宋体" w:hAnsi="Arial" w:cs="Arial"/>
                <w:color w:val="0068B5"/>
                <w:sz w:val="18"/>
                <w:szCs w:val="18"/>
              </w:rPr>
              <w:t>4.99 </w:t>
            </w:r>
          </w:p>
        </w:tc>
        <w:tc>
          <w:tcPr>
            <w:tcW w:w="0" w:type="auto"/>
            <w:shd w:val="clear" w:color="auto" w:fill="auto"/>
            <w:tcMar>
              <w:top w:w="40" w:type="dxa"/>
              <w:left w:w="0" w:type="dxa"/>
              <w:bottom w:w="40" w:type="dxa"/>
              <w:right w:w="20" w:type="dxa"/>
            </w:tcMar>
            <w:vAlign w:val="bottom"/>
          </w:tcPr>
          <w:p w14:paraId="39D9857C"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7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7E" w14:textId="77777777" w:rsidR="00996AD7" w:rsidRDefault="00D9645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39D9857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8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81" w14:textId="77777777" w:rsidR="00996AD7" w:rsidRDefault="00D96458">
            <w:pPr>
              <w:jc w:val="right"/>
              <w:textAlignment w:val="bottom"/>
            </w:pPr>
            <w:r>
              <w:rPr>
                <w:rFonts w:ascii="Arial" w:eastAsia="宋体" w:hAnsi="Arial" w:cs="Arial"/>
                <w:color w:val="262626"/>
                <w:sz w:val="18"/>
                <w:szCs w:val="18"/>
              </w:rPr>
              <w:t>1,000 </w:t>
            </w:r>
          </w:p>
        </w:tc>
        <w:tc>
          <w:tcPr>
            <w:tcW w:w="0" w:type="auto"/>
            <w:shd w:val="clear" w:color="auto" w:fill="auto"/>
            <w:tcMar>
              <w:top w:w="40" w:type="dxa"/>
              <w:left w:w="0" w:type="dxa"/>
              <w:bottom w:w="40" w:type="dxa"/>
              <w:right w:w="20" w:type="dxa"/>
            </w:tcMar>
            <w:vAlign w:val="bottom"/>
          </w:tcPr>
          <w:p w14:paraId="39D98582" w14:textId="77777777" w:rsidR="00996AD7" w:rsidRDefault="00996AD7">
            <w:pPr>
              <w:jc w:val="right"/>
              <w:rPr>
                <w:rFonts w:ascii="宋体"/>
              </w:rPr>
            </w:pPr>
          </w:p>
        </w:tc>
        <w:tc>
          <w:tcPr>
            <w:tcW w:w="0" w:type="auto"/>
            <w:shd w:val="clear" w:color="auto" w:fill="auto"/>
            <w:vAlign w:val="bottom"/>
          </w:tcPr>
          <w:p w14:paraId="39D98583" w14:textId="77777777" w:rsidR="00996AD7" w:rsidRDefault="00996AD7">
            <w:pPr>
              <w:rPr>
                <w:rFonts w:ascii="宋体"/>
                <w:vanish/>
              </w:rPr>
            </w:pPr>
          </w:p>
        </w:tc>
        <w:tc>
          <w:tcPr>
            <w:tcW w:w="0" w:type="auto"/>
            <w:shd w:val="clear" w:color="auto" w:fill="auto"/>
            <w:vAlign w:val="bottom"/>
          </w:tcPr>
          <w:p w14:paraId="39D98584" w14:textId="77777777" w:rsidR="00996AD7" w:rsidRDefault="00996AD7">
            <w:pPr>
              <w:rPr>
                <w:rFonts w:ascii="宋体"/>
                <w:vanish/>
              </w:rPr>
            </w:pPr>
          </w:p>
        </w:tc>
      </w:tr>
      <w:tr w:rsidR="00996AD7" w14:paraId="39D98592" w14:textId="77777777">
        <w:tc>
          <w:tcPr>
            <w:tcW w:w="0" w:type="auto"/>
            <w:gridSpan w:val="3"/>
            <w:shd w:val="clear" w:color="auto" w:fill="auto"/>
            <w:tcMar>
              <w:top w:w="40" w:type="dxa"/>
              <w:left w:w="140" w:type="dxa"/>
              <w:bottom w:w="40" w:type="dxa"/>
              <w:right w:w="20" w:type="dxa"/>
            </w:tcMar>
            <w:vAlign w:val="center"/>
          </w:tcPr>
          <w:p w14:paraId="39D98586" w14:textId="77777777" w:rsidR="00996AD7" w:rsidRDefault="00D96458">
            <w:pPr>
              <w:textAlignment w:val="center"/>
            </w:pPr>
            <w:r>
              <w:rPr>
                <w:rFonts w:ascii="Arial" w:eastAsia="宋体" w:hAnsi="Arial" w:cs="Arial"/>
                <w:color w:val="262626"/>
                <w:sz w:val="18"/>
                <w:szCs w:val="18"/>
              </w:rPr>
              <w:t>3.20%, due August 2061</w:t>
            </w:r>
          </w:p>
        </w:tc>
        <w:tc>
          <w:tcPr>
            <w:tcW w:w="0" w:type="auto"/>
            <w:gridSpan w:val="3"/>
            <w:shd w:val="clear" w:color="auto" w:fill="auto"/>
            <w:tcMar>
              <w:top w:w="0" w:type="dxa"/>
              <w:left w:w="20" w:type="dxa"/>
              <w:bottom w:w="0" w:type="dxa"/>
              <w:right w:w="20" w:type="dxa"/>
            </w:tcMar>
            <w:vAlign w:val="bottom"/>
          </w:tcPr>
          <w:p w14:paraId="39D9858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88" w14:textId="77777777" w:rsidR="00996AD7" w:rsidRDefault="00D96458">
            <w:pPr>
              <w:jc w:val="right"/>
              <w:textAlignment w:val="bottom"/>
            </w:pPr>
            <w:r>
              <w:rPr>
                <w:rFonts w:ascii="Arial" w:eastAsia="宋体" w:hAnsi="Arial" w:cs="Arial"/>
                <w:color w:val="0068B5"/>
                <w:sz w:val="18"/>
                <w:szCs w:val="18"/>
              </w:rPr>
              <w:t>3.22 </w:t>
            </w:r>
          </w:p>
        </w:tc>
        <w:tc>
          <w:tcPr>
            <w:tcW w:w="0" w:type="auto"/>
            <w:shd w:val="clear" w:color="auto" w:fill="auto"/>
            <w:tcMar>
              <w:top w:w="40" w:type="dxa"/>
              <w:left w:w="0" w:type="dxa"/>
              <w:bottom w:w="40" w:type="dxa"/>
              <w:right w:w="20" w:type="dxa"/>
            </w:tcMar>
            <w:vAlign w:val="bottom"/>
          </w:tcPr>
          <w:p w14:paraId="39D98589"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8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8B" w14:textId="77777777" w:rsidR="00996AD7" w:rsidRDefault="00D96458">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39D9858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8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8E"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58F" w14:textId="77777777" w:rsidR="00996AD7" w:rsidRDefault="00996AD7">
            <w:pPr>
              <w:jc w:val="right"/>
              <w:rPr>
                <w:rFonts w:ascii="宋体"/>
              </w:rPr>
            </w:pPr>
          </w:p>
        </w:tc>
        <w:tc>
          <w:tcPr>
            <w:tcW w:w="0" w:type="auto"/>
            <w:shd w:val="clear" w:color="auto" w:fill="auto"/>
            <w:vAlign w:val="bottom"/>
          </w:tcPr>
          <w:p w14:paraId="39D98590" w14:textId="77777777" w:rsidR="00996AD7" w:rsidRDefault="00996AD7">
            <w:pPr>
              <w:rPr>
                <w:rFonts w:ascii="宋体"/>
                <w:vanish/>
              </w:rPr>
            </w:pPr>
          </w:p>
        </w:tc>
        <w:tc>
          <w:tcPr>
            <w:tcW w:w="0" w:type="auto"/>
            <w:shd w:val="clear" w:color="auto" w:fill="auto"/>
            <w:vAlign w:val="bottom"/>
          </w:tcPr>
          <w:p w14:paraId="39D98591" w14:textId="77777777" w:rsidR="00996AD7" w:rsidRDefault="00996AD7">
            <w:pPr>
              <w:rPr>
                <w:rFonts w:ascii="宋体"/>
                <w:vanish/>
              </w:rPr>
            </w:pPr>
          </w:p>
        </w:tc>
      </w:tr>
      <w:tr w:rsidR="00996AD7" w14:paraId="39D9859C" w14:textId="77777777">
        <w:tc>
          <w:tcPr>
            <w:tcW w:w="0" w:type="auto"/>
            <w:gridSpan w:val="3"/>
            <w:shd w:val="clear" w:color="auto" w:fill="auto"/>
            <w:tcMar>
              <w:top w:w="40" w:type="dxa"/>
              <w:left w:w="20" w:type="dxa"/>
              <w:bottom w:w="40" w:type="dxa"/>
              <w:right w:w="20" w:type="dxa"/>
            </w:tcMar>
            <w:vAlign w:val="center"/>
          </w:tcPr>
          <w:p w14:paraId="39D98593" w14:textId="77777777" w:rsidR="00996AD7" w:rsidRDefault="00D96458">
            <w:pPr>
              <w:textAlignment w:val="center"/>
            </w:pPr>
            <w:r>
              <w:rPr>
                <w:rFonts w:ascii="Arial" w:eastAsia="宋体" w:hAnsi="Arial" w:cs="Arial"/>
                <w:color w:val="262626"/>
                <w:sz w:val="18"/>
                <w:szCs w:val="18"/>
              </w:rPr>
              <w:t>Oreg</w:t>
            </w:r>
            <w:r>
              <w:rPr>
                <w:rFonts w:ascii="Arial" w:eastAsia="宋体" w:hAnsi="Arial" w:cs="Arial"/>
                <w:color w:val="262626"/>
                <w:sz w:val="18"/>
                <w:szCs w:val="18"/>
              </w:rPr>
              <w:t>on and Arizona bonds:</w:t>
            </w:r>
          </w:p>
        </w:tc>
        <w:tc>
          <w:tcPr>
            <w:tcW w:w="0" w:type="auto"/>
            <w:gridSpan w:val="3"/>
            <w:shd w:val="clear" w:color="auto" w:fill="auto"/>
            <w:tcMar>
              <w:top w:w="0" w:type="dxa"/>
              <w:left w:w="20" w:type="dxa"/>
              <w:bottom w:w="0" w:type="dxa"/>
              <w:right w:w="20" w:type="dxa"/>
            </w:tcMar>
            <w:vAlign w:val="bottom"/>
          </w:tcPr>
          <w:p w14:paraId="39D9859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9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9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9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9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99" w14:textId="77777777" w:rsidR="00996AD7" w:rsidRDefault="00996AD7">
            <w:pPr>
              <w:rPr>
                <w:rFonts w:ascii="宋体"/>
              </w:rPr>
            </w:pPr>
          </w:p>
        </w:tc>
        <w:tc>
          <w:tcPr>
            <w:tcW w:w="0" w:type="auto"/>
            <w:shd w:val="clear" w:color="auto" w:fill="auto"/>
            <w:vAlign w:val="bottom"/>
          </w:tcPr>
          <w:p w14:paraId="39D9859A" w14:textId="77777777" w:rsidR="00996AD7" w:rsidRDefault="00996AD7">
            <w:pPr>
              <w:rPr>
                <w:rFonts w:ascii="宋体"/>
                <w:vanish/>
              </w:rPr>
            </w:pPr>
          </w:p>
        </w:tc>
        <w:tc>
          <w:tcPr>
            <w:tcW w:w="0" w:type="auto"/>
            <w:shd w:val="clear" w:color="auto" w:fill="auto"/>
            <w:vAlign w:val="bottom"/>
          </w:tcPr>
          <w:p w14:paraId="39D9859B" w14:textId="77777777" w:rsidR="00996AD7" w:rsidRDefault="00996AD7">
            <w:pPr>
              <w:rPr>
                <w:rFonts w:ascii="宋体"/>
                <w:vanish/>
              </w:rPr>
            </w:pPr>
          </w:p>
        </w:tc>
      </w:tr>
      <w:tr w:rsidR="00996AD7" w14:paraId="39D985A9" w14:textId="77777777">
        <w:tc>
          <w:tcPr>
            <w:tcW w:w="0" w:type="auto"/>
            <w:gridSpan w:val="3"/>
            <w:shd w:val="clear" w:color="auto" w:fill="auto"/>
            <w:tcMar>
              <w:top w:w="40" w:type="dxa"/>
              <w:left w:w="20" w:type="dxa"/>
              <w:bottom w:w="40" w:type="dxa"/>
              <w:right w:w="20" w:type="dxa"/>
            </w:tcMar>
            <w:vAlign w:val="center"/>
          </w:tcPr>
          <w:p w14:paraId="39D9859D" w14:textId="77777777" w:rsidR="00996AD7" w:rsidRDefault="00D96458">
            <w:pPr>
              <w:spacing w:after="180"/>
              <w:textAlignment w:val="center"/>
            </w:pPr>
            <w:r>
              <w:rPr>
                <w:rFonts w:ascii="Arial" w:eastAsia="宋体" w:hAnsi="Arial" w:cs="Arial"/>
                <w:color w:val="262626"/>
                <w:sz w:val="18"/>
                <w:szCs w:val="18"/>
              </w:rPr>
              <w:t>2.40%-2.70%, due December 2035 - 2040</w:t>
            </w:r>
          </w:p>
        </w:tc>
        <w:tc>
          <w:tcPr>
            <w:tcW w:w="0" w:type="auto"/>
            <w:gridSpan w:val="3"/>
            <w:shd w:val="clear" w:color="auto" w:fill="auto"/>
            <w:tcMar>
              <w:top w:w="0" w:type="dxa"/>
              <w:left w:w="20" w:type="dxa"/>
              <w:bottom w:w="0" w:type="dxa"/>
              <w:right w:w="20" w:type="dxa"/>
            </w:tcMar>
            <w:vAlign w:val="bottom"/>
          </w:tcPr>
          <w:p w14:paraId="39D9859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9F" w14:textId="77777777" w:rsidR="00996AD7" w:rsidRDefault="00D96458">
            <w:pPr>
              <w:jc w:val="right"/>
              <w:textAlignment w:val="bottom"/>
            </w:pPr>
            <w:r>
              <w:rPr>
                <w:rFonts w:ascii="Arial" w:eastAsia="宋体" w:hAnsi="Arial" w:cs="Arial"/>
                <w:color w:val="0068B5"/>
                <w:sz w:val="18"/>
                <w:szCs w:val="18"/>
              </w:rPr>
              <w:t>2.49 </w:t>
            </w:r>
          </w:p>
        </w:tc>
        <w:tc>
          <w:tcPr>
            <w:tcW w:w="0" w:type="auto"/>
            <w:shd w:val="clear" w:color="auto" w:fill="auto"/>
            <w:tcMar>
              <w:top w:w="40" w:type="dxa"/>
              <w:left w:w="0" w:type="dxa"/>
              <w:bottom w:w="40" w:type="dxa"/>
              <w:right w:w="20" w:type="dxa"/>
            </w:tcMar>
            <w:vAlign w:val="bottom"/>
          </w:tcPr>
          <w:p w14:paraId="39D985A0"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A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A2" w14:textId="77777777" w:rsidR="00996AD7" w:rsidRDefault="00D96458">
            <w:pPr>
              <w:jc w:val="right"/>
              <w:textAlignment w:val="bottom"/>
            </w:pPr>
            <w:r>
              <w:rPr>
                <w:rFonts w:ascii="Arial" w:eastAsia="宋体" w:hAnsi="Arial" w:cs="Arial"/>
                <w:color w:val="0068B5"/>
                <w:sz w:val="18"/>
                <w:szCs w:val="18"/>
              </w:rPr>
              <w:t>423 </w:t>
            </w:r>
          </w:p>
        </w:tc>
        <w:tc>
          <w:tcPr>
            <w:tcW w:w="0" w:type="auto"/>
            <w:shd w:val="clear" w:color="auto" w:fill="auto"/>
            <w:tcMar>
              <w:top w:w="40" w:type="dxa"/>
              <w:left w:w="0" w:type="dxa"/>
              <w:bottom w:w="40" w:type="dxa"/>
              <w:right w:w="20" w:type="dxa"/>
            </w:tcMar>
            <w:vAlign w:val="bottom"/>
          </w:tcPr>
          <w:p w14:paraId="39D985A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A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A5" w14:textId="77777777" w:rsidR="00996AD7" w:rsidRDefault="00D96458">
            <w:pPr>
              <w:jc w:val="right"/>
              <w:textAlignment w:val="bottom"/>
            </w:pPr>
            <w:r>
              <w:rPr>
                <w:rFonts w:ascii="Arial" w:eastAsia="宋体" w:hAnsi="Arial" w:cs="Arial"/>
                <w:color w:val="000000"/>
                <w:sz w:val="18"/>
                <w:szCs w:val="18"/>
              </w:rPr>
              <w:t>423 </w:t>
            </w:r>
          </w:p>
        </w:tc>
        <w:tc>
          <w:tcPr>
            <w:tcW w:w="0" w:type="auto"/>
            <w:shd w:val="clear" w:color="auto" w:fill="auto"/>
            <w:tcMar>
              <w:top w:w="40" w:type="dxa"/>
              <w:left w:w="0" w:type="dxa"/>
              <w:bottom w:w="40" w:type="dxa"/>
              <w:right w:w="20" w:type="dxa"/>
            </w:tcMar>
            <w:vAlign w:val="bottom"/>
          </w:tcPr>
          <w:p w14:paraId="39D985A6" w14:textId="77777777" w:rsidR="00996AD7" w:rsidRDefault="00996AD7">
            <w:pPr>
              <w:jc w:val="right"/>
              <w:rPr>
                <w:rFonts w:ascii="宋体"/>
              </w:rPr>
            </w:pPr>
          </w:p>
        </w:tc>
        <w:tc>
          <w:tcPr>
            <w:tcW w:w="0" w:type="auto"/>
            <w:shd w:val="clear" w:color="auto" w:fill="auto"/>
            <w:vAlign w:val="bottom"/>
          </w:tcPr>
          <w:p w14:paraId="39D985A7" w14:textId="77777777" w:rsidR="00996AD7" w:rsidRDefault="00996AD7">
            <w:pPr>
              <w:rPr>
                <w:rFonts w:ascii="宋体"/>
                <w:vanish/>
              </w:rPr>
            </w:pPr>
          </w:p>
        </w:tc>
        <w:tc>
          <w:tcPr>
            <w:tcW w:w="0" w:type="auto"/>
            <w:shd w:val="clear" w:color="auto" w:fill="auto"/>
            <w:vAlign w:val="bottom"/>
          </w:tcPr>
          <w:p w14:paraId="39D985A8" w14:textId="77777777" w:rsidR="00996AD7" w:rsidRDefault="00996AD7">
            <w:pPr>
              <w:rPr>
                <w:rFonts w:ascii="宋体"/>
                <w:vanish/>
              </w:rPr>
            </w:pPr>
          </w:p>
        </w:tc>
      </w:tr>
      <w:tr w:rsidR="00996AD7" w14:paraId="39D985B6" w14:textId="77777777">
        <w:tc>
          <w:tcPr>
            <w:tcW w:w="0" w:type="auto"/>
            <w:gridSpan w:val="3"/>
            <w:shd w:val="clear" w:color="auto" w:fill="auto"/>
            <w:tcMar>
              <w:top w:w="40" w:type="dxa"/>
              <w:left w:w="155" w:type="dxa"/>
              <w:bottom w:w="40" w:type="dxa"/>
              <w:right w:w="20" w:type="dxa"/>
            </w:tcMar>
            <w:vAlign w:val="center"/>
          </w:tcPr>
          <w:p w14:paraId="39D985AA" w14:textId="77777777" w:rsidR="00996AD7" w:rsidRDefault="00D96458">
            <w:pPr>
              <w:textAlignment w:val="center"/>
            </w:pPr>
            <w:r>
              <w:rPr>
                <w:rFonts w:ascii="Arial" w:eastAsia="宋体" w:hAnsi="Arial" w:cs="Arial"/>
                <w:color w:val="262626"/>
                <w:sz w:val="18"/>
                <w:szCs w:val="18"/>
              </w:rPr>
              <w:t>5.00%, du</w:t>
            </w:r>
            <w:r>
              <w:rPr>
                <w:rFonts w:ascii="Arial" w:eastAsia="宋体" w:hAnsi="Arial" w:cs="Arial"/>
                <w:color w:val="262626"/>
                <w:sz w:val="18"/>
                <w:szCs w:val="18"/>
              </w:rPr>
              <w:t>e March 2049</w:t>
            </w:r>
          </w:p>
        </w:tc>
        <w:tc>
          <w:tcPr>
            <w:tcW w:w="0" w:type="auto"/>
            <w:gridSpan w:val="3"/>
            <w:shd w:val="clear" w:color="auto" w:fill="auto"/>
            <w:tcMar>
              <w:top w:w="0" w:type="dxa"/>
              <w:left w:w="20" w:type="dxa"/>
              <w:bottom w:w="0" w:type="dxa"/>
              <w:right w:w="20" w:type="dxa"/>
            </w:tcMar>
            <w:vAlign w:val="bottom"/>
          </w:tcPr>
          <w:p w14:paraId="39D985A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AC" w14:textId="77777777" w:rsidR="00996AD7" w:rsidRDefault="00D96458">
            <w:pPr>
              <w:jc w:val="right"/>
              <w:textAlignment w:val="bottom"/>
            </w:pPr>
            <w:r>
              <w:rPr>
                <w:rFonts w:ascii="Arial" w:eastAsia="宋体" w:hAnsi="Arial" w:cs="Arial"/>
                <w:color w:val="0068B5"/>
                <w:sz w:val="18"/>
                <w:szCs w:val="18"/>
              </w:rPr>
              <w:t>2.12 </w:t>
            </w:r>
          </w:p>
        </w:tc>
        <w:tc>
          <w:tcPr>
            <w:tcW w:w="0" w:type="auto"/>
            <w:shd w:val="clear" w:color="auto" w:fill="auto"/>
            <w:tcMar>
              <w:top w:w="40" w:type="dxa"/>
              <w:left w:w="0" w:type="dxa"/>
              <w:bottom w:w="40" w:type="dxa"/>
              <w:right w:w="20" w:type="dxa"/>
            </w:tcMar>
            <w:vAlign w:val="bottom"/>
          </w:tcPr>
          <w:p w14:paraId="39D985AD"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A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AF" w14:textId="77777777" w:rsidR="00996AD7" w:rsidRDefault="00D96458">
            <w:pPr>
              <w:jc w:val="right"/>
              <w:textAlignment w:val="bottom"/>
            </w:pPr>
            <w:r>
              <w:rPr>
                <w:rFonts w:ascii="Arial" w:eastAsia="宋体" w:hAnsi="Arial" w:cs="Arial"/>
                <w:color w:val="0068B5"/>
                <w:sz w:val="18"/>
                <w:szCs w:val="18"/>
              </w:rPr>
              <w:t>138 </w:t>
            </w:r>
          </w:p>
        </w:tc>
        <w:tc>
          <w:tcPr>
            <w:tcW w:w="0" w:type="auto"/>
            <w:shd w:val="clear" w:color="auto" w:fill="auto"/>
            <w:tcMar>
              <w:top w:w="40" w:type="dxa"/>
              <w:left w:w="0" w:type="dxa"/>
              <w:bottom w:w="40" w:type="dxa"/>
              <w:right w:w="20" w:type="dxa"/>
            </w:tcMar>
            <w:vAlign w:val="bottom"/>
          </w:tcPr>
          <w:p w14:paraId="39D985B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B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B2" w14:textId="77777777" w:rsidR="00996AD7" w:rsidRDefault="00D96458">
            <w:pPr>
              <w:jc w:val="right"/>
              <w:textAlignment w:val="bottom"/>
            </w:pPr>
            <w:r>
              <w:rPr>
                <w:rFonts w:ascii="Arial" w:eastAsia="宋体" w:hAnsi="Arial" w:cs="Arial"/>
                <w:color w:val="000000"/>
                <w:sz w:val="18"/>
                <w:szCs w:val="18"/>
              </w:rPr>
              <w:t>138 </w:t>
            </w:r>
          </w:p>
        </w:tc>
        <w:tc>
          <w:tcPr>
            <w:tcW w:w="0" w:type="auto"/>
            <w:shd w:val="clear" w:color="auto" w:fill="auto"/>
            <w:tcMar>
              <w:top w:w="40" w:type="dxa"/>
              <w:left w:w="0" w:type="dxa"/>
              <w:bottom w:w="40" w:type="dxa"/>
              <w:right w:w="20" w:type="dxa"/>
            </w:tcMar>
            <w:vAlign w:val="bottom"/>
          </w:tcPr>
          <w:p w14:paraId="39D985B3" w14:textId="77777777" w:rsidR="00996AD7" w:rsidRDefault="00996AD7">
            <w:pPr>
              <w:jc w:val="right"/>
              <w:rPr>
                <w:rFonts w:ascii="宋体"/>
              </w:rPr>
            </w:pPr>
          </w:p>
        </w:tc>
        <w:tc>
          <w:tcPr>
            <w:tcW w:w="0" w:type="auto"/>
            <w:shd w:val="clear" w:color="auto" w:fill="auto"/>
            <w:vAlign w:val="bottom"/>
          </w:tcPr>
          <w:p w14:paraId="39D985B4" w14:textId="77777777" w:rsidR="00996AD7" w:rsidRDefault="00996AD7">
            <w:pPr>
              <w:rPr>
                <w:rFonts w:ascii="宋体"/>
                <w:vanish/>
              </w:rPr>
            </w:pPr>
          </w:p>
        </w:tc>
        <w:tc>
          <w:tcPr>
            <w:tcW w:w="0" w:type="auto"/>
            <w:shd w:val="clear" w:color="auto" w:fill="auto"/>
            <w:vAlign w:val="bottom"/>
          </w:tcPr>
          <w:p w14:paraId="39D985B5" w14:textId="77777777" w:rsidR="00996AD7" w:rsidRDefault="00996AD7">
            <w:pPr>
              <w:rPr>
                <w:rFonts w:ascii="宋体"/>
                <w:vanish/>
              </w:rPr>
            </w:pPr>
          </w:p>
        </w:tc>
      </w:tr>
      <w:tr w:rsidR="00996AD7" w14:paraId="39D985C3" w14:textId="77777777">
        <w:tc>
          <w:tcPr>
            <w:tcW w:w="0" w:type="auto"/>
            <w:gridSpan w:val="3"/>
            <w:shd w:val="clear" w:color="auto" w:fill="auto"/>
            <w:tcMar>
              <w:top w:w="40" w:type="dxa"/>
              <w:left w:w="140" w:type="dxa"/>
              <w:bottom w:w="40" w:type="dxa"/>
              <w:right w:w="20" w:type="dxa"/>
            </w:tcMar>
            <w:vAlign w:val="center"/>
          </w:tcPr>
          <w:p w14:paraId="39D985B7" w14:textId="77777777" w:rsidR="00996AD7" w:rsidRDefault="00D96458">
            <w:pPr>
              <w:textAlignment w:val="center"/>
            </w:pPr>
            <w:r>
              <w:rPr>
                <w:rFonts w:ascii="Arial" w:eastAsia="宋体" w:hAnsi="Arial" w:cs="Arial"/>
                <w:color w:val="262626"/>
                <w:sz w:val="18"/>
                <w:szCs w:val="18"/>
              </w:rPr>
              <w:t>5.00%, due June 2049</w:t>
            </w:r>
          </w:p>
        </w:tc>
        <w:tc>
          <w:tcPr>
            <w:tcW w:w="0" w:type="auto"/>
            <w:gridSpan w:val="3"/>
            <w:shd w:val="clear" w:color="auto" w:fill="auto"/>
            <w:tcMar>
              <w:top w:w="0" w:type="dxa"/>
              <w:left w:w="20" w:type="dxa"/>
              <w:bottom w:w="0" w:type="dxa"/>
              <w:right w:w="20" w:type="dxa"/>
            </w:tcMar>
            <w:vAlign w:val="bottom"/>
          </w:tcPr>
          <w:p w14:paraId="39D985B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B9" w14:textId="77777777" w:rsidR="00996AD7" w:rsidRDefault="00D96458">
            <w:pPr>
              <w:jc w:val="right"/>
              <w:textAlignment w:val="bottom"/>
            </w:pPr>
            <w:r>
              <w:rPr>
                <w:rFonts w:ascii="Arial" w:eastAsia="宋体" w:hAnsi="Arial" w:cs="Arial"/>
                <w:color w:val="0068B5"/>
                <w:sz w:val="18"/>
                <w:szCs w:val="18"/>
              </w:rPr>
              <w:t>2.15 </w:t>
            </w:r>
          </w:p>
        </w:tc>
        <w:tc>
          <w:tcPr>
            <w:tcW w:w="0" w:type="auto"/>
            <w:shd w:val="clear" w:color="auto" w:fill="auto"/>
            <w:tcMar>
              <w:top w:w="40" w:type="dxa"/>
              <w:left w:w="0" w:type="dxa"/>
              <w:bottom w:w="40" w:type="dxa"/>
              <w:right w:w="20" w:type="dxa"/>
            </w:tcMar>
            <w:vAlign w:val="bottom"/>
          </w:tcPr>
          <w:p w14:paraId="39D985BA"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85B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BC" w14:textId="77777777" w:rsidR="00996AD7" w:rsidRDefault="00D96458">
            <w:pPr>
              <w:jc w:val="right"/>
              <w:textAlignment w:val="bottom"/>
            </w:pPr>
            <w:r>
              <w:rPr>
                <w:rFonts w:ascii="Arial" w:eastAsia="宋体" w:hAnsi="Arial" w:cs="Arial"/>
                <w:color w:val="0068B5"/>
                <w:sz w:val="18"/>
                <w:szCs w:val="18"/>
              </w:rPr>
              <w:t>438 </w:t>
            </w:r>
          </w:p>
        </w:tc>
        <w:tc>
          <w:tcPr>
            <w:tcW w:w="0" w:type="auto"/>
            <w:shd w:val="clear" w:color="auto" w:fill="auto"/>
            <w:tcMar>
              <w:top w:w="40" w:type="dxa"/>
              <w:left w:w="0" w:type="dxa"/>
              <w:bottom w:w="40" w:type="dxa"/>
              <w:right w:w="20" w:type="dxa"/>
            </w:tcMar>
            <w:vAlign w:val="bottom"/>
          </w:tcPr>
          <w:p w14:paraId="39D985B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B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BF" w14:textId="77777777" w:rsidR="00996AD7" w:rsidRDefault="00D96458">
            <w:pPr>
              <w:jc w:val="right"/>
              <w:textAlignment w:val="bottom"/>
            </w:pPr>
            <w:r>
              <w:rPr>
                <w:rFonts w:ascii="Arial" w:eastAsia="宋体" w:hAnsi="Arial" w:cs="Arial"/>
                <w:color w:val="262626"/>
                <w:sz w:val="18"/>
                <w:szCs w:val="18"/>
              </w:rPr>
              <w:t>438 </w:t>
            </w:r>
          </w:p>
        </w:tc>
        <w:tc>
          <w:tcPr>
            <w:tcW w:w="0" w:type="auto"/>
            <w:shd w:val="clear" w:color="auto" w:fill="auto"/>
            <w:tcMar>
              <w:top w:w="40" w:type="dxa"/>
              <w:left w:w="0" w:type="dxa"/>
              <w:bottom w:w="40" w:type="dxa"/>
              <w:right w:w="20" w:type="dxa"/>
            </w:tcMar>
            <w:vAlign w:val="bottom"/>
          </w:tcPr>
          <w:p w14:paraId="39D985C0" w14:textId="77777777" w:rsidR="00996AD7" w:rsidRDefault="00996AD7">
            <w:pPr>
              <w:jc w:val="right"/>
              <w:rPr>
                <w:rFonts w:ascii="宋体"/>
              </w:rPr>
            </w:pPr>
          </w:p>
        </w:tc>
        <w:tc>
          <w:tcPr>
            <w:tcW w:w="0" w:type="auto"/>
            <w:shd w:val="clear" w:color="auto" w:fill="auto"/>
            <w:vAlign w:val="bottom"/>
          </w:tcPr>
          <w:p w14:paraId="39D985C1" w14:textId="77777777" w:rsidR="00996AD7" w:rsidRDefault="00996AD7">
            <w:pPr>
              <w:rPr>
                <w:rFonts w:ascii="宋体"/>
                <w:vanish/>
              </w:rPr>
            </w:pPr>
          </w:p>
        </w:tc>
        <w:tc>
          <w:tcPr>
            <w:tcW w:w="0" w:type="auto"/>
            <w:shd w:val="clear" w:color="auto" w:fill="auto"/>
            <w:vAlign w:val="bottom"/>
          </w:tcPr>
          <w:p w14:paraId="39D985C2" w14:textId="77777777" w:rsidR="00996AD7" w:rsidRDefault="00996AD7">
            <w:pPr>
              <w:rPr>
                <w:rFonts w:ascii="宋体"/>
                <w:vanish/>
              </w:rPr>
            </w:pPr>
          </w:p>
        </w:tc>
      </w:tr>
      <w:tr w:rsidR="00996AD7" w14:paraId="39D985CF" w14:textId="77777777">
        <w:tc>
          <w:tcPr>
            <w:tcW w:w="0" w:type="auto"/>
            <w:gridSpan w:val="3"/>
            <w:shd w:val="clear" w:color="auto" w:fill="auto"/>
            <w:tcMar>
              <w:top w:w="40" w:type="dxa"/>
              <w:left w:w="20" w:type="dxa"/>
              <w:bottom w:w="40" w:type="dxa"/>
              <w:right w:w="20" w:type="dxa"/>
            </w:tcMar>
            <w:vAlign w:val="center"/>
          </w:tcPr>
          <w:p w14:paraId="39D985C4" w14:textId="77777777" w:rsidR="00996AD7" w:rsidRDefault="00D96458">
            <w:pPr>
              <w:textAlignment w:val="center"/>
            </w:pPr>
            <w:r>
              <w:rPr>
                <w:rFonts w:ascii="Arial" w:eastAsia="宋体" w:hAnsi="Arial" w:cs="Arial"/>
                <w:b/>
                <w:bCs/>
                <w:color w:val="262626"/>
                <w:sz w:val="18"/>
                <w:szCs w:val="18"/>
              </w:rPr>
              <w:t>Tota</w:t>
            </w:r>
            <w:r>
              <w:rPr>
                <w:rFonts w:ascii="Arial" w:eastAsia="宋体" w:hAnsi="Arial" w:cs="Arial"/>
                <w:b/>
                <w:bCs/>
                <w:color w:val="262626"/>
                <w:sz w:val="18"/>
                <w:szCs w:val="18"/>
              </w:rPr>
              <w:t>l Senior Notes and Other Borrowings</w:t>
            </w:r>
          </w:p>
        </w:tc>
        <w:tc>
          <w:tcPr>
            <w:tcW w:w="0" w:type="auto"/>
            <w:gridSpan w:val="3"/>
            <w:shd w:val="clear" w:color="auto" w:fill="auto"/>
            <w:tcMar>
              <w:top w:w="0" w:type="dxa"/>
              <w:left w:w="20" w:type="dxa"/>
              <w:bottom w:w="0" w:type="dxa"/>
              <w:right w:w="20" w:type="dxa"/>
            </w:tcMar>
            <w:vAlign w:val="bottom"/>
          </w:tcPr>
          <w:p w14:paraId="39D985C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C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C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5C8" w14:textId="77777777" w:rsidR="00996AD7" w:rsidRDefault="00D96458">
            <w:pPr>
              <w:jc w:val="right"/>
              <w:textAlignment w:val="bottom"/>
            </w:pPr>
            <w:r>
              <w:rPr>
                <w:rFonts w:ascii="Arial" w:eastAsia="宋体" w:hAnsi="Arial" w:cs="Arial"/>
                <w:b/>
                <w:bCs/>
                <w:color w:val="0068B5"/>
                <w:sz w:val="18"/>
                <w:szCs w:val="18"/>
              </w:rPr>
              <w:t>39,697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5C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CA"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5CB" w14:textId="77777777" w:rsidR="00996AD7" w:rsidRDefault="00D96458">
            <w:pPr>
              <w:jc w:val="right"/>
              <w:textAlignment w:val="bottom"/>
            </w:pPr>
            <w:r>
              <w:rPr>
                <w:rFonts w:ascii="Arial" w:eastAsia="宋体" w:hAnsi="Arial" w:cs="Arial"/>
                <w:b/>
                <w:bCs/>
                <w:color w:val="262626"/>
                <w:sz w:val="18"/>
                <w:szCs w:val="18"/>
              </w:rPr>
              <w:t>35,214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5CC" w14:textId="77777777" w:rsidR="00996AD7" w:rsidRDefault="00996AD7">
            <w:pPr>
              <w:jc w:val="right"/>
              <w:rPr>
                <w:rFonts w:ascii="宋体"/>
              </w:rPr>
            </w:pPr>
          </w:p>
        </w:tc>
        <w:tc>
          <w:tcPr>
            <w:tcW w:w="0" w:type="auto"/>
            <w:shd w:val="clear" w:color="auto" w:fill="auto"/>
            <w:vAlign w:val="bottom"/>
          </w:tcPr>
          <w:p w14:paraId="39D985CD" w14:textId="77777777" w:rsidR="00996AD7" w:rsidRDefault="00996AD7">
            <w:pPr>
              <w:rPr>
                <w:rFonts w:ascii="宋体"/>
                <w:vanish/>
              </w:rPr>
            </w:pPr>
          </w:p>
        </w:tc>
        <w:tc>
          <w:tcPr>
            <w:tcW w:w="0" w:type="auto"/>
            <w:shd w:val="clear" w:color="auto" w:fill="auto"/>
            <w:vAlign w:val="bottom"/>
          </w:tcPr>
          <w:p w14:paraId="39D985CE" w14:textId="77777777" w:rsidR="00996AD7" w:rsidRDefault="00996AD7">
            <w:pPr>
              <w:rPr>
                <w:rFonts w:ascii="宋体"/>
                <w:vanish/>
              </w:rPr>
            </w:pPr>
          </w:p>
        </w:tc>
      </w:tr>
      <w:tr w:rsidR="00996AD7" w14:paraId="39D985DB" w14:textId="77777777">
        <w:tc>
          <w:tcPr>
            <w:tcW w:w="0" w:type="auto"/>
            <w:gridSpan w:val="3"/>
            <w:shd w:val="clear" w:color="auto" w:fill="auto"/>
            <w:tcMar>
              <w:top w:w="40" w:type="dxa"/>
              <w:left w:w="140" w:type="dxa"/>
              <w:bottom w:w="40" w:type="dxa"/>
              <w:right w:w="20" w:type="dxa"/>
            </w:tcMar>
            <w:vAlign w:val="center"/>
          </w:tcPr>
          <w:p w14:paraId="39D985D0" w14:textId="77777777" w:rsidR="00996AD7" w:rsidRDefault="00D96458">
            <w:pPr>
              <w:textAlignment w:val="center"/>
            </w:pPr>
            <w:r>
              <w:rPr>
                <w:rFonts w:ascii="Arial" w:eastAsia="宋体" w:hAnsi="Arial" w:cs="Arial"/>
                <w:color w:val="262626"/>
                <w:sz w:val="18"/>
                <w:szCs w:val="18"/>
              </w:rPr>
              <w:t>Unamortized premium/discount and issuance costs</w:t>
            </w:r>
          </w:p>
        </w:tc>
        <w:tc>
          <w:tcPr>
            <w:tcW w:w="0" w:type="auto"/>
            <w:gridSpan w:val="3"/>
            <w:shd w:val="clear" w:color="auto" w:fill="auto"/>
            <w:tcMar>
              <w:top w:w="0" w:type="dxa"/>
              <w:left w:w="20" w:type="dxa"/>
              <w:bottom w:w="0" w:type="dxa"/>
              <w:right w:w="20" w:type="dxa"/>
            </w:tcMar>
            <w:vAlign w:val="bottom"/>
          </w:tcPr>
          <w:p w14:paraId="39D985D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D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D3"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5D4" w14:textId="77777777" w:rsidR="00996AD7" w:rsidRDefault="00D96458">
            <w:pPr>
              <w:jc w:val="right"/>
              <w:textAlignment w:val="bottom"/>
            </w:pPr>
            <w:r>
              <w:rPr>
                <w:rFonts w:ascii="Arial" w:eastAsia="宋体" w:hAnsi="Arial" w:cs="Arial"/>
                <w:color w:val="0068B5"/>
                <w:sz w:val="18"/>
                <w:szCs w:val="18"/>
              </w:rPr>
              <w:t>(402)</w:t>
            </w:r>
          </w:p>
        </w:tc>
        <w:tc>
          <w:tcPr>
            <w:tcW w:w="0" w:type="auto"/>
            <w:tcBorders>
              <w:top w:val="single" w:sz="4" w:space="0" w:color="262626"/>
            </w:tcBorders>
            <w:shd w:val="clear" w:color="auto" w:fill="auto"/>
            <w:tcMar>
              <w:top w:w="40" w:type="dxa"/>
              <w:left w:w="0" w:type="dxa"/>
              <w:bottom w:w="40" w:type="dxa"/>
              <w:right w:w="20" w:type="dxa"/>
            </w:tcMar>
            <w:vAlign w:val="bottom"/>
          </w:tcPr>
          <w:p w14:paraId="39D985D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D6"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5D7" w14:textId="77777777" w:rsidR="00996AD7" w:rsidRDefault="00D96458">
            <w:pPr>
              <w:jc w:val="right"/>
              <w:textAlignment w:val="bottom"/>
            </w:pPr>
            <w:r>
              <w:rPr>
                <w:rFonts w:ascii="Arial" w:eastAsia="宋体" w:hAnsi="Arial" w:cs="Arial"/>
                <w:color w:val="262626"/>
                <w:sz w:val="18"/>
                <w:szCs w:val="18"/>
              </w:rPr>
              <w:t>(378)</w:t>
            </w:r>
          </w:p>
        </w:tc>
        <w:tc>
          <w:tcPr>
            <w:tcW w:w="0" w:type="auto"/>
            <w:tcBorders>
              <w:top w:val="single" w:sz="4" w:space="0" w:color="262626"/>
            </w:tcBorders>
            <w:shd w:val="clear" w:color="auto" w:fill="auto"/>
            <w:tcMar>
              <w:top w:w="40" w:type="dxa"/>
              <w:left w:w="0" w:type="dxa"/>
              <w:bottom w:w="40" w:type="dxa"/>
              <w:right w:w="20" w:type="dxa"/>
            </w:tcMar>
            <w:vAlign w:val="bottom"/>
          </w:tcPr>
          <w:p w14:paraId="39D985D8" w14:textId="77777777" w:rsidR="00996AD7" w:rsidRDefault="00996AD7">
            <w:pPr>
              <w:jc w:val="right"/>
              <w:rPr>
                <w:rFonts w:ascii="宋体"/>
              </w:rPr>
            </w:pPr>
          </w:p>
        </w:tc>
        <w:tc>
          <w:tcPr>
            <w:tcW w:w="0" w:type="auto"/>
            <w:shd w:val="clear" w:color="auto" w:fill="auto"/>
            <w:vAlign w:val="bottom"/>
          </w:tcPr>
          <w:p w14:paraId="39D985D9" w14:textId="77777777" w:rsidR="00996AD7" w:rsidRDefault="00996AD7">
            <w:pPr>
              <w:rPr>
                <w:rFonts w:ascii="宋体"/>
                <w:vanish/>
              </w:rPr>
            </w:pPr>
          </w:p>
        </w:tc>
        <w:tc>
          <w:tcPr>
            <w:tcW w:w="0" w:type="auto"/>
            <w:shd w:val="clear" w:color="auto" w:fill="auto"/>
            <w:vAlign w:val="bottom"/>
          </w:tcPr>
          <w:p w14:paraId="39D985DA" w14:textId="77777777" w:rsidR="00996AD7" w:rsidRDefault="00996AD7">
            <w:pPr>
              <w:rPr>
                <w:rFonts w:ascii="宋体"/>
                <w:vanish/>
              </w:rPr>
            </w:pPr>
          </w:p>
        </w:tc>
      </w:tr>
      <w:tr w:rsidR="00996AD7" w14:paraId="39D985E7" w14:textId="77777777">
        <w:tc>
          <w:tcPr>
            <w:tcW w:w="0" w:type="auto"/>
            <w:gridSpan w:val="3"/>
            <w:shd w:val="clear" w:color="auto" w:fill="auto"/>
            <w:tcMar>
              <w:top w:w="40" w:type="dxa"/>
              <w:left w:w="140" w:type="dxa"/>
              <w:bottom w:w="40" w:type="dxa"/>
              <w:right w:w="20" w:type="dxa"/>
            </w:tcMar>
            <w:vAlign w:val="center"/>
          </w:tcPr>
          <w:p w14:paraId="39D985DC" w14:textId="77777777" w:rsidR="00996AD7" w:rsidRDefault="00D96458">
            <w:pPr>
              <w:textAlignment w:val="center"/>
            </w:pPr>
            <w:r>
              <w:rPr>
                <w:rFonts w:ascii="Arial" w:eastAsia="宋体" w:hAnsi="Arial" w:cs="Arial"/>
                <w:color w:val="262626"/>
                <w:sz w:val="18"/>
                <w:szCs w:val="18"/>
              </w:rPr>
              <w:t> Hedge accounting fair value adjustments</w:t>
            </w:r>
          </w:p>
        </w:tc>
        <w:tc>
          <w:tcPr>
            <w:tcW w:w="0" w:type="auto"/>
            <w:gridSpan w:val="3"/>
            <w:shd w:val="clear" w:color="auto" w:fill="auto"/>
            <w:tcMar>
              <w:top w:w="0" w:type="dxa"/>
              <w:left w:w="20" w:type="dxa"/>
              <w:bottom w:w="0" w:type="dxa"/>
              <w:right w:w="20" w:type="dxa"/>
            </w:tcMar>
            <w:vAlign w:val="bottom"/>
          </w:tcPr>
          <w:p w14:paraId="39D985D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D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D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E0" w14:textId="77777777" w:rsidR="00996AD7" w:rsidRDefault="00D96458">
            <w:pPr>
              <w:jc w:val="right"/>
              <w:textAlignment w:val="bottom"/>
            </w:pPr>
            <w:r>
              <w:rPr>
                <w:rFonts w:ascii="Arial" w:eastAsia="宋体" w:hAnsi="Arial" w:cs="Arial"/>
                <w:color w:val="0068B5"/>
                <w:sz w:val="18"/>
                <w:szCs w:val="18"/>
              </w:rPr>
              <w:t>1,009 </w:t>
            </w:r>
          </w:p>
        </w:tc>
        <w:tc>
          <w:tcPr>
            <w:tcW w:w="0" w:type="auto"/>
            <w:shd w:val="clear" w:color="auto" w:fill="auto"/>
            <w:tcMar>
              <w:top w:w="40" w:type="dxa"/>
              <w:left w:w="0" w:type="dxa"/>
              <w:bottom w:w="40" w:type="dxa"/>
              <w:right w:w="20" w:type="dxa"/>
            </w:tcMar>
            <w:vAlign w:val="bottom"/>
          </w:tcPr>
          <w:p w14:paraId="39D985E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E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5E3" w14:textId="77777777" w:rsidR="00996AD7" w:rsidRDefault="00D96458">
            <w:pPr>
              <w:jc w:val="right"/>
              <w:textAlignment w:val="bottom"/>
            </w:pPr>
            <w:r>
              <w:rPr>
                <w:rFonts w:ascii="Arial" w:eastAsia="宋体" w:hAnsi="Arial" w:cs="Arial"/>
                <w:color w:val="262626"/>
                <w:sz w:val="18"/>
                <w:szCs w:val="18"/>
              </w:rPr>
              <w:t>1,565 </w:t>
            </w:r>
          </w:p>
        </w:tc>
        <w:tc>
          <w:tcPr>
            <w:tcW w:w="0" w:type="auto"/>
            <w:shd w:val="clear" w:color="auto" w:fill="auto"/>
            <w:tcMar>
              <w:top w:w="40" w:type="dxa"/>
              <w:left w:w="0" w:type="dxa"/>
              <w:bottom w:w="40" w:type="dxa"/>
              <w:right w:w="20" w:type="dxa"/>
            </w:tcMar>
            <w:vAlign w:val="bottom"/>
          </w:tcPr>
          <w:p w14:paraId="39D985E4" w14:textId="77777777" w:rsidR="00996AD7" w:rsidRDefault="00996AD7">
            <w:pPr>
              <w:jc w:val="right"/>
              <w:rPr>
                <w:rFonts w:ascii="宋体"/>
              </w:rPr>
            </w:pPr>
          </w:p>
        </w:tc>
        <w:tc>
          <w:tcPr>
            <w:tcW w:w="0" w:type="auto"/>
            <w:shd w:val="clear" w:color="auto" w:fill="auto"/>
            <w:vAlign w:val="bottom"/>
          </w:tcPr>
          <w:p w14:paraId="39D985E5" w14:textId="77777777" w:rsidR="00996AD7" w:rsidRDefault="00996AD7">
            <w:pPr>
              <w:rPr>
                <w:rFonts w:ascii="宋体"/>
                <w:vanish/>
              </w:rPr>
            </w:pPr>
          </w:p>
        </w:tc>
        <w:tc>
          <w:tcPr>
            <w:tcW w:w="0" w:type="auto"/>
            <w:shd w:val="clear" w:color="auto" w:fill="auto"/>
            <w:vAlign w:val="bottom"/>
          </w:tcPr>
          <w:p w14:paraId="39D985E6" w14:textId="77777777" w:rsidR="00996AD7" w:rsidRDefault="00996AD7">
            <w:pPr>
              <w:rPr>
                <w:rFonts w:ascii="宋体"/>
                <w:vanish/>
              </w:rPr>
            </w:pPr>
          </w:p>
        </w:tc>
      </w:tr>
      <w:tr w:rsidR="00996AD7" w14:paraId="39D985F3" w14:textId="77777777">
        <w:tc>
          <w:tcPr>
            <w:tcW w:w="0" w:type="auto"/>
            <w:gridSpan w:val="3"/>
            <w:shd w:val="clear" w:color="auto" w:fill="auto"/>
            <w:tcMar>
              <w:top w:w="40" w:type="dxa"/>
              <w:left w:w="20" w:type="dxa"/>
              <w:bottom w:w="40" w:type="dxa"/>
              <w:right w:w="20" w:type="dxa"/>
            </w:tcMar>
            <w:vAlign w:val="center"/>
          </w:tcPr>
          <w:p w14:paraId="39D985E8" w14:textId="77777777" w:rsidR="00996AD7" w:rsidRDefault="00D96458">
            <w:pPr>
              <w:textAlignment w:val="center"/>
            </w:pPr>
            <w:r>
              <w:rPr>
                <w:rFonts w:ascii="Arial" w:eastAsia="宋体" w:hAnsi="Arial" w:cs="Arial"/>
                <w:b/>
                <w:bCs/>
                <w:color w:val="262626"/>
                <w:sz w:val="18"/>
                <w:szCs w:val="18"/>
              </w:rPr>
              <w:t>Long-term debt</w:t>
            </w:r>
          </w:p>
        </w:tc>
        <w:tc>
          <w:tcPr>
            <w:tcW w:w="0" w:type="auto"/>
            <w:gridSpan w:val="3"/>
            <w:shd w:val="clear" w:color="auto" w:fill="auto"/>
            <w:tcMar>
              <w:top w:w="0" w:type="dxa"/>
              <w:left w:w="20" w:type="dxa"/>
              <w:bottom w:w="0" w:type="dxa"/>
              <w:right w:w="20" w:type="dxa"/>
            </w:tcMar>
            <w:vAlign w:val="bottom"/>
          </w:tcPr>
          <w:p w14:paraId="39D985E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E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EB"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5EC" w14:textId="77777777" w:rsidR="00996AD7" w:rsidRDefault="00D96458">
            <w:pPr>
              <w:jc w:val="right"/>
              <w:textAlignment w:val="bottom"/>
            </w:pPr>
            <w:r>
              <w:rPr>
                <w:rFonts w:ascii="Arial" w:eastAsia="宋体" w:hAnsi="Arial" w:cs="Arial"/>
                <w:b/>
                <w:bCs/>
                <w:color w:val="0068B5"/>
                <w:sz w:val="18"/>
                <w:szCs w:val="18"/>
              </w:rPr>
              <w:t>40,304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5E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EE"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5EF" w14:textId="77777777" w:rsidR="00996AD7" w:rsidRDefault="00D96458">
            <w:pPr>
              <w:jc w:val="right"/>
              <w:textAlignment w:val="bottom"/>
            </w:pPr>
            <w:r>
              <w:rPr>
                <w:rFonts w:ascii="Arial" w:eastAsia="宋体" w:hAnsi="Arial" w:cs="Arial"/>
                <w:b/>
                <w:bCs/>
                <w:color w:val="262626"/>
                <w:sz w:val="18"/>
                <w:szCs w:val="18"/>
              </w:rPr>
              <w:t>36,401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5F0" w14:textId="77777777" w:rsidR="00996AD7" w:rsidRDefault="00996AD7">
            <w:pPr>
              <w:jc w:val="right"/>
              <w:rPr>
                <w:rFonts w:ascii="宋体"/>
              </w:rPr>
            </w:pPr>
          </w:p>
        </w:tc>
        <w:tc>
          <w:tcPr>
            <w:tcW w:w="0" w:type="auto"/>
            <w:shd w:val="clear" w:color="auto" w:fill="auto"/>
            <w:vAlign w:val="bottom"/>
          </w:tcPr>
          <w:p w14:paraId="39D985F1" w14:textId="77777777" w:rsidR="00996AD7" w:rsidRDefault="00996AD7">
            <w:pPr>
              <w:rPr>
                <w:rFonts w:ascii="宋体"/>
                <w:vanish/>
              </w:rPr>
            </w:pPr>
          </w:p>
        </w:tc>
        <w:tc>
          <w:tcPr>
            <w:tcW w:w="0" w:type="auto"/>
            <w:shd w:val="clear" w:color="auto" w:fill="auto"/>
            <w:vAlign w:val="bottom"/>
          </w:tcPr>
          <w:p w14:paraId="39D985F2" w14:textId="77777777" w:rsidR="00996AD7" w:rsidRDefault="00996AD7">
            <w:pPr>
              <w:rPr>
                <w:rFonts w:ascii="宋体"/>
                <w:vanish/>
              </w:rPr>
            </w:pPr>
          </w:p>
        </w:tc>
      </w:tr>
      <w:tr w:rsidR="00996AD7" w14:paraId="39D985FF" w14:textId="77777777">
        <w:tc>
          <w:tcPr>
            <w:tcW w:w="0" w:type="auto"/>
            <w:gridSpan w:val="3"/>
            <w:shd w:val="clear" w:color="auto" w:fill="auto"/>
            <w:tcMar>
              <w:top w:w="40" w:type="dxa"/>
              <w:left w:w="140" w:type="dxa"/>
              <w:bottom w:w="40" w:type="dxa"/>
              <w:right w:w="20" w:type="dxa"/>
            </w:tcMar>
            <w:vAlign w:val="center"/>
          </w:tcPr>
          <w:p w14:paraId="39D985F4" w14:textId="77777777" w:rsidR="00996AD7" w:rsidRDefault="00D96458">
            <w:pPr>
              <w:textAlignment w:val="center"/>
            </w:pPr>
            <w:r>
              <w:rPr>
                <w:rFonts w:ascii="Arial" w:eastAsia="宋体" w:hAnsi="Arial" w:cs="Arial"/>
                <w:color w:val="262626"/>
                <w:sz w:val="18"/>
                <w:szCs w:val="18"/>
              </w:rPr>
              <w:t xml:space="preserve">Current portion of </w:t>
            </w:r>
            <w:r>
              <w:rPr>
                <w:rFonts w:ascii="Arial" w:eastAsia="宋体" w:hAnsi="Arial" w:cs="Arial"/>
                <w:color w:val="262626"/>
                <w:sz w:val="18"/>
                <w:szCs w:val="18"/>
              </w:rPr>
              <w:t>long-term debt</w:t>
            </w:r>
          </w:p>
        </w:tc>
        <w:tc>
          <w:tcPr>
            <w:tcW w:w="0" w:type="auto"/>
            <w:gridSpan w:val="3"/>
            <w:shd w:val="clear" w:color="auto" w:fill="auto"/>
            <w:tcMar>
              <w:top w:w="0" w:type="dxa"/>
              <w:left w:w="20" w:type="dxa"/>
              <w:bottom w:w="0" w:type="dxa"/>
              <w:right w:w="20" w:type="dxa"/>
            </w:tcMar>
            <w:vAlign w:val="bottom"/>
          </w:tcPr>
          <w:p w14:paraId="39D985F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F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5F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5F8" w14:textId="77777777" w:rsidR="00996AD7" w:rsidRDefault="00D96458">
            <w:pPr>
              <w:jc w:val="right"/>
              <w:textAlignment w:val="bottom"/>
            </w:pPr>
            <w:r>
              <w:rPr>
                <w:rFonts w:ascii="Arial" w:eastAsia="宋体" w:hAnsi="Arial" w:cs="Arial"/>
                <w:color w:val="0068B5"/>
                <w:sz w:val="18"/>
                <w:szCs w:val="18"/>
              </w:rPr>
              <w:t>(4,694)</w:t>
            </w:r>
          </w:p>
        </w:tc>
        <w:tc>
          <w:tcPr>
            <w:tcW w:w="0" w:type="auto"/>
            <w:tcBorders>
              <w:top w:val="single" w:sz="4" w:space="0" w:color="262626"/>
            </w:tcBorders>
            <w:shd w:val="clear" w:color="auto" w:fill="auto"/>
            <w:tcMar>
              <w:top w:w="40" w:type="dxa"/>
              <w:left w:w="0" w:type="dxa"/>
              <w:bottom w:w="40" w:type="dxa"/>
              <w:right w:w="20" w:type="dxa"/>
            </w:tcMar>
            <w:vAlign w:val="bottom"/>
          </w:tcPr>
          <w:p w14:paraId="39D985F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5FA"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5FB" w14:textId="77777777" w:rsidR="00996AD7" w:rsidRDefault="00D96458">
            <w:pPr>
              <w:jc w:val="right"/>
              <w:textAlignment w:val="bottom"/>
            </w:pPr>
            <w:r>
              <w:rPr>
                <w:rFonts w:ascii="Arial" w:eastAsia="宋体" w:hAnsi="Arial" w:cs="Arial"/>
                <w:color w:val="262626"/>
                <w:sz w:val="18"/>
                <w:szCs w:val="18"/>
              </w:rPr>
              <w:t>(2,504)</w:t>
            </w:r>
          </w:p>
        </w:tc>
        <w:tc>
          <w:tcPr>
            <w:tcW w:w="0" w:type="auto"/>
            <w:tcBorders>
              <w:top w:val="single" w:sz="4" w:space="0" w:color="262626"/>
            </w:tcBorders>
            <w:shd w:val="clear" w:color="auto" w:fill="auto"/>
            <w:tcMar>
              <w:top w:w="40" w:type="dxa"/>
              <w:left w:w="0" w:type="dxa"/>
              <w:bottom w:w="40" w:type="dxa"/>
              <w:right w:w="20" w:type="dxa"/>
            </w:tcMar>
            <w:vAlign w:val="bottom"/>
          </w:tcPr>
          <w:p w14:paraId="39D985FC" w14:textId="77777777" w:rsidR="00996AD7" w:rsidRDefault="00996AD7">
            <w:pPr>
              <w:jc w:val="right"/>
              <w:rPr>
                <w:rFonts w:ascii="宋体"/>
              </w:rPr>
            </w:pPr>
          </w:p>
        </w:tc>
        <w:tc>
          <w:tcPr>
            <w:tcW w:w="0" w:type="auto"/>
            <w:shd w:val="clear" w:color="auto" w:fill="auto"/>
            <w:vAlign w:val="bottom"/>
          </w:tcPr>
          <w:p w14:paraId="39D985FD" w14:textId="77777777" w:rsidR="00996AD7" w:rsidRDefault="00996AD7">
            <w:pPr>
              <w:rPr>
                <w:rFonts w:ascii="宋体"/>
                <w:vanish/>
              </w:rPr>
            </w:pPr>
          </w:p>
        </w:tc>
        <w:tc>
          <w:tcPr>
            <w:tcW w:w="0" w:type="auto"/>
            <w:shd w:val="clear" w:color="auto" w:fill="auto"/>
            <w:vAlign w:val="bottom"/>
          </w:tcPr>
          <w:p w14:paraId="39D985FE" w14:textId="77777777" w:rsidR="00996AD7" w:rsidRDefault="00996AD7">
            <w:pPr>
              <w:rPr>
                <w:rFonts w:ascii="宋体"/>
                <w:vanish/>
              </w:rPr>
            </w:pPr>
          </w:p>
        </w:tc>
      </w:tr>
      <w:tr w:rsidR="00996AD7" w14:paraId="39D98609" w14:textId="77777777">
        <w:trPr>
          <w:hidden/>
        </w:trPr>
        <w:tc>
          <w:tcPr>
            <w:tcW w:w="0" w:type="auto"/>
            <w:gridSpan w:val="3"/>
            <w:shd w:val="clear" w:color="auto" w:fill="auto"/>
            <w:vAlign w:val="bottom"/>
          </w:tcPr>
          <w:p w14:paraId="39D98600" w14:textId="77777777" w:rsidR="00996AD7" w:rsidRDefault="00996AD7">
            <w:pPr>
              <w:rPr>
                <w:rFonts w:ascii="宋体"/>
                <w:vanish/>
              </w:rPr>
            </w:pPr>
          </w:p>
        </w:tc>
        <w:tc>
          <w:tcPr>
            <w:tcW w:w="0" w:type="auto"/>
            <w:gridSpan w:val="3"/>
            <w:shd w:val="clear" w:color="auto" w:fill="auto"/>
            <w:vAlign w:val="bottom"/>
          </w:tcPr>
          <w:p w14:paraId="39D98601" w14:textId="77777777" w:rsidR="00996AD7" w:rsidRDefault="00996AD7">
            <w:pPr>
              <w:rPr>
                <w:rFonts w:ascii="宋体"/>
                <w:vanish/>
              </w:rPr>
            </w:pPr>
          </w:p>
        </w:tc>
        <w:tc>
          <w:tcPr>
            <w:tcW w:w="0" w:type="auto"/>
            <w:gridSpan w:val="3"/>
            <w:shd w:val="clear" w:color="auto" w:fill="auto"/>
            <w:vAlign w:val="bottom"/>
          </w:tcPr>
          <w:p w14:paraId="39D98602" w14:textId="77777777" w:rsidR="00996AD7" w:rsidRDefault="00996AD7">
            <w:pPr>
              <w:rPr>
                <w:rFonts w:ascii="宋体"/>
                <w:vanish/>
              </w:rPr>
            </w:pPr>
          </w:p>
        </w:tc>
        <w:tc>
          <w:tcPr>
            <w:tcW w:w="0" w:type="auto"/>
            <w:gridSpan w:val="3"/>
            <w:shd w:val="clear" w:color="auto" w:fill="auto"/>
            <w:vAlign w:val="bottom"/>
          </w:tcPr>
          <w:p w14:paraId="39D98603" w14:textId="77777777" w:rsidR="00996AD7" w:rsidRDefault="00996AD7">
            <w:pPr>
              <w:rPr>
                <w:rFonts w:ascii="宋体"/>
                <w:vanish/>
              </w:rPr>
            </w:pPr>
          </w:p>
        </w:tc>
        <w:tc>
          <w:tcPr>
            <w:tcW w:w="0" w:type="auto"/>
            <w:gridSpan w:val="3"/>
            <w:shd w:val="clear" w:color="auto" w:fill="auto"/>
            <w:vAlign w:val="bottom"/>
          </w:tcPr>
          <w:p w14:paraId="39D98604" w14:textId="77777777" w:rsidR="00996AD7" w:rsidRDefault="00996AD7">
            <w:pPr>
              <w:rPr>
                <w:rFonts w:ascii="宋体"/>
                <w:vanish/>
              </w:rPr>
            </w:pPr>
          </w:p>
        </w:tc>
        <w:tc>
          <w:tcPr>
            <w:tcW w:w="0" w:type="auto"/>
            <w:gridSpan w:val="3"/>
            <w:shd w:val="clear" w:color="auto" w:fill="auto"/>
            <w:vAlign w:val="bottom"/>
          </w:tcPr>
          <w:p w14:paraId="39D98605" w14:textId="77777777" w:rsidR="00996AD7" w:rsidRDefault="00996AD7">
            <w:pPr>
              <w:rPr>
                <w:rFonts w:ascii="宋体"/>
                <w:vanish/>
              </w:rPr>
            </w:pPr>
          </w:p>
        </w:tc>
        <w:tc>
          <w:tcPr>
            <w:tcW w:w="0" w:type="auto"/>
            <w:gridSpan w:val="3"/>
            <w:shd w:val="clear" w:color="auto" w:fill="auto"/>
            <w:vAlign w:val="bottom"/>
          </w:tcPr>
          <w:p w14:paraId="39D98606" w14:textId="77777777" w:rsidR="00996AD7" w:rsidRDefault="00996AD7">
            <w:pPr>
              <w:rPr>
                <w:rFonts w:ascii="宋体"/>
                <w:vanish/>
              </w:rPr>
            </w:pPr>
          </w:p>
        </w:tc>
        <w:tc>
          <w:tcPr>
            <w:tcW w:w="0" w:type="auto"/>
            <w:shd w:val="clear" w:color="auto" w:fill="auto"/>
            <w:vAlign w:val="bottom"/>
          </w:tcPr>
          <w:p w14:paraId="39D98607" w14:textId="77777777" w:rsidR="00996AD7" w:rsidRDefault="00996AD7">
            <w:pPr>
              <w:rPr>
                <w:rFonts w:ascii="宋体"/>
                <w:vanish/>
              </w:rPr>
            </w:pPr>
          </w:p>
        </w:tc>
        <w:tc>
          <w:tcPr>
            <w:tcW w:w="0" w:type="auto"/>
            <w:shd w:val="clear" w:color="auto" w:fill="auto"/>
            <w:vAlign w:val="bottom"/>
          </w:tcPr>
          <w:p w14:paraId="39D98608" w14:textId="77777777" w:rsidR="00996AD7" w:rsidRDefault="00996AD7">
            <w:pPr>
              <w:rPr>
                <w:rFonts w:ascii="宋体"/>
                <w:vanish/>
              </w:rPr>
            </w:pPr>
          </w:p>
        </w:tc>
      </w:tr>
      <w:tr w:rsidR="00996AD7" w14:paraId="39D98617" w14:textId="77777777">
        <w:tc>
          <w:tcPr>
            <w:tcW w:w="0" w:type="auto"/>
            <w:gridSpan w:val="3"/>
            <w:shd w:val="clear" w:color="auto" w:fill="auto"/>
            <w:tcMar>
              <w:top w:w="40" w:type="dxa"/>
              <w:left w:w="35" w:type="dxa"/>
              <w:bottom w:w="40" w:type="dxa"/>
              <w:right w:w="20" w:type="dxa"/>
            </w:tcMar>
            <w:vAlign w:val="center"/>
          </w:tcPr>
          <w:p w14:paraId="39D9860A" w14:textId="77777777" w:rsidR="00996AD7" w:rsidRDefault="00D96458">
            <w:pPr>
              <w:textAlignment w:val="center"/>
            </w:pPr>
            <w:r>
              <w:rPr>
                <w:rFonts w:ascii="Arial" w:eastAsia="宋体" w:hAnsi="Arial" w:cs="Arial"/>
                <w:b/>
                <w:bCs/>
                <w:color w:val="262626"/>
                <w:sz w:val="18"/>
                <w:szCs w:val="18"/>
              </w:rPr>
              <w:t>Total long-term debt</w:t>
            </w:r>
          </w:p>
        </w:tc>
        <w:tc>
          <w:tcPr>
            <w:tcW w:w="0" w:type="auto"/>
            <w:gridSpan w:val="3"/>
            <w:shd w:val="clear" w:color="auto" w:fill="auto"/>
            <w:tcMar>
              <w:top w:w="0" w:type="dxa"/>
              <w:left w:w="20" w:type="dxa"/>
              <w:bottom w:w="0" w:type="dxa"/>
              <w:right w:w="20" w:type="dxa"/>
            </w:tcMar>
            <w:vAlign w:val="bottom"/>
          </w:tcPr>
          <w:p w14:paraId="39D9860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0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0D"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60E"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60F" w14:textId="77777777" w:rsidR="00996AD7" w:rsidRDefault="00D96458">
            <w:pPr>
              <w:jc w:val="right"/>
              <w:textAlignment w:val="bottom"/>
            </w:pPr>
            <w:r>
              <w:rPr>
                <w:rFonts w:ascii="Arial" w:eastAsia="宋体" w:hAnsi="Arial" w:cs="Arial"/>
                <w:b/>
                <w:bCs/>
                <w:color w:val="0068B5"/>
                <w:sz w:val="18"/>
                <w:szCs w:val="18"/>
              </w:rPr>
              <w:t>35,610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61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11"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612"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613" w14:textId="77777777" w:rsidR="00996AD7" w:rsidRDefault="00D96458">
            <w:pPr>
              <w:jc w:val="right"/>
              <w:textAlignment w:val="bottom"/>
            </w:pPr>
            <w:r>
              <w:rPr>
                <w:rFonts w:ascii="Arial" w:eastAsia="宋体" w:hAnsi="Arial" w:cs="Arial"/>
                <w:b/>
                <w:bCs/>
                <w:color w:val="262626"/>
                <w:sz w:val="18"/>
                <w:szCs w:val="18"/>
              </w:rPr>
              <w:t>33,897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614" w14:textId="77777777" w:rsidR="00996AD7" w:rsidRDefault="00996AD7">
            <w:pPr>
              <w:jc w:val="right"/>
              <w:rPr>
                <w:rFonts w:ascii="宋体"/>
              </w:rPr>
            </w:pPr>
          </w:p>
        </w:tc>
        <w:tc>
          <w:tcPr>
            <w:tcW w:w="0" w:type="auto"/>
            <w:shd w:val="clear" w:color="auto" w:fill="auto"/>
            <w:vAlign w:val="bottom"/>
          </w:tcPr>
          <w:p w14:paraId="39D98615" w14:textId="77777777" w:rsidR="00996AD7" w:rsidRDefault="00996AD7">
            <w:pPr>
              <w:rPr>
                <w:rFonts w:ascii="宋体"/>
                <w:vanish/>
              </w:rPr>
            </w:pPr>
          </w:p>
        </w:tc>
        <w:tc>
          <w:tcPr>
            <w:tcW w:w="0" w:type="auto"/>
            <w:shd w:val="clear" w:color="auto" w:fill="auto"/>
            <w:vAlign w:val="bottom"/>
          </w:tcPr>
          <w:p w14:paraId="39D98616" w14:textId="77777777" w:rsidR="00996AD7" w:rsidRDefault="00996AD7">
            <w:pPr>
              <w:rPr>
                <w:rFonts w:ascii="宋体"/>
                <w:vanish/>
              </w:rPr>
            </w:pPr>
          </w:p>
        </w:tc>
      </w:tr>
    </w:tbl>
    <w:p w14:paraId="39D98618" w14:textId="77777777" w:rsidR="00996AD7" w:rsidRDefault="00D96458">
      <w:pPr>
        <w:spacing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 xml:space="preserve"> To manage foreign currency risk associated with the Australian-dollar-denominated notes issued in 2015, we entered into currency interest rate swaps with an aggregate notional amount of $396 million, which effectively converted these notes </w:t>
      </w:r>
      <w:r>
        <w:rPr>
          <w:rFonts w:ascii="Arial" w:eastAsia="宋体" w:hAnsi="Arial" w:cs="Arial"/>
          <w:i/>
          <w:iCs/>
          <w:color w:val="262626"/>
          <w:sz w:val="16"/>
          <w:szCs w:val="16"/>
        </w:rPr>
        <w:t>to U.S.-dollar-denominated notes. For further discussion on derivatives in cash flow hedging relationships, see "Note 12: Derivative Financial Instruments."</w:t>
      </w:r>
    </w:p>
    <w:p w14:paraId="39D98619" w14:textId="77777777" w:rsidR="00996AD7" w:rsidRDefault="00996AD7">
      <w:pPr>
        <w:spacing w:after="180"/>
      </w:pPr>
    </w:p>
    <w:p w14:paraId="39D9861A" w14:textId="77777777" w:rsidR="00996AD7" w:rsidRDefault="00996AD7">
      <w:pPr>
        <w:spacing w:after="180"/>
      </w:pPr>
    </w:p>
    <w:p w14:paraId="39D9861B" w14:textId="77777777" w:rsidR="00996AD7" w:rsidRDefault="00996AD7">
      <w:pPr>
        <w:spacing w:after="180"/>
      </w:pPr>
    </w:p>
    <w:p w14:paraId="39D9861C" w14:textId="77777777" w:rsidR="00996AD7" w:rsidRDefault="00996AD7">
      <w:pPr>
        <w:spacing w:after="180"/>
      </w:pPr>
    </w:p>
    <w:p w14:paraId="39D9861D" w14:textId="77777777" w:rsidR="00996AD7" w:rsidRDefault="00996AD7">
      <w:pPr>
        <w:spacing w:after="180"/>
      </w:pPr>
    </w:p>
    <w:p w14:paraId="39D9861E" w14:textId="77777777" w:rsidR="00996AD7" w:rsidRDefault="00996AD7">
      <w:pPr>
        <w:spacing w:after="180"/>
      </w:pPr>
    </w:p>
    <w:p w14:paraId="39D9861F" w14:textId="77777777" w:rsidR="00996AD7" w:rsidRDefault="00996AD7">
      <w:pPr>
        <w:spacing w:after="180"/>
      </w:pPr>
    </w:p>
    <w:p w14:paraId="39D98620"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862D" w14:textId="77777777">
        <w:tc>
          <w:tcPr>
            <w:tcW w:w="50" w:type="pct"/>
            <w:shd w:val="clear" w:color="auto" w:fill="auto"/>
            <w:vAlign w:val="bottom"/>
          </w:tcPr>
          <w:p w14:paraId="39D98621" w14:textId="77777777" w:rsidR="00996AD7" w:rsidRDefault="00996AD7">
            <w:pPr>
              <w:rPr>
                <w:rFonts w:ascii="宋体"/>
              </w:rPr>
            </w:pPr>
          </w:p>
        </w:tc>
        <w:tc>
          <w:tcPr>
            <w:tcW w:w="238" w:type="pct"/>
            <w:shd w:val="clear" w:color="auto" w:fill="auto"/>
            <w:vAlign w:val="bottom"/>
          </w:tcPr>
          <w:p w14:paraId="39D98622" w14:textId="77777777" w:rsidR="00996AD7" w:rsidRDefault="00996AD7">
            <w:pPr>
              <w:rPr>
                <w:rFonts w:ascii="宋体"/>
              </w:rPr>
            </w:pPr>
          </w:p>
        </w:tc>
        <w:tc>
          <w:tcPr>
            <w:tcW w:w="5" w:type="pct"/>
            <w:shd w:val="clear" w:color="auto" w:fill="auto"/>
            <w:vAlign w:val="bottom"/>
          </w:tcPr>
          <w:p w14:paraId="39D98623" w14:textId="77777777" w:rsidR="00996AD7" w:rsidRDefault="00996AD7">
            <w:pPr>
              <w:rPr>
                <w:rFonts w:ascii="宋体"/>
              </w:rPr>
            </w:pPr>
          </w:p>
        </w:tc>
        <w:tc>
          <w:tcPr>
            <w:tcW w:w="50" w:type="pct"/>
            <w:shd w:val="clear" w:color="auto" w:fill="auto"/>
            <w:vAlign w:val="bottom"/>
          </w:tcPr>
          <w:p w14:paraId="39D98624" w14:textId="77777777" w:rsidR="00996AD7" w:rsidRDefault="00996AD7">
            <w:pPr>
              <w:rPr>
                <w:rFonts w:ascii="宋体"/>
              </w:rPr>
            </w:pPr>
          </w:p>
        </w:tc>
        <w:tc>
          <w:tcPr>
            <w:tcW w:w="983" w:type="pct"/>
            <w:shd w:val="clear" w:color="auto" w:fill="auto"/>
            <w:vAlign w:val="bottom"/>
          </w:tcPr>
          <w:p w14:paraId="39D98625" w14:textId="77777777" w:rsidR="00996AD7" w:rsidRDefault="00996AD7">
            <w:pPr>
              <w:rPr>
                <w:rFonts w:ascii="宋体"/>
              </w:rPr>
            </w:pPr>
          </w:p>
        </w:tc>
        <w:tc>
          <w:tcPr>
            <w:tcW w:w="5" w:type="pct"/>
            <w:shd w:val="clear" w:color="auto" w:fill="auto"/>
            <w:vAlign w:val="bottom"/>
          </w:tcPr>
          <w:p w14:paraId="39D98626" w14:textId="77777777" w:rsidR="00996AD7" w:rsidRDefault="00996AD7">
            <w:pPr>
              <w:rPr>
                <w:rFonts w:ascii="宋体"/>
              </w:rPr>
            </w:pPr>
          </w:p>
        </w:tc>
        <w:tc>
          <w:tcPr>
            <w:tcW w:w="50" w:type="pct"/>
            <w:shd w:val="clear" w:color="auto" w:fill="auto"/>
            <w:vAlign w:val="bottom"/>
          </w:tcPr>
          <w:p w14:paraId="39D98627" w14:textId="77777777" w:rsidR="00996AD7" w:rsidRDefault="00996AD7">
            <w:pPr>
              <w:rPr>
                <w:rFonts w:ascii="宋体"/>
              </w:rPr>
            </w:pPr>
          </w:p>
        </w:tc>
        <w:tc>
          <w:tcPr>
            <w:tcW w:w="2035" w:type="pct"/>
            <w:shd w:val="clear" w:color="auto" w:fill="auto"/>
            <w:vAlign w:val="bottom"/>
          </w:tcPr>
          <w:p w14:paraId="39D98628" w14:textId="77777777" w:rsidR="00996AD7" w:rsidRDefault="00996AD7">
            <w:pPr>
              <w:rPr>
                <w:rFonts w:ascii="宋体"/>
              </w:rPr>
            </w:pPr>
          </w:p>
        </w:tc>
        <w:tc>
          <w:tcPr>
            <w:tcW w:w="5" w:type="pct"/>
            <w:shd w:val="clear" w:color="auto" w:fill="auto"/>
            <w:vAlign w:val="bottom"/>
          </w:tcPr>
          <w:p w14:paraId="39D98629" w14:textId="77777777" w:rsidR="00996AD7" w:rsidRDefault="00996AD7">
            <w:pPr>
              <w:rPr>
                <w:rFonts w:ascii="宋体"/>
              </w:rPr>
            </w:pPr>
          </w:p>
        </w:tc>
        <w:tc>
          <w:tcPr>
            <w:tcW w:w="50" w:type="pct"/>
            <w:shd w:val="clear" w:color="auto" w:fill="auto"/>
            <w:vAlign w:val="bottom"/>
          </w:tcPr>
          <w:p w14:paraId="39D9862A" w14:textId="77777777" w:rsidR="00996AD7" w:rsidRDefault="00996AD7">
            <w:pPr>
              <w:rPr>
                <w:rFonts w:ascii="宋体"/>
              </w:rPr>
            </w:pPr>
          </w:p>
        </w:tc>
        <w:tc>
          <w:tcPr>
            <w:tcW w:w="1522" w:type="pct"/>
            <w:shd w:val="clear" w:color="auto" w:fill="auto"/>
            <w:vAlign w:val="bottom"/>
          </w:tcPr>
          <w:p w14:paraId="39D9862B" w14:textId="77777777" w:rsidR="00996AD7" w:rsidRDefault="00996AD7">
            <w:pPr>
              <w:rPr>
                <w:rFonts w:ascii="宋体"/>
              </w:rPr>
            </w:pPr>
          </w:p>
        </w:tc>
        <w:tc>
          <w:tcPr>
            <w:tcW w:w="5" w:type="pct"/>
            <w:shd w:val="clear" w:color="auto" w:fill="auto"/>
            <w:vAlign w:val="bottom"/>
          </w:tcPr>
          <w:p w14:paraId="39D9862C" w14:textId="77777777" w:rsidR="00996AD7" w:rsidRDefault="00996AD7">
            <w:pPr>
              <w:rPr>
                <w:rFonts w:ascii="宋体"/>
              </w:rPr>
            </w:pPr>
          </w:p>
        </w:tc>
      </w:tr>
      <w:tr w:rsidR="00996AD7" w14:paraId="39D9863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62E"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BD" wp14:editId="39D9A3BE">
                  <wp:extent cx="304800" cy="304800"/>
                  <wp:effectExtent l="0" t="0" r="0" b="0"/>
                  <wp:docPr id="64" name="图片 6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7"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62F"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8630"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631" w14:textId="77777777" w:rsidR="00996AD7" w:rsidRDefault="00D96458">
            <w:pPr>
              <w:jc w:val="right"/>
              <w:textAlignment w:val="center"/>
            </w:pPr>
            <w:r>
              <w:rPr>
                <w:rFonts w:ascii="Arial" w:eastAsia="宋体" w:hAnsi="Arial" w:cs="Arial"/>
                <w:color w:val="262626"/>
                <w:sz w:val="16"/>
                <w:szCs w:val="16"/>
              </w:rPr>
              <w:t>14</w:t>
            </w:r>
          </w:p>
        </w:tc>
      </w:tr>
    </w:tbl>
    <w:p w14:paraId="39D98633" w14:textId="77777777" w:rsidR="00996AD7" w:rsidRDefault="00D96458">
      <w:r>
        <w:pict w14:anchorId="39D9A3BF">
          <v:rect id="_x0000_i1040" style="width:415.3pt;height:1.5pt" o:hralign="center" o:hrstd="t" o:hr="t" fillcolor="#a0a0a0" stroked="f"/>
        </w:pict>
      </w:r>
    </w:p>
    <w:p w14:paraId="39D98634" w14:textId="77777777" w:rsidR="00996AD7" w:rsidRDefault="00D96458">
      <w:pPr>
        <w:spacing w:after="180"/>
        <w:jc w:val="right"/>
      </w:pPr>
      <w:hyperlink r:id="rId41" w:anchor="i94e6cc3aa83643b8b968bd5bab038338_7" w:history="1">
        <w:r>
          <w:rPr>
            <w:rStyle w:val="a5"/>
            <w:rFonts w:ascii="Arial" w:eastAsia="宋体" w:hAnsi="Arial" w:cs="Arial"/>
            <w:b/>
            <w:bCs/>
            <w:color w:val="0068B5"/>
            <w:sz w:val="16"/>
            <w:szCs w:val="16"/>
          </w:rPr>
          <w:t>Table of Contents</w:t>
        </w:r>
      </w:hyperlink>
    </w:p>
    <w:p w14:paraId="39D98635"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996AD7" w14:paraId="39D9863C" w14:textId="77777777">
        <w:tc>
          <w:tcPr>
            <w:tcW w:w="50" w:type="pct"/>
            <w:shd w:val="clear" w:color="auto" w:fill="auto"/>
            <w:vAlign w:val="bottom"/>
          </w:tcPr>
          <w:p w14:paraId="39D98636" w14:textId="77777777" w:rsidR="00996AD7" w:rsidRDefault="00996AD7">
            <w:pPr>
              <w:rPr>
                <w:rFonts w:ascii="宋体"/>
              </w:rPr>
            </w:pPr>
          </w:p>
        </w:tc>
        <w:tc>
          <w:tcPr>
            <w:tcW w:w="511" w:type="pct"/>
            <w:shd w:val="clear" w:color="auto" w:fill="auto"/>
            <w:vAlign w:val="bottom"/>
          </w:tcPr>
          <w:p w14:paraId="39D98637" w14:textId="77777777" w:rsidR="00996AD7" w:rsidRDefault="00996AD7">
            <w:pPr>
              <w:rPr>
                <w:rFonts w:ascii="宋体"/>
              </w:rPr>
            </w:pPr>
          </w:p>
        </w:tc>
        <w:tc>
          <w:tcPr>
            <w:tcW w:w="5" w:type="pct"/>
            <w:shd w:val="clear" w:color="auto" w:fill="auto"/>
            <w:vAlign w:val="bottom"/>
          </w:tcPr>
          <w:p w14:paraId="39D98638" w14:textId="77777777" w:rsidR="00996AD7" w:rsidRDefault="00996AD7">
            <w:pPr>
              <w:rPr>
                <w:rFonts w:ascii="宋体"/>
              </w:rPr>
            </w:pPr>
          </w:p>
        </w:tc>
        <w:tc>
          <w:tcPr>
            <w:tcW w:w="50" w:type="pct"/>
            <w:shd w:val="clear" w:color="auto" w:fill="auto"/>
            <w:vAlign w:val="bottom"/>
          </w:tcPr>
          <w:p w14:paraId="39D98639" w14:textId="77777777" w:rsidR="00996AD7" w:rsidRDefault="00996AD7">
            <w:pPr>
              <w:rPr>
                <w:rFonts w:ascii="宋体"/>
              </w:rPr>
            </w:pPr>
          </w:p>
        </w:tc>
        <w:tc>
          <w:tcPr>
            <w:tcW w:w="4378" w:type="pct"/>
            <w:shd w:val="clear" w:color="auto" w:fill="auto"/>
            <w:vAlign w:val="bottom"/>
          </w:tcPr>
          <w:p w14:paraId="39D9863A" w14:textId="77777777" w:rsidR="00996AD7" w:rsidRDefault="00996AD7">
            <w:pPr>
              <w:rPr>
                <w:rFonts w:ascii="宋体"/>
              </w:rPr>
            </w:pPr>
          </w:p>
        </w:tc>
        <w:tc>
          <w:tcPr>
            <w:tcW w:w="5" w:type="pct"/>
            <w:shd w:val="clear" w:color="auto" w:fill="auto"/>
            <w:vAlign w:val="bottom"/>
          </w:tcPr>
          <w:p w14:paraId="39D9863B" w14:textId="77777777" w:rsidR="00996AD7" w:rsidRDefault="00996AD7">
            <w:pPr>
              <w:rPr>
                <w:rFonts w:ascii="宋体"/>
              </w:rPr>
            </w:pPr>
          </w:p>
        </w:tc>
      </w:tr>
      <w:tr w:rsidR="00996AD7" w14:paraId="39D9863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39D9863D" w14:textId="77777777" w:rsidR="00996AD7" w:rsidRDefault="00D96458">
            <w:pPr>
              <w:textAlignment w:val="bottom"/>
            </w:pPr>
            <w:r>
              <w:rPr>
                <w:rFonts w:ascii="Arial" w:eastAsia="宋体" w:hAnsi="Arial" w:cs="Arial"/>
                <w:color w:val="FFFFFF"/>
                <w:sz w:val="28"/>
                <w:szCs w:val="28"/>
              </w:rPr>
              <w:t xml:space="preserve">Note 10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863E" w14:textId="77777777" w:rsidR="00996AD7" w:rsidRDefault="00D96458">
            <w:pPr>
              <w:textAlignment w:val="bottom"/>
            </w:pPr>
            <w:r>
              <w:rPr>
                <w:rFonts w:ascii="Arial" w:eastAsia="宋体" w:hAnsi="Arial" w:cs="Arial"/>
                <w:color w:val="0068B5"/>
                <w:sz w:val="28"/>
                <w:szCs w:val="28"/>
              </w:rPr>
              <w:t>Fair Value</w:t>
            </w:r>
          </w:p>
        </w:tc>
      </w:tr>
    </w:tbl>
    <w:p w14:paraId="39D98640" w14:textId="77777777" w:rsidR="00996AD7" w:rsidRDefault="00D96458">
      <w:pPr>
        <w:spacing w:before="180" w:after="180"/>
      </w:pPr>
      <w:r>
        <w:rPr>
          <w:rFonts w:ascii="Arial" w:eastAsia="宋体" w:hAnsi="Arial" w:cs="Arial"/>
          <w:color w:val="0068B5"/>
        </w:rPr>
        <w:t xml:space="preserve">Assets and Liabilities Measured and Recorded at </w:t>
      </w:r>
      <w:r>
        <w:rPr>
          <w:rFonts w:ascii="Arial" w:eastAsia="宋体" w:hAnsi="Arial" w:cs="Arial"/>
          <w:color w:val="0068B5"/>
        </w:rPr>
        <w:t>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1351"/>
        <w:gridCol w:w="38"/>
        <w:gridCol w:w="36"/>
        <w:gridCol w:w="36"/>
        <w:gridCol w:w="36"/>
        <w:gridCol w:w="122"/>
        <w:gridCol w:w="564"/>
        <w:gridCol w:w="37"/>
        <w:gridCol w:w="37"/>
        <w:gridCol w:w="49"/>
        <w:gridCol w:w="37"/>
        <w:gridCol w:w="121"/>
        <w:gridCol w:w="601"/>
        <w:gridCol w:w="36"/>
        <w:gridCol w:w="36"/>
        <w:gridCol w:w="48"/>
        <w:gridCol w:w="36"/>
        <w:gridCol w:w="121"/>
        <w:gridCol w:w="563"/>
        <w:gridCol w:w="36"/>
        <w:gridCol w:w="36"/>
        <w:gridCol w:w="36"/>
        <w:gridCol w:w="36"/>
        <w:gridCol w:w="121"/>
        <w:gridCol w:w="601"/>
        <w:gridCol w:w="36"/>
        <w:gridCol w:w="36"/>
        <w:gridCol w:w="36"/>
        <w:gridCol w:w="36"/>
        <w:gridCol w:w="122"/>
        <w:gridCol w:w="564"/>
        <w:gridCol w:w="37"/>
        <w:gridCol w:w="37"/>
        <w:gridCol w:w="49"/>
        <w:gridCol w:w="37"/>
        <w:gridCol w:w="121"/>
        <w:gridCol w:w="601"/>
        <w:gridCol w:w="36"/>
        <w:gridCol w:w="36"/>
        <w:gridCol w:w="48"/>
        <w:gridCol w:w="36"/>
        <w:gridCol w:w="121"/>
        <w:gridCol w:w="563"/>
        <w:gridCol w:w="36"/>
        <w:gridCol w:w="36"/>
        <w:gridCol w:w="36"/>
        <w:gridCol w:w="36"/>
        <w:gridCol w:w="121"/>
        <w:gridCol w:w="601"/>
        <w:gridCol w:w="36"/>
        <w:gridCol w:w="36"/>
        <w:gridCol w:w="36"/>
      </w:tblGrid>
      <w:tr w:rsidR="00996AD7" w14:paraId="39D98676" w14:textId="77777777">
        <w:tc>
          <w:tcPr>
            <w:tcW w:w="50" w:type="pct"/>
            <w:shd w:val="clear" w:color="auto" w:fill="auto"/>
            <w:vAlign w:val="bottom"/>
          </w:tcPr>
          <w:p w14:paraId="39D98641" w14:textId="77777777" w:rsidR="00996AD7" w:rsidRDefault="00996AD7">
            <w:pPr>
              <w:rPr>
                <w:rFonts w:ascii="宋体"/>
              </w:rPr>
            </w:pPr>
          </w:p>
        </w:tc>
        <w:tc>
          <w:tcPr>
            <w:tcW w:w="1994" w:type="pct"/>
            <w:shd w:val="clear" w:color="auto" w:fill="auto"/>
            <w:vAlign w:val="bottom"/>
          </w:tcPr>
          <w:p w14:paraId="39D98642" w14:textId="77777777" w:rsidR="00996AD7" w:rsidRDefault="00996AD7">
            <w:pPr>
              <w:rPr>
                <w:rFonts w:ascii="宋体"/>
              </w:rPr>
            </w:pPr>
          </w:p>
        </w:tc>
        <w:tc>
          <w:tcPr>
            <w:tcW w:w="5" w:type="pct"/>
            <w:shd w:val="clear" w:color="auto" w:fill="auto"/>
            <w:vAlign w:val="bottom"/>
          </w:tcPr>
          <w:p w14:paraId="39D98643" w14:textId="77777777" w:rsidR="00996AD7" w:rsidRDefault="00996AD7">
            <w:pPr>
              <w:rPr>
                <w:rFonts w:ascii="宋体"/>
              </w:rPr>
            </w:pPr>
          </w:p>
        </w:tc>
        <w:tc>
          <w:tcPr>
            <w:tcW w:w="5" w:type="pct"/>
            <w:shd w:val="clear" w:color="auto" w:fill="auto"/>
            <w:vAlign w:val="bottom"/>
          </w:tcPr>
          <w:p w14:paraId="39D98644" w14:textId="77777777" w:rsidR="00996AD7" w:rsidRDefault="00996AD7">
            <w:pPr>
              <w:rPr>
                <w:rFonts w:ascii="宋体"/>
              </w:rPr>
            </w:pPr>
          </w:p>
        </w:tc>
        <w:tc>
          <w:tcPr>
            <w:tcW w:w="24" w:type="pct"/>
            <w:shd w:val="clear" w:color="auto" w:fill="auto"/>
            <w:vAlign w:val="bottom"/>
          </w:tcPr>
          <w:p w14:paraId="39D98645" w14:textId="77777777" w:rsidR="00996AD7" w:rsidRDefault="00996AD7">
            <w:pPr>
              <w:rPr>
                <w:rFonts w:ascii="宋体"/>
              </w:rPr>
            </w:pPr>
          </w:p>
        </w:tc>
        <w:tc>
          <w:tcPr>
            <w:tcW w:w="5" w:type="pct"/>
            <w:shd w:val="clear" w:color="auto" w:fill="auto"/>
            <w:vAlign w:val="bottom"/>
          </w:tcPr>
          <w:p w14:paraId="39D98646" w14:textId="77777777" w:rsidR="00996AD7" w:rsidRDefault="00996AD7">
            <w:pPr>
              <w:rPr>
                <w:rFonts w:ascii="宋体"/>
              </w:rPr>
            </w:pPr>
          </w:p>
        </w:tc>
        <w:tc>
          <w:tcPr>
            <w:tcW w:w="50" w:type="pct"/>
            <w:shd w:val="clear" w:color="auto" w:fill="auto"/>
            <w:vAlign w:val="bottom"/>
          </w:tcPr>
          <w:p w14:paraId="39D98647" w14:textId="77777777" w:rsidR="00996AD7" w:rsidRDefault="00996AD7">
            <w:pPr>
              <w:rPr>
                <w:rFonts w:ascii="宋体"/>
              </w:rPr>
            </w:pPr>
          </w:p>
        </w:tc>
        <w:tc>
          <w:tcPr>
            <w:tcW w:w="279" w:type="pct"/>
            <w:shd w:val="clear" w:color="auto" w:fill="auto"/>
            <w:vAlign w:val="bottom"/>
          </w:tcPr>
          <w:p w14:paraId="39D98648" w14:textId="77777777" w:rsidR="00996AD7" w:rsidRDefault="00996AD7">
            <w:pPr>
              <w:rPr>
                <w:rFonts w:ascii="宋体"/>
              </w:rPr>
            </w:pPr>
          </w:p>
        </w:tc>
        <w:tc>
          <w:tcPr>
            <w:tcW w:w="5" w:type="pct"/>
            <w:shd w:val="clear" w:color="auto" w:fill="auto"/>
            <w:vAlign w:val="bottom"/>
          </w:tcPr>
          <w:p w14:paraId="39D98649" w14:textId="77777777" w:rsidR="00996AD7" w:rsidRDefault="00996AD7">
            <w:pPr>
              <w:rPr>
                <w:rFonts w:ascii="宋体"/>
              </w:rPr>
            </w:pPr>
          </w:p>
        </w:tc>
        <w:tc>
          <w:tcPr>
            <w:tcW w:w="5" w:type="pct"/>
            <w:shd w:val="clear" w:color="auto" w:fill="auto"/>
            <w:vAlign w:val="bottom"/>
          </w:tcPr>
          <w:p w14:paraId="39D9864A" w14:textId="77777777" w:rsidR="00996AD7" w:rsidRDefault="00996AD7">
            <w:pPr>
              <w:rPr>
                <w:rFonts w:ascii="宋体"/>
              </w:rPr>
            </w:pPr>
          </w:p>
        </w:tc>
        <w:tc>
          <w:tcPr>
            <w:tcW w:w="24" w:type="pct"/>
            <w:shd w:val="clear" w:color="auto" w:fill="auto"/>
            <w:vAlign w:val="bottom"/>
          </w:tcPr>
          <w:p w14:paraId="39D9864B" w14:textId="77777777" w:rsidR="00996AD7" w:rsidRDefault="00996AD7">
            <w:pPr>
              <w:rPr>
                <w:rFonts w:ascii="宋体"/>
              </w:rPr>
            </w:pPr>
          </w:p>
        </w:tc>
        <w:tc>
          <w:tcPr>
            <w:tcW w:w="5" w:type="pct"/>
            <w:shd w:val="clear" w:color="auto" w:fill="auto"/>
            <w:vAlign w:val="bottom"/>
          </w:tcPr>
          <w:p w14:paraId="39D9864C" w14:textId="77777777" w:rsidR="00996AD7" w:rsidRDefault="00996AD7">
            <w:pPr>
              <w:rPr>
                <w:rFonts w:ascii="宋体"/>
              </w:rPr>
            </w:pPr>
          </w:p>
        </w:tc>
        <w:tc>
          <w:tcPr>
            <w:tcW w:w="50" w:type="pct"/>
            <w:shd w:val="clear" w:color="auto" w:fill="auto"/>
            <w:vAlign w:val="bottom"/>
          </w:tcPr>
          <w:p w14:paraId="39D9864D" w14:textId="77777777" w:rsidR="00996AD7" w:rsidRDefault="00996AD7">
            <w:pPr>
              <w:rPr>
                <w:rFonts w:ascii="宋体"/>
              </w:rPr>
            </w:pPr>
          </w:p>
        </w:tc>
        <w:tc>
          <w:tcPr>
            <w:tcW w:w="279" w:type="pct"/>
            <w:shd w:val="clear" w:color="auto" w:fill="auto"/>
            <w:vAlign w:val="bottom"/>
          </w:tcPr>
          <w:p w14:paraId="39D9864E" w14:textId="77777777" w:rsidR="00996AD7" w:rsidRDefault="00996AD7">
            <w:pPr>
              <w:rPr>
                <w:rFonts w:ascii="宋体"/>
              </w:rPr>
            </w:pPr>
          </w:p>
        </w:tc>
        <w:tc>
          <w:tcPr>
            <w:tcW w:w="5" w:type="pct"/>
            <w:shd w:val="clear" w:color="auto" w:fill="auto"/>
            <w:vAlign w:val="bottom"/>
          </w:tcPr>
          <w:p w14:paraId="39D9864F" w14:textId="77777777" w:rsidR="00996AD7" w:rsidRDefault="00996AD7">
            <w:pPr>
              <w:rPr>
                <w:rFonts w:ascii="宋体"/>
              </w:rPr>
            </w:pPr>
          </w:p>
        </w:tc>
        <w:tc>
          <w:tcPr>
            <w:tcW w:w="5" w:type="pct"/>
            <w:shd w:val="clear" w:color="auto" w:fill="auto"/>
            <w:vAlign w:val="bottom"/>
          </w:tcPr>
          <w:p w14:paraId="39D98650" w14:textId="77777777" w:rsidR="00996AD7" w:rsidRDefault="00996AD7">
            <w:pPr>
              <w:rPr>
                <w:rFonts w:ascii="宋体"/>
              </w:rPr>
            </w:pPr>
          </w:p>
        </w:tc>
        <w:tc>
          <w:tcPr>
            <w:tcW w:w="24" w:type="pct"/>
            <w:shd w:val="clear" w:color="auto" w:fill="auto"/>
            <w:vAlign w:val="bottom"/>
          </w:tcPr>
          <w:p w14:paraId="39D98651" w14:textId="77777777" w:rsidR="00996AD7" w:rsidRDefault="00996AD7">
            <w:pPr>
              <w:rPr>
                <w:rFonts w:ascii="宋体"/>
              </w:rPr>
            </w:pPr>
          </w:p>
        </w:tc>
        <w:tc>
          <w:tcPr>
            <w:tcW w:w="5" w:type="pct"/>
            <w:shd w:val="clear" w:color="auto" w:fill="auto"/>
            <w:vAlign w:val="bottom"/>
          </w:tcPr>
          <w:p w14:paraId="39D98652" w14:textId="77777777" w:rsidR="00996AD7" w:rsidRDefault="00996AD7">
            <w:pPr>
              <w:rPr>
                <w:rFonts w:ascii="宋体"/>
              </w:rPr>
            </w:pPr>
          </w:p>
        </w:tc>
        <w:tc>
          <w:tcPr>
            <w:tcW w:w="50" w:type="pct"/>
            <w:shd w:val="clear" w:color="auto" w:fill="auto"/>
            <w:vAlign w:val="bottom"/>
          </w:tcPr>
          <w:p w14:paraId="39D98653" w14:textId="77777777" w:rsidR="00996AD7" w:rsidRDefault="00996AD7">
            <w:pPr>
              <w:rPr>
                <w:rFonts w:ascii="宋体"/>
              </w:rPr>
            </w:pPr>
          </w:p>
        </w:tc>
        <w:tc>
          <w:tcPr>
            <w:tcW w:w="279" w:type="pct"/>
            <w:shd w:val="clear" w:color="auto" w:fill="auto"/>
            <w:vAlign w:val="bottom"/>
          </w:tcPr>
          <w:p w14:paraId="39D98654" w14:textId="77777777" w:rsidR="00996AD7" w:rsidRDefault="00996AD7">
            <w:pPr>
              <w:rPr>
                <w:rFonts w:ascii="宋体"/>
              </w:rPr>
            </w:pPr>
          </w:p>
        </w:tc>
        <w:tc>
          <w:tcPr>
            <w:tcW w:w="5" w:type="pct"/>
            <w:shd w:val="clear" w:color="auto" w:fill="auto"/>
            <w:vAlign w:val="bottom"/>
          </w:tcPr>
          <w:p w14:paraId="39D98655" w14:textId="77777777" w:rsidR="00996AD7" w:rsidRDefault="00996AD7">
            <w:pPr>
              <w:rPr>
                <w:rFonts w:ascii="宋体"/>
              </w:rPr>
            </w:pPr>
          </w:p>
        </w:tc>
        <w:tc>
          <w:tcPr>
            <w:tcW w:w="5" w:type="pct"/>
            <w:shd w:val="clear" w:color="auto" w:fill="auto"/>
            <w:vAlign w:val="bottom"/>
          </w:tcPr>
          <w:p w14:paraId="39D98656" w14:textId="77777777" w:rsidR="00996AD7" w:rsidRDefault="00996AD7">
            <w:pPr>
              <w:rPr>
                <w:rFonts w:ascii="宋体"/>
              </w:rPr>
            </w:pPr>
          </w:p>
        </w:tc>
        <w:tc>
          <w:tcPr>
            <w:tcW w:w="24" w:type="pct"/>
            <w:shd w:val="clear" w:color="auto" w:fill="auto"/>
            <w:vAlign w:val="bottom"/>
          </w:tcPr>
          <w:p w14:paraId="39D98657" w14:textId="77777777" w:rsidR="00996AD7" w:rsidRDefault="00996AD7">
            <w:pPr>
              <w:rPr>
                <w:rFonts w:ascii="宋体"/>
              </w:rPr>
            </w:pPr>
          </w:p>
        </w:tc>
        <w:tc>
          <w:tcPr>
            <w:tcW w:w="5" w:type="pct"/>
            <w:shd w:val="clear" w:color="auto" w:fill="auto"/>
            <w:vAlign w:val="bottom"/>
          </w:tcPr>
          <w:p w14:paraId="39D98658" w14:textId="77777777" w:rsidR="00996AD7" w:rsidRDefault="00996AD7">
            <w:pPr>
              <w:rPr>
                <w:rFonts w:ascii="宋体"/>
              </w:rPr>
            </w:pPr>
          </w:p>
        </w:tc>
        <w:tc>
          <w:tcPr>
            <w:tcW w:w="50" w:type="pct"/>
            <w:shd w:val="clear" w:color="auto" w:fill="auto"/>
            <w:vAlign w:val="bottom"/>
          </w:tcPr>
          <w:p w14:paraId="39D98659" w14:textId="77777777" w:rsidR="00996AD7" w:rsidRDefault="00996AD7">
            <w:pPr>
              <w:rPr>
                <w:rFonts w:ascii="宋体"/>
              </w:rPr>
            </w:pPr>
          </w:p>
        </w:tc>
        <w:tc>
          <w:tcPr>
            <w:tcW w:w="279" w:type="pct"/>
            <w:shd w:val="clear" w:color="auto" w:fill="auto"/>
            <w:vAlign w:val="bottom"/>
          </w:tcPr>
          <w:p w14:paraId="39D9865A" w14:textId="77777777" w:rsidR="00996AD7" w:rsidRDefault="00996AD7">
            <w:pPr>
              <w:rPr>
                <w:rFonts w:ascii="宋体"/>
              </w:rPr>
            </w:pPr>
          </w:p>
        </w:tc>
        <w:tc>
          <w:tcPr>
            <w:tcW w:w="5" w:type="pct"/>
            <w:shd w:val="clear" w:color="auto" w:fill="auto"/>
            <w:vAlign w:val="bottom"/>
          </w:tcPr>
          <w:p w14:paraId="39D9865B" w14:textId="77777777" w:rsidR="00996AD7" w:rsidRDefault="00996AD7">
            <w:pPr>
              <w:rPr>
                <w:rFonts w:ascii="宋体"/>
              </w:rPr>
            </w:pPr>
          </w:p>
        </w:tc>
        <w:tc>
          <w:tcPr>
            <w:tcW w:w="5" w:type="pct"/>
            <w:shd w:val="clear" w:color="auto" w:fill="auto"/>
            <w:vAlign w:val="bottom"/>
          </w:tcPr>
          <w:p w14:paraId="39D9865C" w14:textId="77777777" w:rsidR="00996AD7" w:rsidRDefault="00996AD7">
            <w:pPr>
              <w:rPr>
                <w:rFonts w:ascii="宋体"/>
              </w:rPr>
            </w:pPr>
          </w:p>
        </w:tc>
        <w:tc>
          <w:tcPr>
            <w:tcW w:w="24" w:type="pct"/>
            <w:shd w:val="clear" w:color="auto" w:fill="auto"/>
            <w:vAlign w:val="bottom"/>
          </w:tcPr>
          <w:p w14:paraId="39D9865D" w14:textId="77777777" w:rsidR="00996AD7" w:rsidRDefault="00996AD7">
            <w:pPr>
              <w:rPr>
                <w:rFonts w:ascii="宋体"/>
              </w:rPr>
            </w:pPr>
          </w:p>
        </w:tc>
        <w:tc>
          <w:tcPr>
            <w:tcW w:w="5" w:type="pct"/>
            <w:shd w:val="clear" w:color="auto" w:fill="auto"/>
            <w:vAlign w:val="bottom"/>
          </w:tcPr>
          <w:p w14:paraId="39D9865E" w14:textId="77777777" w:rsidR="00996AD7" w:rsidRDefault="00996AD7">
            <w:pPr>
              <w:rPr>
                <w:rFonts w:ascii="宋体"/>
              </w:rPr>
            </w:pPr>
          </w:p>
        </w:tc>
        <w:tc>
          <w:tcPr>
            <w:tcW w:w="50" w:type="pct"/>
            <w:shd w:val="clear" w:color="auto" w:fill="auto"/>
            <w:vAlign w:val="bottom"/>
          </w:tcPr>
          <w:p w14:paraId="39D9865F" w14:textId="77777777" w:rsidR="00996AD7" w:rsidRDefault="00996AD7">
            <w:pPr>
              <w:rPr>
                <w:rFonts w:ascii="宋体"/>
              </w:rPr>
            </w:pPr>
          </w:p>
        </w:tc>
        <w:tc>
          <w:tcPr>
            <w:tcW w:w="279" w:type="pct"/>
            <w:shd w:val="clear" w:color="auto" w:fill="auto"/>
            <w:vAlign w:val="bottom"/>
          </w:tcPr>
          <w:p w14:paraId="39D98660" w14:textId="77777777" w:rsidR="00996AD7" w:rsidRDefault="00996AD7">
            <w:pPr>
              <w:rPr>
                <w:rFonts w:ascii="宋体"/>
              </w:rPr>
            </w:pPr>
          </w:p>
        </w:tc>
        <w:tc>
          <w:tcPr>
            <w:tcW w:w="5" w:type="pct"/>
            <w:shd w:val="clear" w:color="auto" w:fill="auto"/>
            <w:vAlign w:val="bottom"/>
          </w:tcPr>
          <w:p w14:paraId="39D98661" w14:textId="77777777" w:rsidR="00996AD7" w:rsidRDefault="00996AD7">
            <w:pPr>
              <w:rPr>
                <w:rFonts w:ascii="宋体"/>
              </w:rPr>
            </w:pPr>
          </w:p>
        </w:tc>
        <w:tc>
          <w:tcPr>
            <w:tcW w:w="5" w:type="pct"/>
            <w:shd w:val="clear" w:color="auto" w:fill="auto"/>
            <w:vAlign w:val="bottom"/>
          </w:tcPr>
          <w:p w14:paraId="39D98662" w14:textId="77777777" w:rsidR="00996AD7" w:rsidRDefault="00996AD7">
            <w:pPr>
              <w:rPr>
                <w:rFonts w:ascii="宋体"/>
              </w:rPr>
            </w:pPr>
          </w:p>
        </w:tc>
        <w:tc>
          <w:tcPr>
            <w:tcW w:w="24" w:type="pct"/>
            <w:shd w:val="clear" w:color="auto" w:fill="auto"/>
            <w:vAlign w:val="bottom"/>
          </w:tcPr>
          <w:p w14:paraId="39D98663" w14:textId="77777777" w:rsidR="00996AD7" w:rsidRDefault="00996AD7">
            <w:pPr>
              <w:rPr>
                <w:rFonts w:ascii="宋体"/>
              </w:rPr>
            </w:pPr>
          </w:p>
        </w:tc>
        <w:tc>
          <w:tcPr>
            <w:tcW w:w="5" w:type="pct"/>
            <w:shd w:val="clear" w:color="auto" w:fill="auto"/>
            <w:vAlign w:val="bottom"/>
          </w:tcPr>
          <w:p w14:paraId="39D98664" w14:textId="77777777" w:rsidR="00996AD7" w:rsidRDefault="00996AD7">
            <w:pPr>
              <w:rPr>
                <w:rFonts w:ascii="宋体"/>
              </w:rPr>
            </w:pPr>
          </w:p>
        </w:tc>
        <w:tc>
          <w:tcPr>
            <w:tcW w:w="50" w:type="pct"/>
            <w:shd w:val="clear" w:color="auto" w:fill="auto"/>
            <w:vAlign w:val="bottom"/>
          </w:tcPr>
          <w:p w14:paraId="39D98665" w14:textId="77777777" w:rsidR="00996AD7" w:rsidRDefault="00996AD7">
            <w:pPr>
              <w:rPr>
                <w:rFonts w:ascii="宋体"/>
              </w:rPr>
            </w:pPr>
          </w:p>
        </w:tc>
        <w:tc>
          <w:tcPr>
            <w:tcW w:w="279" w:type="pct"/>
            <w:shd w:val="clear" w:color="auto" w:fill="auto"/>
            <w:vAlign w:val="bottom"/>
          </w:tcPr>
          <w:p w14:paraId="39D98666" w14:textId="77777777" w:rsidR="00996AD7" w:rsidRDefault="00996AD7">
            <w:pPr>
              <w:rPr>
                <w:rFonts w:ascii="宋体"/>
              </w:rPr>
            </w:pPr>
          </w:p>
        </w:tc>
        <w:tc>
          <w:tcPr>
            <w:tcW w:w="5" w:type="pct"/>
            <w:shd w:val="clear" w:color="auto" w:fill="auto"/>
            <w:vAlign w:val="bottom"/>
          </w:tcPr>
          <w:p w14:paraId="39D98667" w14:textId="77777777" w:rsidR="00996AD7" w:rsidRDefault="00996AD7">
            <w:pPr>
              <w:rPr>
                <w:rFonts w:ascii="宋体"/>
              </w:rPr>
            </w:pPr>
          </w:p>
        </w:tc>
        <w:tc>
          <w:tcPr>
            <w:tcW w:w="5" w:type="pct"/>
            <w:shd w:val="clear" w:color="auto" w:fill="auto"/>
            <w:vAlign w:val="bottom"/>
          </w:tcPr>
          <w:p w14:paraId="39D98668" w14:textId="77777777" w:rsidR="00996AD7" w:rsidRDefault="00996AD7">
            <w:pPr>
              <w:rPr>
                <w:rFonts w:ascii="宋体"/>
              </w:rPr>
            </w:pPr>
          </w:p>
        </w:tc>
        <w:tc>
          <w:tcPr>
            <w:tcW w:w="24" w:type="pct"/>
            <w:shd w:val="clear" w:color="auto" w:fill="auto"/>
            <w:vAlign w:val="bottom"/>
          </w:tcPr>
          <w:p w14:paraId="39D98669" w14:textId="77777777" w:rsidR="00996AD7" w:rsidRDefault="00996AD7">
            <w:pPr>
              <w:rPr>
                <w:rFonts w:ascii="宋体"/>
              </w:rPr>
            </w:pPr>
          </w:p>
        </w:tc>
        <w:tc>
          <w:tcPr>
            <w:tcW w:w="5" w:type="pct"/>
            <w:shd w:val="clear" w:color="auto" w:fill="auto"/>
            <w:vAlign w:val="bottom"/>
          </w:tcPr>
          <w:p w14:paraId="39D9866A" w14:textId="77777777" w:rsidR="00996AD7" w:rsidRDefault="00996AD7">
            <w:pPr>
              <w:rPr>
                <w:rFonts w:ascii="宋体"/>
              </w:rPr>
            </w:pPr>
          </w:p>
        </w:tc>
        <w:tc>
          <w:tcPr>
            <w:tcW w:w="50" w:type="pct"/>
            <w:shd w:val="clear" w:color="auto" w:fill="auto"/>
            <w:vAlign w:val="bottom"/>
          </w:tcPr>
          <w:p w14:paraId="39D9866B" w14:textId="77777777" w:rsidR="00996AD7" w:rsidRDefault="00996AD7">
            <w:pPr>
              <w:rPr>
                <w:rFonts w:ascii="宋体"/>
              </w:rPr>
            </w:pPr>
          </w:p>
        </w:tc>
        <w:tc>
          <w:tcPr>
            <w:tcW w:w="279" w:type="pct"/>
            <w:shd w:val="clear" w:color="auto" w:fill="auto"/>
            <w:vAlign w:val="bottom"/>
          </w:tcPr>
          <w:p w14:paraId="39D9866C" w14:textId="77777777" w:rsidR="00996AD7" w:rsidRDefault="00996AD7">
            <w:pPr>
              <w:rPr>
                <w:rFonts w:ascii="宋体"/>
              </w:rPr>
            </w:pPr>
          </w:p>
        </w:tc>
        <w:tc>
          <w:tcPr>
            <w:tcW w:w="5" w:type="pct"/>
            <w:shd w:val="clear" w:color="auto" w:fill="auto"/>
            <w:vAlign w:val="bottom"/>
          </w:tcPr>
          <w:p w14:paraId="39D9866D" w14:textId="77777777" w:rsidR="00996AD7" w:rsidRDefault="00996AD7">
            <w:pPr>
              <w:rPr>
                <w:rFonts w:ascii="宋体"/>
              </w:rPr>
            </w:pPr>
          </w:p>
        </w:tc>
        <w:tc>
          <w:tcPr>
            <w:tcW w:w="5" w:type="pct"/>
            <w:shd w:val="clear" w:color="auto" w:fill="auto"/>
            <w:vAlign w:val="bottom"/>
          </w:tcPr>
          <w:p w14:paraId="39D9866E" w14:textId="77777777" w:rsidR="00996AD7" w:rsidRDefault="00996AD7">
            <w:pPr>
              <w:rPr>
                <w:rFonts w:ascii="宋体"/>
              </w:rPr>
            </w:pPr>
          </w:p>
        </w:tc>
        <w:tc>
          <w:tcPr>
            <w:tcW w:w="24" w:type="pct"/>
            <w:shd w:val="clear" w:color="auto" w:fill="auto"/>
            <w:vAlign w:val="bottom"/>
          </w:tcPr>
          <w:p w14:paraId="39D9866F" w14:textId="77777777" w:rsidR="00996AD7" w:rsidRDefault="00996AD7">
            <w:pPr>
              <w:rPr>
                <w:rFonts w:ascii="宋体"/>
              </w:rPr>
            </w:pPr>
          </w:p>
        </w:tc>
        <w:tc>
          <w:tcPr>
            <w:tcW w:w="5" w:type="pct"/>
            <w:shd w:val="clear" w:color="auto" w:fill="auto"/>
            <w:vAlign w:val="bottom"/>
          </w:tcPr>
          <w:p w14:paraId="39D98670" w14:textId="77777777" w:rsidR="00996AD7" w:rsidRDefault="00996AD7">
            <w:pPr>
              <w:rPr>
                <w:rFonts w:ascii="宋体"/>
              </w:rPr>
            </w:pPr>
          </w:p>
        </w:tc>
        <w:tc>
          <w:tcPr>
            <w:tcW w:w="50" w:type="pct"/>
            <w:shd w:val="clear" w:color="auto" w:fill="auto"/>
            <w:vAlign w:val="bottom"/>
          </w:tcPr>
          <w:p w14:paraId="39D98671" w14:textId="77777777" w:rsidR="00996AD7" w:rsidRDefault="00996AD7">
            <w:pPr>
              <w:rPr>
                <w:rFonts w:ascii="宋体"/>
              </w:rPr>
            </w:pPr>
          </w:p>
        </w:tc>
        <w:tc>
          <w:tcPr>
            <w:tcW w:w="280" w:type="pct"/>
            <w:shd w:val="clear" w:color="auto" w:fill="auto"/>
            <w:vAlign w:val="bottom"/>
          </w:tcPr>
          <w:p w14:paraId="39D98672" w14:textId="77777777" w:rsidR="00996AD7" w:rsidRDefault="00996AD7">
            <w:pPr>
              <w:rPr>
                <w:rFonts w:ascii="宋体"/>
              </w:rPr>
            </w:pPr>
          </w:p>
        </w:tc>
        <w:tc>
          <w:tcPr>
            <w:tcW w:w="5" w:type="pct"/>
            <w:shd w:val="clear" w:color="auto" w:fill="auto"/>
            <w:vAlign w:val="bottom"/>
          </w:tcPr>
          <w:p w14:paraId="39D98673" w14:textId="77777777" w:rsidR="00996AD7" w:rsidRDefault="00996AD7">
            <w:pPr>
              <w:rPr>
                <w:rFonts w:ascii="宋体"/>
              </w:rPr>
            </w:pPr>
          </w:p>
        </w:tc>
        <w:tc>
          <w:tcPr>
            <w:tcW w:w="0" w:type="auto"/>
            <w:shd w:val="clear" w:color="auto" w:fill="auto"/>
            <w:vAlign w:val="bottom"/>
          </w:tcPr>
          <w:p w14:paraId="39D98674" w14:textId="77777777" w:rsidR="00996AD7" w:rsidRDefault="00996AD7">
            <w:pPr>
              <w:rPr>
                <w:rFonts w:ascii="宋体"/>
                <w:vanish/>
              </w:rPr>
            </w:pPr>
          </w:p>
        </w:tc>
        <w:tc>
          <w:tcPr>
            <w:tcW w:w="0" w:type="auto"/>
            <w:shd w:val="clear" w:color="auto" w:fill="auto"/>
            <w:vAlign w:val="bottom"/>
          </w:tcPr>
          <w:p w14:paraId="39D98675" w14:textId="77777777" w:rsidR="00996AD7" w:rsidRDefault="00996AD7">
            <w:pPr>
              <w:rPr>
                <w:rFonts w:ascii="宋体"/>
                <w:vanish/>
              </w:rPr>
            </w:pPr>
          </w:p>
        </w:tc>
      </w:tr>
      <w:tr w:rsidR="00996AD7" w14:paraId="39D9867E" w14:textId="77777777">
        <w:tc>
          <w:tcPr>
            <w:tcW w:w="0" w:type="auto"/>
            <w:gridSpan w:val="3"/>
            <w:shd w:val="clear" w:color="auto" w:fill="auto"/>
            <w:tcMar>
              <w:top w:w="0" w:type="dxa"/>
              <w:left w:w="20" w:type="dxa"/>
              <w:bottom w:w="0" w:type="dxa"/>
              <w:right w:w="20" w:type="dxa"/>
            </w:tcMar>
            <w:vAlign w:val="bottom"/>
          </w:tcPr>
          <w:p w14:paraId="39D9867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78" w14:textId="77777777" w:rsidR="00996AD7" w:rsidRDefault="00996AD7">
            <w:pPr>
              <w:rPr>
                <w:rFonts w:ascii="宋体"/>
              </w:rPr>
            </w:pPr>
          </w:p>
        </w:tc>
        <w:tc>
          <w:tcPr>
            <w:tcW w:w="0" w:type="auto"/>
            <w:gridSpan w:val="21"/>
            <w:shd w:val="clear" w:color="auto" w:fill="auto"/>
            <w:tcMar>
              <w:top w:w="40" w:type="dxa"/>
              <w:left w:w="20" w:type="dxa"/>
              <w:bottom w:w="40" w:type="dxa"/>
              <w:right w:w="20" w:type="dxa"/>
            </w:tcMar>
            <w:vAlign w:val="bottom"/>
          </w:tcPr>
          <w:p w14:paraId="39D98679"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39D9867A" w14:textId="77777777" w:rsidR="00996AD7" w:rsidRDefault="00996AD7">
            <w:pPr>
              <w:rPr>
                <w:rFonts w:ascii="宋体"/>
              </w:rPr>
            </w:pPr>
          </w:p>
        </w:tc>
        <w:tc>
          <w:tcPr>
            <w:tcW w:w="0" w:type="auto"/>
            <w:gridSpan w:val="21"/>
            <w:shd w:val="clear" w:color="auto" w:fill="auto"/>
            <w:tcMar>
              <w:top w:w="40" w:type="dxa"/>
              <w:left w:w="20" w:type="dxa"/>
              <w:bottom w:w="40" w:type="dxa"/>
              <w:right w:w="20" w:type="dxa"/>
            </w:tcMar>
            <w:vAlign w:val="bottom"/>
          </w:tcPr>
          <w:p w14:paraId="39D9867B" w14:textId="77777777" w:rsidR="00996AD7" w:rsidRDefault="00D96458">
            <w:pPr>
              <w:jc w:val="center"/>
              <w:textAlignment w:val="bottom"/>
            </w:pPr>
            <w:r>
              <w:rPr>
                <w:rFonts w:ascii="Arial" w:eastAsia="宋体" w:hAnsi="Arial" w:cs="Arial"/>
                <w:b/>
                <w:bCs/>
                <w:color w:val="262626"/>
                <w:sz w:val="18"/>
                <w:szCs w:val="18"/>
              </w:rPr>
              <w:t>Dec 26, 2020</w:t>
            </w:r>
          </w:p>
        </w:tc>
        <w:tc>
          <w:tcPr>
            <w:tcW w:w="0" w:type="auto"/>
            <w:shd w:val="clear" w:color="auto" w:fill="auto"/>
            <w:vAlign w:val="bottom"/>
          </w:tcPr>
          <w:p w14:paraId="39D9867C" w14:textId="77777777" w:rsidR="00996AD7" w:rsidRDefault="00996AD7">
            <w:pPr>
              <w:rPr>
                <w:rFonts w:ascii="宋体"/>
                <w:vanish/>
              </w:rPr>
            </w:pPr>
          </w:p>
        </w:tc>
        <w:tc>
          <w:tcPr>
            <w:tcW w:w="0" w:type="auto"/>
            <w:shd w:val="clear" w:color="auto" w:fill="auto"/>
            <w:vAlign w:val="bottom"/>
          </w:tcPr>
          <w:p w14:paraId="39D9867D" w14:textId="77777777" w:rsidR="00996AD7" w:rsidRDefault="00996AD7">
            <w:pPr>
              <w:rPr>
                <w:rFonts w:ascii="宋体"/>
                <w:vanish/>
              </w:rPr>
            </w:pPr>
          </w:p>
        </w:tc>
      </w:tr>
      <w:tr w:rsidR="00996AD7" w14:paraId="39D9868A" w14:textId="77777777">
        <w:tc>
          <w:tcPr>
            <w:tcW w:w="0" w:type="auto"/>
            <w:gridSpan w:val="3"/>
            <w:shd w:val="clear" w:color="auto" w:fill="auto"/>
            <w:tcMar>
              <w:top w:w="0" w:type="dxa"/>
              <w:left w:w="20" w:type="dxa"/>
              <w:bottom w:w="0" w:type="dxa"/>
              <w:right w:w="20" w:type="dxa"/>
            </w:tcMar>
            <w:vAlign w:val="bottom"/>
          </w:tcPr>
          <w:p w14:paraId="39D9867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80" w14:textId="77777777" w:rsidR="00996AD7" w:rsidRDefault="00996AD7">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39D98681" w14:textId="77777777" w:rsidR="00996AD7" w:rsidRDefault="00D96458">
            <w:pPr>
              <w:jc w:val="center"/>
              <w:textAlignment w:val="bottom"/>
            </w:pPr>
            <w:r>
              <w:rPr>
                <w:rFonts w:ascii="Arial" w:eastAsia="宋体" w:hAnsi="Arial" w:cs="Arial"/>
                <w:b/>
                <w:bCs/>
                <w:color w:val="262626"/>
                <w:sz w:val="18"/>
                <w:szCs w:val="18"/>
              </w:rPr>
              <w:t>Fair Value Measured and 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682"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683" w14:textId="77777777" w:rsidR="00996AD7" w:rsidRDefault="00D96458">
            <w:pPr>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39D98684" w14:textId="77777777" w:rsidR="00996AD7" w:rsidRDefault="00996AD7">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39D98685" w14:textId="77777777" w:rsidR="00996AD7" w:rsidRDefault="00D96458">
            <w:pPr>
              <w:jc w:val="center"/>
              <w:textAlignment w:val="bottom"/>
            </w:pPr>
            <w:r>
              <w:rPr>
                <w:rFonts w:ascii="Arial" w:eastAsia="宋体" w:hAnsi="Arial" w:cs="Arial"/>
                <w:b/>
                <w:bCs/>
                <w:color w:val="262626"/>
                <w:sz w:val="18"/>
                <w:szCs w:val="18"/>
              </w:rPr>
              <w:t>Fair Value Measured and 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686"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687" w14:textId="77777777" w:rsidR="00996AD7" w:rsidRDefault="00D96458">
            <w:pPr>
              <w:textAlignment w:val="bottom"/>
            </w:pPr>
            <w:r>
              <w:rPr>
                <w:rFonts w:ascii="Arial" w:eastAsia="宋体" w:hAnsi="Arial" w:cs="Arial"/>
                <w:b/>
                <w:bCs/>
                <w:color w:val="262626"/>
                <w:sz w:val="18"/>
                <w:szCs w:val="18"/>
              </w:rPr>
              <w:t> </w:t>
            </w:r>
          </w:p>
        </w:tc>
        <w:tc>
          <w:tcPr>
            <w:tcW w:w="0" w:type="auto"/>
            <w:shd w:val="clear" w:color="auto" w:fill="auto"/>
            <w:vAlign w:val="bottom"/>
          </w:tcPr>
          <w:p w14:paraId="39D98688" w14:textId="77777777" w:rsidR="00996AD7" w:rsidRDefault="00996AD7">
            <w:pPr>
              <w:rPr>
                <w:rFonts w:ascii="宋体"/>
                <w:vanish/>
              </w:rPr>
            </w:pPr>
          </w:p>
        </w:tc>
        <w:tc>
          <w:tcPr>
            <w:tcW w:w="0" w:type="auto"/>
            <w:shd w:val="clear" w:color="auto" w:fill="auto"/>
            <w:vAlign w:val="bottom"/>
          </w:tcPr>
          <w:p w14:paraId="39D98689" w14:textId="77777777" w:rsidR="00996AD7" w:rsidRDefault="00996AD7">
            <w:pPr>
              <w:rPr>
                <w:rFonts w:ascii="宋体"/>
                <w:vanish/>
              </w:rPr>
            </w:pPr>
          </w:p>
        </w:tc>
      </w:tr>
      <w:tr w:rsidR="00996AD7" w14:paraId="39D9869E" w14:textId="77777777">
        <w:tc>
          <w:tcPr>
            <w:tcW w:w="0" w:type="auto"/>
            <w:gridSpan w:val="3"/>
            <w:shd w:val="clear" w:color="auto" w:fill="auto"/>
            <w:tcMar>
              <w:top w:w="40" w:type="dxa"/>
              <w:left w:w="20" w:type="dxa"/>
              <w:bottom w:w="40" w:type="dxa"/>
              <w:right w:w="20" w:type="dxa"/>
            </w:tcMar>
            <w:vAlign w:val="bottom"/>
          </w:tcPr>
          <w:p w14:paraId="39D9868B"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68C"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68D" w14:textId="77777777" w:rsidR="00996AD7" w:rsidRDefault="00D96458">
            <w:pP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68E"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68F" w14:textId="77777777" w:rsidR="00996AD7" w:rsidRDefault="00D96458">
            <w:pP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690"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691" w14:textId="77777777" w:rsidR="00996AD7" w:rsidRDefault="00D96458">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39D9869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693" w14:textId="77777777" w:rsidR="00996AD7" w:rsidRDefault="00D96458">
            <w:pPr>
              <w:jc w:val="cente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39D98694"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695" w14:textId="77777777" w:rsidR="00996AD7" w:rsidRDefault="00D96458">
            <w:pP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696"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697" w14:textId="77777777" w:rsidR="00996AD7" w:rsidRDefault="00D96458">
            <w:pP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698"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699" w14:textId="77777777" w:rsidR="00996AD7" w:rsidRDefault="00D96458">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39D9869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69B" w14:textId="77777777" w:rsidR="00996AD7" w:rsidRDefault="00D96458">
            <w:pPr>
              <w:jc w:val="center"/>
              <w:textAlignment w:val="bottom"/>
            </w:pPr>
            <w:r>
              <w:rPr>
                <w:rFonts w:ascii="Arial" w:eastAsia="宋体" w:hAnsi="Arial" w:cs="Arial"/>
                <w:b/>
                <w:bCs/>
                <w:color w:val="262626"/>
                <w:sz w:val="18"/>
                <w:szCs w:val="18"/>
              </w:rPr>
              <w:t>Total</w:t>
            </w:r>
          </w:p>
        </w:tc>
        <w:tc>
          <w:tcPr>
            <w:tcW w:w="0" w:type="auto"/>
            <w:shd w:val="clear" w:color="auto" w:fill="auto"/>
            <w:vAlign w:val="bottom"/>
          </w:tcPr>
          <w:p w14:paraId="39D9869C" w14:textId="77777777" w:rsidR="00996AD7" w:rsidRDefault="00996AD7">
            <w:pPr>
              <w:rPr>
                <w:rFonts w:ascii="宋体"/>
                <w:vanish/>
              </w:rPr>
            </w:pPr>
          </w:p>
        </w:tc>
        <w:tc>
          <w:tcPr>
            <w:tcW w:w="0" w:type="auto"/>
            <w:shd w:val="clear" w:color="auto" w:fill="auto"/>
            <w:vAlign w:val="bottom"/>
          </w:tcPr>
          <w:p w14:paraId="39D9869D" w14:textId="77777777" w:rsidR="00996AD7" w:rsidRDefault="00996AD7">
            <w:pPr>
              <w:rPr>
                <w:rFonts w:ascii="宋体"/>
                <w:vanish/>
              </w:rPr>
            </w:pPr>
          </w:p>
        </w:tc>
      </w:tr>
      <w:tr w:rsidR="00996AD7" w14:paraId="39D986B2"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869F" w14:textId="77777777" w:rsidR="00996AD7" w:rsidRDefault="00D96458">
            <w:pPr>
              <w:textAlignment w:val="top"/>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39D986A0"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6A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A2"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6A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A4"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6A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A6"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6A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A8"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6A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AA"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6A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AC"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6A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AE"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6AF" w14:textId="77777777" w:rsidR="00996AD7" w:rsidRDefault="00996AD7">
            <w:pPr>
              <w:rPr>
                <w:rFonts w:ascii="宋体"/>
              </w:rPr>
            </w:pPr>
          </w:p>
        </w:tc>
        <w:tc>
          <w:tcPr>
            <w:tcW w:w="0" w:type="auto"/>
            <w:shd w:val="clear" w:color="auto" w:fill="auto"/>
            <w:vAlign w:val="bottom"/>
          </w:tcPr>
          <w:p w14:paraId="39D986B0" w14:textId="77777777" w:rsidR="00996AD7" w:rsidRDefault="00996AD7">
            <w:pPr>
              <w:rPr>
                <w:rFonts w:ascii="宋体"/>
                <w:vanish/>
              </w:rPr>
            </w:pPr>
          </w:p>
        </w:tc>
        <w:tc>
          <w:tcPr>
            <w:tcW w:w="0" w:type="auto"/>
            <w:shd w:val="clear" w:color="auto" w:fill="auto"/>
            <w:vAlign w:val="bottom"/>
          </w:tcPr>
          <w:p w14:paraId="39D986B1" w14:textId="77777777" w:rsidR="00996AD7" w:rsidRDefault="00996AD7">
            <w:pPr>
              <w:rPr>
                <w:rFonts w:ascii="宋体"/>
                <w:vanish/>
              </w:rPr>
            </w:pPr>
          </w:p>
        </w:tc>
      </w:tr>
      <w:tr w:rsidR="00996AD7" w14:paraId="39D986C6" w14:textId="77777777">
        <w:tc>
          <w:tcPr>
            <w:tcW w:w="0" w:type="auto"/>
            <w:gridSpan w:val="3"/>
            <w:shd w:val="clear" w:color="auto" w:fill="auto"/>
            <w:tcMar>
              <w:top w:w="40" w:type="dxa"/>
              <w:left w:w="20" w:type="dxa"/>
              <w:bottom w:w="40" w:type="dxa"/>
              <w:right w:w="20" w:type="dxa"/>
            </w:tcMar>
          </w:tcPr>
          <w:p w14:paraId="39D986B3" w14:textId="77777777" w:rsidR="00996AD7" w:rsidRDefault="00D96458">
            <w:pPr>
              <w:textAlignment w:val="top"/>
            </w:pPr>
            <w:r>
              <w:rPr>
                <w:rFonts w:ascii="Arial" w:eastAsia="宋体" w:hAnsi="Arial" w:cs="Arial"/>
                <w:color w:val="262626"/>
                <w:sz w:val="18"/>
                <w:szCs w:val="18"/>
              </w:rPr>
              <w:t>Cash equivalents:</w:t>
            </w:r>
          </w:p>
        </w:tc>
        <w:tc>
          <w:tcPr>
            <w:tcW w:w="0" w:type="auto"/>
            <w:gridSpan w:val="3"/>
            <w:shd w:val="clear" w:color="auto" w:fill="auto"/>
            <w:tcMar>
              <w:top w:w="0" w:type="dxa"/>
              <w:left w:w="20" w:type="dxa"/>
              <w:bottom w:w="0" w:type="dxa"/>
              <w:right w:w="20" w:type="dxa"/>
            </w:tcMar>
            <w:vAlign w:val="bottom"/>
          </w:tcPr>
          <w:p w14:paraId="39D986B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B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B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B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B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B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B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B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B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B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B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B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C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C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C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6C3" w14:textId="77777777" w:rsidR="00996AD7" w:rsidRDefault="00996AD7">
            <w:pPr>
              <w:rPr>
                <w:rFonts w:ascii="宋体"/>
              </w:rPr>
            </w:pPr>
          </w:p>
        </w:tc>
        <w:tc>
          <w:tcPr>
            <w:tcW w:w="0" w:type="auto"/>
            <w:shd w:val="clear" w:color="auto" w:fill="auto"/>
            <w:vAlign w:val="bottom"/>
          </w:tcPr>
          <w:p w14:paraId="39D986C4" w14:textId="77777777" w:rsidR="00996AD7" w:rsidRDefault="00996AD7">
            <w:pPr>
              <w:rPr>
                <w:rFonts w:ascii="宋体"/>
                <w:vanish/>
              </w:rPr>
            </w:pPr>
          </w:p>
        </w:tc>
        <w:tc>
          <w:tcPr>
            <w:tcW w:w="0" w:type="auto"/>
            <w:shd w:val="clear" w:color="auto" w:fill="auto"/>
            <w:vAlign w:val="bottom"/>
          </w:tcPr>
          <w:p w14:paraId="39D986C5" w14:textId="77777777" w:rsidR="00996AD7" w:rsidRDefault="00996AD7">
            <w:pPr>
              <w:rPr>
                <w:rFonts w:ascii="宋体"/>
                <w:vanish/>
              </w:rPr>
            </w:pPr>
          </w:p>
        </w:tc>
      </w:tr>
      <w:tr w:rsidR="00996AD7" w14:paraId="39D986EA" w14:textId="77777777">
        <w:tc>
          <w:tcPr>
            <w:tcW w:w="0" w:type="auto"/>
            <w:gridSpan w:val="3"/>
            <w:shd w:val="clear" w:color="auto" w:fill="auto"/>
            <w:tcMar>
              <w:top w:w="40" w:type="dxa"/>
              <w:left w:w="140" w:type="dxa"/>
              <w:bottom w:w="40" w:type="dxa"/>
              <w:right w:w="20" w:type="dxa"/>
            </w:tcMar>
          </w:tcPr>
          <w:p w14:paraId="39D986C7" w14:textId="77777777" w:rsidR="00996AD7" w:rsidRDefault="00D96458">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39D986C8"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6C9"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6CA"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6C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CC"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6CD"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6CE" w14:textId="77777777" w:rsidR="00996AD7" w:rsidRDefault="00D96458">
            <w:pPr>
              <w:jc w:val="right"/>
              <w:textAlignment w:val="bottom"/>
            </w:pPr>
            <w:r>
              <w:rPr>
                <w:rFonts w:ascii="Arial" w:eastAsia="宋体" w:hAnsi="Arial" w:cs="Arial"/>
                <w:color w:val="0068B5"/>
                <w:sz w:val="18"/>
                <w:szCs w:val="18"/>
              </w:rPr>
              <w:t>736 </w:t>
            </w:r>
          </w:p>
        </w:tc>
        <w:tc>
          <w:tcPr>
            <w:tcW w:w="0" w:type="auto"/>
            <w:shd w:val="clear" w:color="auto" w:fill="auto"/>
            <w:tcMar>
              <w:top w:w="40" w:type="dxa"/>
              <w:left w:w="0" w:type="dxa"/>
              <w:bottom w:w="40" w:type="dxa"/>
              <w:right w:w="20" w:type="dxa"/>
            </w:tcMar>
            <w:vAlign w:val="bottom"/>
          </w:tcPr>
          <w:p w14:paraId="39D986C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D0"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6D1"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6D2"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6D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D4"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6D5"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6D6" w14:textId="77777777" w:rsidR="00996AD7" w:rsidRDefault="00D96458">
            <w:pPr>
              <w:jc w:val="right"/>
              <w:textAlignment w:val="bottom"/>
            </w:pPr>
            <w:r>
              <w:rPr>
                <w:rFonts w:ascii="Arial" w:eastAsia="宋体" w:hAnsi="Arial" w:cs="Arial"/>
                <w:color w:val="0068B5"/>
                <w:sz w:val="18"/>
                <w:szCs w:val="18"/>
              </w:rPr>
              <w:t>736 </w:t>
            </w:r>
          </w:p>
        </w:tc>
        <w:tc>
          <w:tcPr>
            <w:tcW w:w="0" w:type="auto"/>
            <w:shd w:val="clear" w:color="auto" w:fill="auto"/>
            <w:tcMar>
              <w:top w:w="40" w:type="dxa"/>
              <w:left w:w="0" w:type="dxa"/>
              <w:bottom w:w="40" w:type="dxa"/>
              <w:right w:w="20" w:type="dxa"/>
            </w:tcMar>
            <w:vAlign w:val="bottom"/>
          </w:tcPr>
          <w:p w14:paraId="39D986D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D8"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6D9"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6DA"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6D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DC"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6DD"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6DE" w14:textId="77777777" w:rsidR="00996AD7" w:rsidRDefault="00D96458">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39D986D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E0"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6E1"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6E2"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6E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E4"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6E5"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6E6" w14:textId="77777777" w:rsidR="00996AD7" w:rsidRDefault="00D96458">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39D986E7" w14:textId="77777777" w:rsidR="00996AD7" w:rsidRDefault="00996AD7">
            <w:pPr>
              <w:jc w:val="right"/>
              <w:rPr>
                <w:rFonts w:ascii="宋体"/>
              </w:rPr>
            </w:pPr>
          </w:p>
        </w:tc>
        <w:tc>
          <w:tcPr>
            <w:tcW w:w="0" w:type="auto"/>
            <w:shd w:val="clear" w:color="auto" w:fill="auto"/>
            <w:vAlign w:val="bottom"/>
          </w:tcPr>
          <w:p w14:paraId="39D986E8" w14:textId="77777777" w:rsidR="00996AD7" w:rsidRDefault="00996AD7">
            <w:pPr>
              <w:rPr>
                <w:rFonts w:ascii="宋体"/>
                <w:vanish/>
              </w:rPr>
            </w:pPr>
          </w:p>
        </w:tc>
        <w:tc>
          <w:tcPr>
            <w:tcW w:w="0" w:type="auto"/>
            <w:shd w:val="clear" w:color="auto" w:fill="auto"/>
            <w:vAlign w:val="bottom"/>
          </w:tcPr>
          <w:p w14:paraId="39D986E9" w14:textId="77777777" w:rsidR="00996AD7" w:rsidRDefault="00996AD7">
            <w:pPr>
              <w:rPr>
                <w:rFonts w:ascii="宋体"/>
                <w:vanish/>
              </w:rPr>
            </w:pPr>
          </w:p>
        </w:tc>
      </w:tr>
      <w:tr w:rsidR="00996AD7" w14:paraId="39D98706" w14:textId="77777777">
        <w:tc>
          <w:tcPr>
            <w:tcW w:w="0" w:type="auto"/>
            <w:gridSpan w:val="3"/>
            <w:shd w:val="clear" w:color="auto" w:fill="auto"/>
            <w:tcMar>
              <w:top w:w="40" w:type="dxa"/>
              <w:left w:w="140" w:type="dxa"/>
              <w:bottom w:w="40" w:type="dxa"/>
              <w:right w:w="20" w:type="dxa"/>
            </w:tcMar>
          </w:tcPr>
          <w:p w14:paraId="39D986EB" w14:textId="77777777" w:rsidR="00996AD7" w:rsidRDefault="00D96458">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39D986E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6ED" w14:textId="77777777" w:rsidR="00996AD7" w:rsidRDefault="00D96458">
            <w:pPr>
              <w:jc w:val="right"/>
              <w:textAlignment w:val="bottom"/>
            </w:pPr>
            <w:r>
              <w:rPr>
                <w:rFonts w:ascii="Arial" w:eastAsia="宋体" w:hAnsi="Arial" w:cs="Arial"/>
                <w:color w:val="0068B5"/>
                <w:sz w:val="18"/>
                <w:szCs w:val="18"/>
              </w:rPr>
              <w:t>2,035 </w:t>
            </w:r>
          </w:p>
        </w:tc>
        <w:tc>
          <w:tcPr>
            <w:tcW w:w="0" w:type="auto"/>
            <w:shd w:val="clear" w:color="auto" w:fill="auto"/>
            <w:tcMar>
              <w:top w:w="40" w:type="dxa"/>
              <w:left w:w="0" w:type="dxa"/>
              <w:bottom w:w="40" w:type="dxa"/>
              <w:right w:w="20" w:type="dxa"/>
            </w:tcMar>
            <w:vAlign w:val="bottom"/>
          </w:tcPr>
          <w:p w14:paraId="39D986E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E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6F0" w14:textId="77777777" w:rsidR="00996AD7" w:rsidRDefault="00D96458">
            <w:pPr>
              <w:jc w:val="right"/>
              <w:textAlignment w:val="bottom"/>
            </w:pPr>
            <w:r>
              <w:rPr>
                <w:rFonts w:ascii="Arial" w:eastAsia="宋体" w:hAnsi="Arial" w:cs="Arial"/>
                <w:color w:val="0068B5"/>
                <w:sz w:val="18"/>
                <w:szCs w:val="18"/>
              </w:rPr>
              <w:t>718 </w:t>
            </w:r>
          </w:p>
        </w:tc>
        <w:tc>
          <w:tcPr>
            <w:tcW w:w="0" w:type="auto"/>
            <w:shd w:val="clear" w:color="auto" w:fill="auto"/>
            <w:tcMar>
              <w:top w:w="40" w:type="dxa"/>
              <w:left w:w="0" w:type="dxa"/>
              <w:bottom w:w="40" w:type="dxa"/>
              <w:right w:w="20" w:type="dxa"/>
            </w:tcMar>
            <w:vAlign w:val="bottom"/>
          </w:tcPr>
          <w:p w14:paraId="39D986F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F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6F3"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6F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F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6F6" w14:textId="77777777" w:rsidR="00996AD7" w:rsidRDefault="00D96458">
            <w:pPr>
              <w:jc w:val="right"/>
              <w:textAlignment w:val="bottom"/>
            </w:pPr>
            <w:r>
              <w:rPr>
                <w:rFonts w:ascii="Arial" w:eastAsia="宋体" w:hAnsi="Arial" w:cs="Arial"/>
                <w:color w:val="0068B5"/>
                <w:sz w:val="18"/>
                <w:szCs w:val="18"/>
              </w:rPr>
              <w:t>2,753 </w:t>
            </w:r>
          </w:p>
        </w:tc>
        <w:tc>
          <w:tcPr>
            <w:tcW w:w="0" w:type="auto"/>
            <w:shd w:val="clear" w:color="auto" w:fill="auto"/>
            <w:tcMar>
              <w:top w:w="40" w:type="dxa"/>
              <w:left w:w="0" w:type="dxa"/>
              <w:bottom w:w="40" w:type="dxa"/>
              <w:right w:w="20" w:type="dxa"/>
            </w:tcMar>
            <w:vAlign w:val="bottom"/>
          </w:tcPr>
          <w:p w14:paraId="39D986F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F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6F9" w14:textId="77777777" w:rsidR="00996AD7" w:rsidRDefault="00D96458">
            <w:pPr>
              <w:jc w:val="right"/>
              <w:textAlignment w:val="bottom"/>
            </w:pPr>
            <w:r>
              <w:rPr>
                <w:rFonts w:ascii="Arial" w:eastAsia="宋体" w:hAnsi="Arial" w:cs="Arial"/>
                <w:color w:val="262626"/>
                <w:sz w:val="18"/>
                <w:szCs w:val="18"/>
              </w:rPr>
              <w:t>2,781 </w:t>
            </w:r>
          </w:p>
        </w:tc>
        <w:tc>
          <w:tcPr>
            <w:tcW w:w="0" w:type="auto"/>
            <w:shd w:val="clear" w:color="auto" w:fill="auto"/>
            <w:tcMar>
              <w:top w:w="40" w:type="dxa"/>
              <w:left w:w="0" w:type="dxa"/>
              <w:bottom w:w="40" w:type="dxa"/>
              <w:right w:w="20" w:type="dxa"/>
            </w:tcMar>
            <w:vAlign w:val="bottom"/>
          </w:tcPr>
          <w:p w14:paraId="39D986F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F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6FC" w14:textId="77777777" w:rsidR="00996AD7" w:rsidRDefault="00D96458">
            <w:pPr>
              <w:jc w:val="right"/>
              <w:textAlignment w:val="bottom"/>
            </w:pPr>
            <w:r>
              <w:rPr>
                <w:rFonts w:ascii="Arial" w:eastAsia="宋体" w:hAnsi="Arial" w:cs="Arial"/>
                <w:color w:val="262626"/>
                <w:sz w:val="18"/>
                <w:szCs w:val="18"/>
              </w:rPr>
              <w:t>636 </w:t>
            </w:r>
          </w:p>
        </w:tc>
        <w:tc>
          <w:tcPr>
            <w:tcW w:w="0" w:type="auto"/>
            <w:shd w:val="clear" w:color="auto" w:fill="auto"/>
            <w:tcMar>
              <w:top w:w="40" w:type="dxa"/>
              <w:left w:w="0" w:type="dxa"/>
              <w:bottom w:w="40" w:type="dxa"/>
              <w:right w:w="20" w:type="dxa"/>
            </w:tcMar>
            <w:vAlign w:val="bottom"/>
          </w:tcPr>
          <w:p w14:paraId="39D986F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6F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6FF"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0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0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02" w14:textId="77777777" w:rsidR="00996AD7" w:rsidRDefault="00D96458">
            <w:pPr>
              <w:jc w:val="right"/>
              <w:textAlignment w:val="bottom"/>
            </w:pPr>
            <w:r>
              <w:rPr>
                <w:rFonts w:ascii="Arial" w:eastAsia="宋体" w:hAnsi="Arial" w:cs="Arial"/>
                <w:color w:val="262626"/>
                <w:sz w:val="18"/>
                <w:szCs w:val="18"/>
              </w:rPr>
              <w:t>3,417 </w:t>
            </w:r>
          </w:p>
        </w:tc>
        <w:tc>
          <w:tcPr>
            <w:tcW w:w="0" w:type="auto"/>
            <w:shd w:val="clear" w:color="auto" w:fill="auto"/>
            <w:tcMar>
              <w:top w:w="40" w:type="dxa"/>
              <w:left w:w="0" w:type="dxa"/>
              <w:bottom w:w="40" w:type="dxa"/>
              <w:right w:w="20" w:type="dxa"/>
            </w:tcMar>
            <w:vAlign w:val="bottom"/>
          </w:tcPr>
          <w:p w14:paraId="39D98703" w14:textId="77777777" w:rsidR="00996AD7" w:rsidRDefault="00996AD7">
            <w:pPr>
              <w:jc w:val="right"/>
              <w:rPr>
                <w:rFonts w:ascii="宋体"/>
              </w:rPr>
            </w:pPr>
          </w:p>
        </w:tc>
        <w:tc>
          <w:tcPr>
            <w:tcW w:w="0" w:type="auto"/>
            <w:shd w:val="clear" w:color="auto" w:fill="auto"/>
            <w:vAlign w:val="bottom"/>
          </w:tcPr>
          <w:p w14:paraId="39D98704" w14:textId="77777777" w:rsidR="00996AD7" w:rsidRDefault="00996AD7">
            <w:pPr>
              <w:rPr>
                <w:rFonts w:ascii="宋体"/>
                <w:vanish/>
              </w:rPr>
            </w:pPr>
          </w:p>
        </w:tc>
        <w:tc>
          <w:tcPr>
            <w:tcW w:w="0" w:type="auto"/>
            <w:shd w:val="clear" w:color="auto" w:fill="auto"/>
            <w:vAlign w:val="bottom"/>
          </w:tcPr>
          <w:p w14:paraId="39D98705" w14:textId="77777777" w:rsidR="00996AD7" w:rsidRDefault="00996AD7">
            <w:pPr>
              <w:rPr>
                <w:rFonts w:ascii="宋体"/>
                <w:vanish/>
              </w:rPr>
            </w:pPr>
          </w:p>
        </w:tc>
      </w:tr>
      <w:tr w:rsidR="00996AD7" w14:paraId="39D98722" w14:textId="77777777">
        <w:tc>
          <w:tcPr>
            <w:tcW w:w="0" w:type="auto"/>
            <w:gridSpan w:val="3"/>
            <w:shd w:val="clear" w:color="auto" w:fill="auto"/>
            <w:tcMar>
              <w:top w:w="40" w:type="dxa"/>
              <w:left w:w="140" w:type="dxa"/>
              <w:bottom w:w="40" w:type="dxa"/>
              <w:right w:w="20" w:type="dxa"/>
            </w:tcMar>
          </w:tcPr>
          <w:p w14:paraId="39D98707" w14:textId="77777777" w:rsidR="00996AD7" w:rsidRDefault="00D96458">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vAlign w:val="bottom"/>
          </w:tcPr>
          <w:p w14:paraId="39D9870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09" w14:textId="77777777" w:rsidR="00996AD7" w:rsidRDefault="00D96458">
            <w:pPr>
              <w:jc w:val="right"/>
              <w:textAlignment w:val="bottom"/>
            </w:pPr>
            <w:r>
              <w:rPr>
                <w:rFonts w:ascii="Arial" w:eastAsia="宋体" w:hAnsi="Arial" w:cs="Arial"/>
                <w:color w:val="0068B5"/>
                <w:sz w:val="18"/>
                <w:szCs w:val="18"/>
              </w:rPr>
              <w:t>2,200 </w:t>
            </w:r>
          </w:p>
        </w:tc>
        <w:tc>
          <w:tcPr>
            <w:tcW w:w="0" w:type="auto"/>
            <w:shd w:val="clear" w:color="auto" w:fill="auto"/>
            <w:tcMar>
              <w:top w:w="40" w:type="dxa"/>
              <w:left w:w="0" w:type="dxa"/>
              <w:bottom w:w="40" w:type="dxa"/>
              <w:right w:w="20" w:type="dxa"/>
            </w:tcMar>
            <w:vAlign w:val="bottom"/>
          </w:tcPr>
          <w:p w14:paraId="39D9870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0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0C" w14:textId="77777777" w:rsidR="00996AD7" w:rsidRDefault="00D96458">
            <w:pPr>
              <w:jc w:val="right"/>
              <w:textAlignment w:val="bottom"/>
            </w:pPr>
            <w:r>
              <w:rPr>
                <w:rFonts w:ascii="Arial" w:eastAsia="宋体" w:hAnsi="Arial" w:cs="Arial"/>
                <w:color w:val="0068B5"/>
                <w:sz w:val="18"/>
                <w:szCs w:val="18"/>
              </w:rPr>
              <w:t>164 </w:t>
            </w:r>
          </w:p>
        </w:tc>
        <w:tc>
          <w:tcPr>
            <w:tcW w:w="0" w:type="auto"/>
            <w:shd w:val="clear" w:color="auto" w:fill="auto"/>
            <w:tcMar>
              <w:top w:w="40" w:type="dxa"/>
              <w:left w:w="0" w:type="dxa"/>
              <w:bottom w:w="40" w:type="dxa"/>
              <w:right w:w="20" w:type="dxa"/>
            </w:tcMar>
            <w:vAlign w:val="bottom"/>
          </w:tcPr>
          <w:p w14:paraId="39D9870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0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0F"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71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1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12" w14:textId="77777777" w:rsidR="00996AD7" w:rsidRDefault="00D96458">
            <w:pPr>
              <w:jc w:val="right"/>
              <w:textAlignment w:val="bottom"/>
            </w:pPr>
            <w:r>
              <w:rPr>
                <w:rFonts w:ascii="Arial" w:eastAsia="宋体" w:hAnsi="Arial" w:cs="Arial"/>
                <w:color w:val="0068B5"/>
                <w:sz w:val="18"/>
                <w:szCs w:val="18"/>
              </w:rPr>
              <w:t>2,364 </w:t>
            </w:r>
          </w:p>
        </w:tc>
        <w:tc>
          <w:tcPr>
            <w:tcW w:w="0" w:type="auto"/>
            <w:shd w:val="clear" w:color="auto" w:fill="auto"/>
            <w:tcMar>
              <w:top w:w="40" w:type="dxa"/>
              <w:left w:w="0" w:type="dxa"/>
              <w:bottom w:w="40" w:type="dxa"/>
              <w:right w:w="20" w:type="dxa"/>
            </w:tcMar>
            <w:vAlign w:val="bottom"/>
          </w:tcPr>
          <w:p w14:paraId="39D9871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1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15"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1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1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18"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1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1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1B"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1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1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1E"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1F" w14:textId="77777777" w:rsidR="00996AD7" w:rsidRDefault="00996AD7">
            <w:pPr>
              <w:jc w:val="right"/>
              <w:rPr>
                <w:rFonts w:ascii="宋体"/>
              </w:rPr>
            </w:pPr>
          </w:p>
        </w:tc>
        <w:tc>
          <w:tcPr>
            <w:tcW w:w="0" w:type="auto"/>
            <w:shd w:val="clear" w:color="auto" w:fill="auto"/>
            <w:vAlign w:val="bottom"/>
          </w:tcPr>
          <w:p w14:paraId="39D98720" w14:textId="77777777" w:rsidR="00996AD7" w:rsidRDefault="00996AD7">
            <w:pPr>
              <w:rPr>
                <w:rFonts w:ascii="宋体"/>
                <w:vanish/>
              </w:rPr>
            </w:pPr>
          </w:p>
        </w:tc>
        <w:tc>
          <w:tcPr>
            <w:tcW w:w="0" w:type="auto"/>
            <w:shd w:val="clear" w:color="auto" w:fill="auto"/>
            <w:vAlign w:val="bottom"/>
          </w:tcPr>
          <w:p w14:paraId="39D98721" w14:textId="77777777" w:rsidR="00996AD7" w:rsidRDefault="00996AD7">
            <w:pPr>
              <w:rPr>
                <w:rFonts w:ascii="宋体"/>
                <w:vanish/>
              </w:rPr>
            </w:pPr>
          </w:p>
        </w:tc>
      </w:tr>
      <w:tr w:rsidR="00996AD7" w14:paraId="39D9873E" w14:textId="77777777">
        <w:tc>
          <w:tcPr>
            <w:tcW w:w="0" w:type="auto"/>
            <w:gridSpan w:val="3"/>
            <w:shd w:val="clear" w:color="auto" w:fill="auto"/>
            <w:tcMar>
              <w:top w:w="40" w:type="dxa"/>
              <w:left w:w="140" w:type="dxa"/>
              <w:bottom w:w="40" w:type="dxa"/>
              <w:right w:w="20" w:type="dxa"/>
            </w:tcMar>
          </w:tcPr>
          <w:p w14:paraId="39D98723" w14:textId="77777777" w:rsidR="00996AD7" w:rsidRDefault="00D96458">
            <w:pPr>
              <w:textAlignment w:val="top"/>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39D9872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25"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72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2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28" w14:textId="77777777" w:rsidR="00996AD7" w:rsidRDefault="00D96458">
            <w:pPr>
              <w:jc w:val="right"/>
              <w:textAlignment w:val="bottom"/>
            </w:pPr>
            <w:r>
              <w:rPr>
                <w:rFonts w:ascii="Arial" w:eastAsia="宋体" w:hAnsi="Arial" w:cs="Arial"/>
                <w:color w:val="0068B5"/>
                <w:sz w:val="18"/>
                <w:szCs w:val="18"/>
              </w:rPr>
              <w:t>1,350 </w:t>
            </w:r>
          </w:p>
        </w:tc>
        <w:tc>
          <w:tcPr>
            <w:tcW w:w="0" w:type="auto"/>
            <w:shd w:val="clear" w:color="auto" w:fill="auto"/>
            <w:tcMar>
              <w:top w:w="40" w:type="dxa"/>
              <w:left w:w="0" w:type="dxa"/>
              <w:bottom w:w="40" w:type="dxa"/>
              <w:right w:w="20" w:type="dxa"/>
            </w:tcMar>
            <w:vAlign w:val="bottom"/>
          </w:tcPr>
          <w:p w14:paraId="39D9872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2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2B"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72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2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2E" w14:textId="77777777" w:rsidR="00996AD7" w:rsidRDefault="00D96458">
            <w:pPr>
              <w:jc w:val="right"/>
              <w:textAlignment w:val="bottom"/>
            </w:pPr>
            <w:r>
              <w:rPr>
                <w:rFonts w:ascii="Arial" w:eastAsia="宋体" w:hAnsi="Arial" w:cs="Arial"/>
                <w:color w:val="0068B5"/>
                <w:sz w:val="18"/>
                <w:szCs w:val="18"/>
              </w:rPr>
              <w:t>1,350 </w:t>
            </w:r>
          </w:p>
        </w:tc>
        <w:tc>
          <w:tcPr>
            <w:tcW w:w="0" w:type="auto"/>
            <w:shd w:val="clear" w:color="auto" w:fill="auto"/>
            <w:tcMar>
              <w:top w:w="40" w:type="dxa"/>
              <w:left w:w="0" w:type="dxa"/>
              <w:bottom w:w="40" w:type="dxa"/>
              <w:right w:w="20" w:type="dxa"/>
            </w:tcMar>
            <w:vAlign w:val="bottom"/>
          </w:tcPr>
          <w:p w14:paraId="39D9872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3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31"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3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3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34" w14:textId="77777777" w:rsidR="00996AD7" w:rsidRDefault="00D96458">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39D9873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3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37"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3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3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3A" w14:textId="77777777" w:rsidR="00996AD7" w:rsidRDefault="00D96458">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39D9873B" w14:textId="77777777" w:rsidR="00996AD7" w:rsidRDefault="00996AD7">
            <w:pPr>
              <w:jc w:val="right"/>
              <w:rPr>
                <w:rFonts w:ascii="宋体"/>
              </w:rPr>
            </w:pPr>
          </w:p>
        </w:tc>
        <w:tc>
          <w:tcPr>
            <w:tcW w:w="0" w:type="auto"/>
            <w:shd w:val="clear" w:color="auto" w:fill="auto"/>
            <w:vAlign w:val="bottom"/>
          </w:tcPr>
          <w:p w14:paraId="39D9873C" w14:textId="77777777" w:rsidR="00996AD7" w:rsidRDefault="00996AD7">
            <w:pPr>
              <w:rPr>
                <w:rFonts w:ascii="宋体"/>
                <w:vanish/>
              </w:rPr>
            </w:pPr>
          </w:p>
        </w:tc>
        <w:tc>
          <w:tcPr>
            <w:tcW w:w="0" w:type="auto"/>
            <w:shd w:val="clear" w:color="auto" w:fill="auto"/>
            <w:vAlign w:val="bottom"/>
          </w:tcPr>
          <w:p w14:paraId="39D9873D" w14:textId="77777777" w:rsidR="00996AD7" w:rsidRDefault="00996AD7">
            <w:pPr>
              <w:rPr>
                <w:rFonts w:ascii="宋体"/>
                <w:vanish/>
              </w:rPr>
            </w:pPr>
          </w:p>
        </w:tc>
      </w:tr>
      <w:tr w:rsidR="00996AD7" w14:paraId="39D98752" w14:textId="77777777">
        <w:tc>
          <w:tcPr>
            <w:tcW w:w="0" w:type="auto"/>
            <w:gridSpan w:val="3"/>
            <w:shd w:val="clear" w:color="auto" w:fill="auto"/>
            <w:tcMar>
              <w:top w:w="40" w:type="dxa"/>
              <w:left w:w="20" w:type="dxa"/>
              <w:bottom w:w="40" w:type="dxa"/>
              <w:right w:w="20" w:type="dxa"/>
            </w:tcMar>
          </w:tcPr>
          <w:p w14:paraId="39D9873F" w14:textId="77777777" w:rsidR="00996AD7" w:rsidRDefault="00D96458">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39D9874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4F" w14:textId="77777777" w:rsidR="00996AD7" w:rsidRDefault="00996AD7">
            <w:pPr>
              <w:rPr>
                <w:rFonts w:ascii="宋体"/>
              </w:rPr>
            </w:pPr>
          </w:p>
        </w:tc>
        <w:tc>
          <w:tcPr>
            <w:tcW w:w="0" w:type="auto"/>
            <w:shd w:val="clear" w:color="auto" w:fill="auto"/>
            <w:vAlign w:val="bottom"/>
          </w:tcPr>
          <w:p w14:paraId="39D98750" w14:textId="77777777" w:rsidR="00996AD7" w:rsidRDefault="00996AD7">
            <w:pPr>
              <w:rPr>
                <w:rFonts w:ascii="宋体"/>
                <w:vanish/>
              </w:rPr>
            </w:pPr>
          </w:p>
        </w:tc>
        <w:tc>
          <w:tcPr>
            <w:tcW w:w="0" w:type="auto"/>
            <w:shd w:val="clear" w:color="auto" w:fill="auto"/>
            <w:vAlign w:val="bottom"/>
          </w:tcPr>
          <w:p w14:paraId="39D98751" w14:textId="77777777" w:rsidR="00996AD7" w:rsidRDefault="00996AD7">
            <w:pPr>
              <w:rPr>
                <w:rFonts w:ascii="宋体"/>
                <w:vanish/>
              </w:rPr>
            </w:pPr>
          </w:p>
        </w:tc>
      </w:tr>
      <w:tr w:rsidR="00996AD7" w14:paraId="39D9876E" w14:textId="77777777">
        <w:tc>
          <w:tcPr>
            <w:tcW w:w="0" w:type="auto"/>
            <w:gridSpan w:val="3"/>
            <w:shd w:val="clear" w:color="auto" w:fill="auto"/>
            <w:tcMar>
              <w:top w:w="40" w:type="dxa"/>
              <w:left w:w="140" w:type="dxa"/>
              <w:bottom w:w="40" w:type="dxa"/>
              <w:right w:w="20" w:type="dxa"/>
            </w:tcMar>
          </w:tcPr>
          <w:p w14:paraId="39D98753" w14:textId="77777777" w:rsidR="00996AD7" w:rsidRDefault="00D96458">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39D9875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55"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75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5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58" w14:textId="77777777" w:rsidR="00996AD7" w:rsidRDefault="00D96458">
            <w:pPr>
              <w:jc w:val="right"/>
              <w:textAlignment w:val="bottom"/>
            </w:pPr>
            <w:r>
              <w:rPr>
                <w:rFonts w:ascii="Arial" w:eastAsia="宋体" w:hAnsi="Arial" w:cs="Arial"/>
                <w:color w:val="0068B5"/>
                <w:sz w:val="18"/>
                <w:szCs w:val="18"/>
              </w:rPr>
              <w:t>870 </w:t>
            </w:r>
          </w:p>
        </w:tc>
        <w:tc>
          <w:tcPr>
            <w:tcW w:w="0" w:type="auto"/>
            <w:shd w:val="clear" w:color="auto" w:fill="auto"/>
            <w:tcMar>
              <w:top w:w="40" w:type="dxa"/>
              <w:left w:w="0" w:type="dxa"/>
              <w:bottom w:w="40" w:type="dxa"/>
              <w:right w:w="20" w:type="dxa"/>
            </w:tcMar>
            <w:vAlign w:val="bottom"/>
          </w:tcPr>
          <w:p w14:paraId="39D9875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5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5B"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75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5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5E" w14:textId="77777777" w:rsidR="00996AD7" w:rsidRDefault="00D96458">
            <w:pPr>
              <w:jc w:val="right"/>
              <w:textAlignment w:val="bottom"/>
            </w:pPr>
            <w:r>
              <w:rPr>
                <w:rFonts w:ascii="Arial" w:eastAsia="宋体" w:hAnsi="Arial" w:cs="Arial"/>
                <w:color w:val="0068B5"/>
                <w:sz w:val="18"/>
                <w:szCs w:val="18"/>
              </w:rPr>
              <w:t>870 </w:t>
            </w:r>
          </w:p>
        </w:tc>
        <w:tc>
          <w:tcPr>
            <w:tcW w:w="0" w:type="auto"/>
            <w:shd w:val="clear" w:color="auto" w:fill="auto"/>
            <w:tcMar>
              <w:top w:w="40" w:type="dxa"/>
              <w:left w:w="0" w:type="dxa"/>
              <w:bottom w:w="40" w:type="dxa"/>
              <w:right w:w="20" w:type="dxa"/>
            </w:tcMar>
            <w:vAlign w:val="bottom"/>
          </w:tcPr>
          <w:p w14:paraId="39D9875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6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61"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6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6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64" w14:textId="77777777" w:rsidR="00996AD7" w:rsidRDefault="00D96458">
            <w:pPr>
              <w:jc w:val="right"/>
              <w:textAlignment w:val="bottom"/>
            </w:pPr>
            <w:r>
              <w:rPr>
                <w:rFonts w:ascii="Arial" w:eastAsia="宋体" w:hAnsi="Arial" w:cs="Arial"/>
                <w:color w:val="262626"/>
                <w:sz w:val="18"/>
                <w:szCs w:val="18"/>
              </w:rPr>
              <w:t>428 </w:t>
            </w:r>
          </w:p>
        </w:tc>
        <w:tc>
          <w:tcPr>
            <w:tcW w:w="0" w:type="auto"/>
            <w:shd w:val="clear" w:color="auto" w:fill="auto"/>
            <w:tcMar>
              <w:top w:w="40" w:type="dxa"/>
              <w:left w:w="0" w:type="dxa"/>
              <w:bottom w:w="40" w:type="dxa"/>
              <w:right w:w="20" w:type="dxa"/>
            </w:tcMar>
            <w:vAlign w:val="bottom"/>
          </w:tcPr>
          <w:p w14:paraId="39D9876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6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67"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6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6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6A" w14:textId="77777777" w:rsidR="00996AD7" w:rsidRDefault="00D96458">
            <w:pPr>
              <w:jc w:val="right"/>
              <w:textAlignment w:val="bottom"/>
            </w:pPr>
            <w:r>
              <w:rPr>
                <w:rFonts w:ascii="Arial" w:eastAsia="宋体" w:hAnsi="Arial" w:cs="Arial"/>
                <w:color w:val="262626"/>
                <w:sz w:val="18"/>
                <w:szCs w:val="18"/>
              </w:rPr>
              <w:t>428 </w:t>
            </w:r>
          </w:p>
        </w:tc>
        <w:tc>
          <w:tcPr>
            <w:tcW w:w="0" w:type="auto"/>
            <w:shd w:val="clear" w:color="auto" w:fill="auto"/>
            <w:tcMar>
              <w:top w:w="40" w:type="dxa"/>
              <w:left w:w="0" w:type="dxa"/>
              <w:bottom w:w="40" w:type="dxa"/>
              <w:right w:w="20" w:type="dxa"/>
            </w:tcMar>
            <w:vAlign w:val="bottom"/>
          </w:tcPr>
          <w:p w14:paraId="39D9876B" w14:textId="77777777" w:rsidR="00996AD7" w:rsidRDefault="00996AD7">
            <w:pPr>
              <w:jc w:val="right"/>
              <w:rPr>
                <w:rFonts w:ascii="宋体"/>
              </w:rPr>
            </w:pPr>
          </w:p>
        </w:tc>
        <w:tc>
          <w:tcPr>
            <w:tcW w:w="0" w:type="auto"/>
            <w:shd w:val="clear" w:color="auto" w:fill="auto"/>
            <w:vAlign w:val="bottom"/>
          </w:tcPr>
          <w:p w14:paraId="39D9876C" w14:textId="77777777" w:rsidR="00996AD7" w:rsidRDefault="00996AD7">
            <w:pPr>
              <w:rPr>
                <w:rFonts w:ascii="宋体"/>
                <w:vanish/>
              </w:rPr>
            </w:pPr>
          </w:p>
        </w:tc>
        <w:tc>
          <w:tcPr>
            <w:tcW w:w="0" w:type="auto"/>
            <w:shd w:val="clear" w:color="auto" w:fill="auto"/>
            <w:vAlign w:val="bottom"/>
          </w:tcPr>
          <w:p w14:paraId="39D9876D" w14:textId="77777777" w:rsidR="00996AD7" w:rsidRDefault="00996AD7">
            <w:pPr>
              <w:rPr>
                <w:rFonts w:ascii="宋体"/>
                <w:vanish/>
              </w:rPr>
            </w:pPr>
          </w:p>
        </w:tc>
      </w:tr>
      <w:tr w:rsidR="00996AD7" w14:paraId="39D9878A" w14:textId="77777777">
        <w:tc>
          <w:tcPr>
            <w:tcW w:w="0" w:type="auto"/>
            <w:gridSpan w:val="3"/>
            <w:shd w:val="clear" w:color="auto" w:fill="auto"/>
            <w:tcMar>
              <w:top w:w="40" w:type="dxa"/>
              <w:left w:w="140" w:type="dxa"/>
              <w:bottom w:w="40" w:type="dxa"/>
              <w:right w:w="20" w:type="dxa"/>
            </w:tcMar>
          </w:tcPr>
          <w:p w14:paraId="39D9876F" w14:textId="77777777" w:rsidR="00996AD7" w:rsidRDefault="00D96458">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39D9877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71"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77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7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74" w14:textId="77777777" w:rsidR="00996AD7" w:rsidRDefault="00D96458">
            <w:pPr>
              <w:jc w:val="right"/>
              <w:textAlignment w:val="bottom"/>
            </w:pPr>
            <w:r>
              <w:rPr>
                <w:rFonts w:ascii="Arial" w:eastAsia="宋体" w:hAnsi="Arial" w:cs="Arial"/>
                <w:color w:val="0068B5"/>
                <w:sz w:val="18"/>
                <w:szCs w:val="18"/>
              </w:rPr>
              <w:t>2,066 </w:t>
            </w:r>
          </w:p>
        </w:tc>
        <w:tc>
          <w:tcPr>
            <w:tcW w:w="0" w:type="auto"/>
            <w:shd w:val="clear" w:color="auto" w:fill="auto"/>
            <w:tcMar>
              <w:top w:w="40" w:type="dxa"/>
              <w:left w:w="0" w:type="dxa"/>
              <w:bottom w:w="40" w:type="dxa"/>
              <w:right w:w="20" w:type="dxa"/>
            </w:tcMar>
            <w:vAlign w:val="bottom"/>
          </w:tcPr>
          <w:p w14:paraId="39D9877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7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77"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77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7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7A" w14:textId="77777777" w:rsidR="00996AD7" w:rsidRDefault="00D96458">
            <w:pPr>
              <w:jc w:val="right"/>
              <w:textAlignment w:val="bottom"/>
            </w:pPr>
            <w:r>
              <w:rPr>
                <w:rFonts w:ascii="Arial" w:eastAsia="宋体" w:hAnsi="Arial" w:cs="Arial"/>
                <w:color w:val="0068B5"/>
                <w:sz w:val="18"/>
                <w:szCs w:val="18"/>
              </w:rPr>
              <w:t>2,066 </w:t>
            </w:r>
          </w:p>
        </w:tc>
        <w:tc>
          <w:tcPr>
            <w:tcW w:w="0" w:type="auto"/>
            <w:shd w:val="clear" w:color="auto" w:fill="auto"/>
            <w:tcMar>
              <w:top w:w="40" w:type="dxa"/>
              <w:left w:w="0" w:type="dxa"/>
              <w:bottom w:w="40" w:type="dxa"/>
              <w:right w:w="20" w:type="dxa"/>
            </w:tcMar>
            <w:vAlign w:val="bottom"/>
          </w:tcPr>
          <w:p w14:paraId="39D9877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7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7D"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7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7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80" w14:textId="77777777" w:rsidR="00996AD7" w:rsidRDefault="00D96458">
            <w:pPr>
              <w:jc w:val="right"/>
              <w:textAlignment w:val="bottom"/>
            </w:pPr>
            <w:r>
              <w:rPr>
                <w:rFonts w:ascii="Arial" w:eastAsia="宋体" w:hAnsi="Arial" w:cs="Arial"/>
                <w:color w:val="262626"/>
                <w:sz w:val="18"/>
                <w:szCs w:val="18"/>
              </w:rPr>
              <w:t>1,179 </w:t>
            </w:r>
          </w:p>
        </w:tc>
        <w:tc>
          <w:tcPr>
            <w:tcW w:w="0" w:type="auto"/>
            <w:shd w:val="clear" w:color="auto" w:fill="auto"/>
            <w:tcMar>
              <w:top w:w="40" w:type="dxa"/>
              <w:left w:w="0" w:type="dxa"/>
              <w:bottom w:w="40" w:type="dxa"/>
              <w:right w:w="20" w:type="dxa"/>
            </w:tcMar>
            <w:vAlign w:val="bottom"/>
          </w:tcPr>
          <w:p w14:paraId="39D9878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8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83"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8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8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86" w14:textId="77777777" w:rsidR="00996AD7" w:rsidRDefault="00D96458">
            <w:pPr>
              <w:jc w:val="right"/>
              <w:textAlignment w:val="bottom"/>
            </w:pPr>
            <w:r>
              <w:rPr>
                <w:rFonts w:ascii="Arial" w:eastAsia="宋体" w:hAnsi="Arial" w:cs="Arial"/>
                <w:color w:val="262626"/>
                <w:sz w:val="18"/>
                <w:szCs w:val="18"/>
              </w:rPr>
              <w:t>1,179 </w:t>
            </w:r>
          </w:p>
        </w:tc>
        <w:tc>
          <w:tcPr>
            <w:tcW w:w="0" w:type="auto"/>
            <w:shd w:val="clear" w:color="auto" w:fill="auto"/>
            <w:tcMar>
              <w:top w:w="40" w:type="dxa"/>
              <w:left w:w="0" w:type="dxa"/>
              <w:bottom w:w="40" w:type="dxa"/>
              <w:right w:w="20" w:type="dxa"/>
            </w:tcMar>
            <w:vAlign w:val="bottom"/>
          </w:tcPr>
          <w:p w14:paraId="39D98787" w14:textId="77777777" w:rsidR="00996AD7" w:rsidRDefault="00996AD7">
            <w:pPr>
              <w:jc w:val="right"/>
              <w:rPr>
                <w:rFonts w:ascii="宋体"/>
              </w:rPr>
            </w:pPr>
          </w:p>
        </w:tc>
        <w:tc>
          <w:tcPr>
            <w:tcW w:w="0" w:type="auto"/>
            <w:shd w:val="clear" w:color="auto" w:fill="auto"/>
            <w:vAlign w:val="bottom"/>
          </w:tcPr>
          <w:p w14:paraId="39D98788" w14:textId="77777777" w:rsidR="00996AD7" w:rsidRDefault="00996AD7">
            <w:pPr>
              <w:rPr>
                <w:rFonts w:ascii="宋体"/>
                <w:vanish/>
              </w:rPr>
            </w:pPr>
          </w:p>
        </w:tc>
        <w:tc>
          <w:tcPr>
            <w:tcW w:w="0" w:type="auto"/>
            <w:shd w:val="clear" w:color="auto" w:fill="auto"/>
            <w:vAlign w:val="bottom"/>
          </w:tcPr>
          <w:p w14:paraId="39D98789" w14:textId="77777777" w:rsidR="00996AD7" w:rsidRDefault="00996AD7">
            <w:pPr>
              <w:rPr>
                <w:rFonts w:ascii="宋体"/>
                <w:vanish/>
              </w:rPr>
            </w:pPr>
          </w:p>
        </w:tc>
      </w:tr>
      <w:tr w:rsidR="00996AD7" w14:paraId="39D987A6" w14:textId="77777777">
        <w:tc>
          <w:tcPr>
            <w:tcW w:w="0" w:type="auto"/>
            <w:gridSpan w:val="3"/>
            <w:shd w:val="clear" w:color="auto" w:fill="auto"/>
            <w:tcMar>
              <w:top w:w="40" w:type="dxa"/>
              <w:left w:w="140" w:type="dxa"/>
              <w:bottom w:w="40" w:type="dxa"/>
              <w:right w:w="20" w:type="dxa"/>
            </w:tcMar>
          </w:tcPr>
          <w:p w14:paraId="39D9878B" w14:textId="77777777" w:rsidR="00996AD7" w:rsidRDefault="00D96458">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vAlign w:val="bottom"/>
          </w:tcPr>
          <w:p w14:paraId="39D9878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8D"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78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8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90" w14:textId="77777777" w:rsidR="00996AD7" w:rsidRDefault="00D96458">
            <w:pPr>
              <w:jc w:val="right"/>
              <w:textAlignment w:val="bottom"/>
            </w:pPr>
            <w:r>
              <w:rPr>
                <w:rFonts w:ascii="Arial" w:eastAsia="宋体" w:hAnsi="Arial" w:cs="Arial"/>
                <w:color w:val="0068B5"/>
                <w:sz w:val="18"/>
                <w:szCs w:val="18"/>
              </w:rPr>
              <w:t>1,068 </w:t>
            </w:r>
          </w:p>
        </w:tc>
        <w:tc>
          <w:tcPr>
            <w:tcW w:w="0" w:type="auto"/>
            <w:shd w:val="clear" w:color="auto" w:fill="auto"/>
            <w:tcMar>
              <w:top w:w="40" w:type="dxa"/>
              <w:left w:w="0" w:type="dxa"/>
              <w:bottom w:w="40" w:type="dxa"/>
              <w:right w:w="20" w:type="dxa"/>
            </w:tcMar>
            <w:vAlign w:val="bottom"/>
          </w:tcPr>
          <w:p w14:paraId="39D9879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9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93"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79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9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96" w14:textId="77777777" w:rsidR="00996AD7" w:rsidRDefault="00D96458">
            <w:pPr>
              <w:jc w:val="right"/>
              <w:textAlignment w:val="bottom"/>
            </w:pPr>
            <w:r>
              <w:rPr>
                <w:rFonts w:ascii="Arial" w:eastAsia="宋体" w:hAnsi="Arial" w:cs="Arial"/>
                <w:color w:val="0068B5"/>
                <w:sz w:val="18"/>
                <w:szCs w:val="18"/>
              </w:rPr>
              <w:t>1,068 </w:t>
            </w:r>
          </w:p>
        </w:tc>
        <w:tc>
          <w:tcPr>
            <w:tcW w:w="0" w:type="auto"/>
            <w:shd w:val="clear" w:color="auto" w:fill="auto"/>
            <w:tcMar>
              <w:top w:w="40" w:type="dxa"/>
              <w:left w:w="0" w:type="dxa"/>
              <w:bottom w:w="40" w:type="dxa"/>
              <w:right w:w="20" w:type="dxa"/>
            </w:tcMar>
            <w:vAlign w:val="bottom"/>
          </w:tcPr>
          <w:p w14:paraId="39D9879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9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99"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9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9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9C" w14:textId="77777777" w:rsidR="00996AD7" w:rsidRDefault="00D96458">
            <w:pPr>
              <w:jc w:val="right"/>
              <w:textAlignment w:val="bottom"/>
            </w:pPr>
            <w:r>
              <w:rPr>
                <w:rFonts w:ascii="Arial" w:eastAsia="宋体" w:hAnsi="Arial" w:cs="Arial"/>
                <w:color w:val="262626"/>
                <w:sz w:val="18"/>
                <w:szCs w:val="18"/>
              </w:rPr>
              <w:t>685 </w:t>
            </w:r>
          </w:p>
        </w:tc>
        <w:tc>
          <w:tcPr>
            <w:tcW w:w="0" w:type="auto"/>
            <w:shd w:val="clear" w:color="auto" w:fill="auto"/>
            <w:tcMar>
              <w:top w:w="40" w:type="dxa"/>
              <w:left w:w="0" w:type="dxa"/>
              <w:bottom w:w="40" w:type="dxa"/>
              <w:right w:w="20" w:type="dxa"/>
            </w:tcMar>
            <w:vAlign w:val="bottom"/>
          </w:tcPr>
          <w:p w14:paraId="39D9879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9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9F"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A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A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A2" w14:textId="77777777" w:rsidR="00996AD7" w:rsidRDefault="00D96458">
            <w:pPr>
              <w:jc w:val="right"/>
              <w:textAlignment w:val="bottom"/>
            </w:pPr>
            <w:r>
              <w:rPr>
                <w:rFonts w:ascii="Arial" w:eastAsia="宋体" w:hAnsi="Arial" w:cs="Arial"/>
                <w:color w:val="262626"/>
                <w:sz w:val="18"/>
                <w:szCs w:val="18"/>
              </w:rPr>
              <w:t>685 </w:t>
            </w:r>
          </w:p>
        </w:tc>
        <w:tc>
          <w:tcPr>
            <w:tcW w:w="0" w:type="auto"/>
            <w:shd w:val="clear" w:color="auto" w:fill="auto"/>
            <w:tcMar>
              <w:top w:w="40" w:type="dxa"/>
              <w:left w:w="0" w:type="dxa"/>
              <w:bottom w:w="40" w:type="dxa"/>
              <w:right w:w="20" w:type="dxa"/>
            </w:tcMar>
            <w:vAlign w:val="bottom"/>
          </w:tcPr>
          <w:p w14:paraId="39D987A3" w14:textId="77777777" w:rsidR="00996AD7" w:rsidRDefault="00996AD7">
            <w:pPr>
              <w:jc w:val="right"/>
              <w:rPr>
                <w:rFonts w:ascii="宋体"/>
              </w:rPr>
            </w:pPr>
          </w:p>
        </w:tc>
        <w:tc>
          <w:tcPr>
            <w:tcW w:w="0" w:type="auto"/>
            <w:shd w:val="clear" w:color="auto" w:fill="auto"/>
            <w:vAlign w:val="bottom"/>
          </w:tcPr>
          <w:p w14:paraId="39D987A4" w14:textId="77777777" w:rsidR="00996AD7" w:rsidRDefault="00996AD7">
            <w:pPr>
              <w:rPr>
                <w:rFonts w:ascii="宋体"/>
                <w:vanish/>
              </w:rPr>
            </w:pPr>
          </w:p>
        </w:tc>
        <w:tc>
          <w:tcPr>
            <w:tcW w:w="0" w:type="auto"/>
            <w:shd w:val="clear" w:color="auto" w:fill="auto"/>
            <w:vAlign w:val="bottom"/>
          </w:tcPr>
          <w:p w14:paraId="39D987A5" w14:textId="77777777" w:rsidR="00996AD7" w:rsidRDefault="00996AD7">
            <w:pPr>
              <w:rPr>
                <w:rFonts w:ascii="宋体"/>
                <w:vanish/>
              </w:rPr>
            </w:pPr>
          </w:p>
        </w:tc>
      </w:tr>
      <w:tr w:rsidR="00996AD7" w14:paraId="39D987BA" w14:textId="77777777">
        <w:tc>
          <w:tcPr>
            <w:tcW w:w="0" w:type="auto"/>
            <w:gridSpan w:val="3"/>
            <w:shd w:val="clear" w:color="auto" w:fill="auto"/>
            <w:tcMar>
              <w:top w:w="40" w:type="dxa"/>
              <w:left w:w="20" w:type="dxa"/>
              <w:bottom w:w="40" w:type="dxa"/>
              <w:right w:w="20" w:type="dxa"/>
            </w:tcMar>
          </w:tcPr>
          <w:p w14:paraId="39D987A7" w14:textId="77777777" w:rsidR="00996AD7" w:rsidRDefault="00D96458">
            <w:pPr>
              <w:textAlignment w:val="top"/>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vAlign w:val="bottom"/>
          </w:tcPr>
          <w:p w14:paraId="39D987A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A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A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A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A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A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A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A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B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B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B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B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B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B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B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7B7" w14:textId="77777777" w:rsidR="00996AD7" w:rsidRDefault="00996AD7">
            <w:pPr>
              <w:rPr>
                <w:rFonts w:ascii="宋体"/>
              </w:rPr>
            </w:pPr>
          </w:p>
        </w:tc>
        <w:tc>
          <w:tcPr>
            <w:tcW w:w="0" w:type="auto"/>
            <w:shd w:val="clear" w:color="auto" w:fill="auto"/>
            <w:vAlign w:val="bottom"/>
          </w:tcPr>
          <w:p w14:paraId="39D987B8" w14:textId="77777777" w:rsidR="00996AD7" w:rsidRDefault="00996AD7">
            <w:pPr>
              <w:rPr>
                <w:rFonts w:ascii="宋体"/>
                <w:vanish/>
              </w:rPr>
            </w:pPr>
          </w:p>
        </w:tc>
        <w:tc>
          <w:tcPr>
            <w:tcW w:w="0" w:type="auto"/>
            <w:shd w:val="clear" w:color="auto" w:fill="auto"/>
            <w:vAlign w:val="bottom"/>
          </w:tcPr>
          <w:p w14:paraId="39D987B9" w14:textId="77777777" w:rsidR="00996AD7" w:rsidRDefault="00996AD7">
            <w:pPr>
              <w:rPr>
                <w:rFonts w:ascii="宋体"/>
                <w:vanish/>
              </w:rPr>
            </w:pPr>
          </w:p>
        </w:tc>
      </w:tr>
      <w:tr w:rsidR="00996AD7" w14:paraId="39D987CE" w14:textId="77777777">
        <w:trPr>
          <w:hidden/>
        </w:trPr>
        <w:tc>
          <w:tcPr>
            <w:tcW w:w="0" w:type="auto"/>
            <w:gridSpan w:val="3"/>
            <w:shd w:val="clear" w:color="auto" w:fill="auto"/>
            <w:vAlign w:val="bottom"/>
          </w:tcPr>
          <w:p w14:paraId="39D987BB" w14:textId="77777777" w:rsidR="00996AD7" w:rsidRDefault="00996AD7">
            <w:pPr>
              <w:rPr>
                <w:rFonts w:ascii="宋体"/>
                <w:vanish/>
              </w:rPr>
            </w:pPr>
          </w:p>
        </w:tc>
        <w:tc>
          <w:tcPr>
            <w:tcW w:w="0" w:type="auto"/>
            <w:gridSpan w:val="3"/>
            <w:shd w:val="clear" w:color="auto" w:fill="auto"/>
            <w:vAlign w:val="bottom"/>
          </w:tcPr>
          <w:p w14:paraId="39D987BC" w14:textId="77777777" w:rsidR="00996AD7" w:rsidRDefault="00996AD7">
            <w:pPr>
              <w:rPr>
                <w:rFonts w:ascii="宋体"/>
                <w:vanish/>
              </w:rPr>
            </w:pPr>
          </w:p>
        </w:tc>
        <w:tc>
          <w:tcPr>
            <w:tcW w:w="0" w:type="auto"/>
            <w:gridSpan w:val="3"/>
            <w:shd w:val="clear" w:color="auto" w:fill="auto"/>
            <w:vAlign w:val="bottom"/>
          </w:tcPr>
          <w:p w14:paraId="39D987BD" w14:textId="77777777" w:rsidR="00996AD7" w:rsidRDefault="00996AD7">
            <w:pPr>
              <w:rPr>
                <w:rFonts w:ascii="宋体"/>
                <w:vanish/>
              </w:rPr>
            </w:pPr>
          </w:p>
        </w:tc>
        <w:tc>
          <w:tcPr>
            <w:tcW w:w="0" w:type="auto"/>
            <w:gridSpan w:val="3"/>
            <w:shd w:val="clear" w:color="auto" w:fill="auto"/>
            <w:vAlign w:val="bottom"/>
          </w:tcPr>
          <w:p w14:paraId="39D987BE" w14:textId="77777777" w:rsidR="00996AD7" w:rsidRDefault="00996AD7">
            <w:pPr>
              <w:rPr>
                <w:rFonts w:ascii="宋体"/>
                <w:vanish/>
              </w:rPr>
            </w:pPr>
          </w:p>
        </w:tc>
        <w:tc>
          <w:tcPr>
            <w:tcW w:w="0" w:type="auto"/>
            <w:gridSpan w:val="3"/>
            <w:shd w:val="clear" w:color="auto" w:fill="auto"/>
            <w:vAlign w:val="bottom"/>
          </w:tcPr>
          <w:p w14:paraId="39D987BF" w14:textId="77777777" w:rsidR="00996AD7" w:rsidRDefault="00996AD7">
            <w:pPr>
              <w:rPr>
                <w:rFonts w:ascii="宋体"/>
                <w:vanish/>
              </w:rPr>
            </w:pPr>
          </w:p>
        </w:tc>
        <w:tc>
          <w:tcPr>
            <w:tcW w:w="0" w:type="auto"/>
            <w:gridSpan w:val="3"/>
            <w:shd w:val="clear" w:color="auto" w:fill="auto"/>
            <w:vAlign w:val="bottom"/>
          </w:tcPr>
          <w:p w14:paraId="39D987C0" w14:textId="77777777" w:rsidR="00996AD7" w:rsidRDefault="00996AD7">
            <w:pPr>
              <w:rPr>
                <w:rFonts w:ascii="宋体"/>
                <w:vanish/>
              </w:rPr>
            </w:pPr>
          </w:p>
        </w:tc>
        <w:tc>
          <w:tcPr>
            <w:tcW w:w="0" w:type="auto"/>
            <w:gridSpan w:val="3"/>
            <w:shd w:val="clear" w:color="auto" w:fill="auto"/>
            <w:vAlign w:val="bottom"/>
          </w:tcPr>
          <w:p w14:paraId="39D987C1" w14:textId="77777777" w:rsidR="00996AD7" w:rsidRDefault="00996AD7">
            <w:pPr>
              <w:rPr>
                <w:rFonts w:ascii="宋体"/>
                <w:vanish/>
              </w:rPr>
            </w:pPr>
          </w:p>
        </w:tc>
        <w:tc>
          <w:tcPr>
            <w:tcW w:w="0" w:type="auto"/>
            <w:gridSpan w:val="3"/>
            <w:shd w:val="clear" w:color="auto" w:fill="auto"/>
            <w:vAlign w:val="bottom"/>
          </w:tcPr>
          <w:p w14:paraId="39D987C2" w14:textId="77777777" w:rsidR="00996AD7" w:rsidRDefault="00996AD7">
            <w:pPr>
              <w:rPr>
                <w:rFonts w:ascii="宋体"/>
                <w:vanish/>
              </w:rPr>
            </w:pPr>
          </w:p>
        </w:tc>
        <w:tc>
          <w:tcPr>
            <w:tcW w:w="0" w:type="auto"/>
            <w:gridSpan w:val="3"/>
            <w:shd w:val="clear" w:color="auto" w:fill="auto"/>
            <w:vAlign w:val="bottom"/>
          </w:tcPr>
          <w:p w14:paraId="39D987C3" w14:textId="77777777" w:rsidR="00996AD7" w:rsidRDefault="00996AD7">
            <w:pPr>
              <w:rPr>
                <w:rFonts w:ascii="宋体"/>
                <w:vanish/>
              </w:rPr>
            </w:pPr>
          </w:p>
        </w:tc>
        <w:tc>
          <w:tcPr>
            <w:tcW w:w="0" w:type="auto"/>
            <w:gridSpan w:val="3"/>
            <w:shd w:val="clear" w:color="auto" w:fill="auto"/>
            <w:vAlign w:val="bottom"/>
          </w:tcPr>
          <w:p w14:paraId="39D987C4" w14:textId="77777777" w:rsidR="00996AD7" w:rsidRDefault="00996AD7">
            <w:pPr>
              <w:rPr>
                <w:rFonts w:ascii="宋体"/>
                <w:vanish/>
              </w:rPr>
            </w:pPr>
          </w:p>
        </w:tc>
        <w:tc>
          <w:tcPr>
            <w:tcW w:w="0" w:type="auto"/>
            <w:gridSpan w:val="3"/>
            <w:shd w:val="clear" w:color="auto" w:fill="auto"/>
            <w:vAlign w:val="bottom"/>
          </w:tcPr>
          <w:p w14:paraId="39D987C5" w14:textId="77777777" w:rsidR="00996AD7" w:rsidRDefault="00996AD7">
            <w:pPr>
              <w:rPr>
                <w:rFonts w:ascii="宋体"/>
                <w:vanish/>
              </w:rPr>
            </w:pPr>
          </w:p>
        </w:tc>
        <w:tc>
          <w:tcPr>
            <w:tcW w:w="0" w:type="auto"/>
            <w:gridSpan w:val="3"/>
            <w:shd w:val="clear" w:color="auto" w:fill="auto"/>
            <w:vAlign w:val="bottom"/>
          </w:tcPr>
          <w:p w14:paraId="39D987C6" w14:textId="77777777" w:rsidR="00996AD7" w:rsidRDefault="00996AD7">
            <w:pPr>
              <w:rPr>
                <w:rFonts w:ascii="宋体"/>
                <w:vanish/>
              </w:rPr>
            </w:pPr>
          </w:p>
        </w:tc>
        <w:tc>
          <w:tcPr>
            <w:tcW w:w="0" w:type="auto"/>
            <w:gridSpan w:val="3"/>
            <w:shd w:val="clear" w:color="auto" w:fill="auto"/>
            <w:vAlign w:val="bottom"/>
          </w:tcPr>
          <w:p w14:paraId="39D987C7" w14:textId="77777777" w:rsidR="00996AD7" w:rsidRDefault="00996AD7">
            <w:pPr>
              <w:rPr>
                <w:rFonts w:ascii="宋体"/>
                <w:vanish/>
              </w:rPr>
            </w:pPr>
          </w:p>
        </w:tc>
        <w:tc>
          <w:tcPr>
            <w:tcW w:w="0" w:type="auto"/>
            <w:gridSpan w:val="3"/>
            <w:shd w:val="clear" w:color="auto" w:fill="auto"/>
            <w:vAlign w:val="bottom"/>
          </w:tcPr>
          <w:p w14:paraId="39D987C8" w14:textId="77777777" w:rsidR="00996AD7" w:rsidRDefault="00996AD7">
            <w:pPr>
              <w:rPr>
                <w:rFonts w:ascii="宋体"/>
                <w:vanish/>
              </w:rPr>
            </w:pPr>
          </w:p>
        </w:tc>
        <w:tc>
          <w:tcPr>
            <w:tcW w:w="0" w:type="auto"/>
            <w:gridSpan w:val="3"/>
            <w:shd w:val="clear" w:color="auto" w:fill="auto"/>
            <w:vAlign w:val="bottom"/>
          </w:tcPr>
          <w:p w14:paraId="39D987C9" w14:textId="77777777" w:rsidR="00996AD7" w:rsidRDefault="00996AD7">
            <w:pPr>
              <w:rPr>
                <w:rFonts w:ascii="宋体"/>
                <w:vanish/>
              </w:rPr>
            </w:pPr>
          </w:p>
        </w:tc>
        <w:tc>
          <w:tcPr>
            <w:tcW w:w="0" w:type="auto"/>
            <w:gridSpan w:val="3"/>
            <w:shd w:val="clear" w:color="auto" w:fill="auto"/>
            <w:vAlign w:val="bottom"/>
          </w:tcPr>
          <w:p w14:paraId="39D987CA" w14:textId="77777777" w:rsidR="00996AD7" w:rsidRDefault="00996AD7">
            <w:pPr>
              <w:rPr>
                <w:rFonts w:ascii="宋体"/>
                <w:vanish/>
              </w:rPr>
            </w:pPr>
          </w:p>
        </w:tc>
        <w:tc>
          <w:tcPr>
            <w:tcW w:w="0" w:type="auto"/>
            <w:gridSpan w:val="3"/>
            <w:shd w:val="clear" w:color="auto" w:fill="auto"/>
            <w:vAlign w:val="bottom"/>
          </w:tcPr>
          <w:p w14:paraId="39D987CB" w14:textId="77777777" w:rsidR="00996AD7" w:rsidRDefault="00996AD7">
            <w:pPr>
              <w:rPr>
                <w:rFonts w:ascii="宋体"/>
                <w:vanish/>
              </w:rPr>
            </w:pPr>
          </w:p>
        </w:tc>
        <w:tc>
          <w:tcPr>
            <w:tcW w:w="0" w:type="auto"/>
            <w:shd w:val="clear" w:color="auto" w:fill="auto"/>
            <w:vAlign w:val="bottom"/>
          </w:tcPr>
          <w:p w14:paraId="39D987CC" w14:textId="77777777" w:rsidR="00996AD7" w:rsidRDefault="00996AD7">
            <w:pPr>
              <w:rPr>
                <w:rFonts w:ascii="宋体"/>
                <w:vanish/>
              </w:rPr>
            </w:pPr>
          </w:p>
        </w:tc>
        <w:tc>
          <w:tcPr>
            <w:tcW w:w="0" w:type="auto"/>
            <w:shd w:val="clear" w:color="auto" w:fill="auto"/>
            <w:vAlign w:val="bottom"/>
          </w:tcPr>
          <w:p w14:paraId="39D987CD" w14:textId="77777777" w:rsidR="00996AD7" w:rsidRDefault="00996AD7">
            <w:pPr>
              <w:rPr>
                <w:rFonts w:ascii="宋体"/>
                <w:vanish/>
              </w:rPr>
            </w:pPr>
          </w:p>
        </w:tc>
      </w:tr>
      <w:tr w:rsidR="00996AD7" w14:paraId="39D987EA" w14:textId="77777777">
        <w:tc>
          <w:tcPr>
            <w:tcW w:w="0" w:type="auto"/>
            <w:gridSpan w:val="3"/>
            <w:shd w:val="clear" w:color="auto" w:fill="auto"/>
            <w:tcMar>
              <w:top w:w="40" w:type="dxa"/>
              <w:left w:w="140" w:type="dxa"/>
              <w:bottom w:w="40" w:type="dxa"/>
              <w:right w:w="20" w:type="dxa"/>
            </w:tcMar>
          </w:tcPr>
          <w:p w14:paraId="39D987CF" w14:textId="77777777" w:rsidR="00996AD7" w:rsidRDefault="00D96458">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39D987D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D1"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7D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D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D4" w14:textId="77777777" w:rsidR="00996AD7" w:rsidRDefault="00D96458">
            <w:pPr>
              <w:jc w:val="right"/>
              <w:textAlignment w:val="bottom"/>
            </w:pPr>
            <w:r>
              <w:rPr>
                <w:rFonts w:ascii="Arial" w:eastAsia="宋体" w:hAnsi="Arial" w:cs="Arial"/>
                <w:color w:val="0068B5"/>
                <w:sz w:val="18"/>
                <w:szCs w:val="18"/>
              </w:rPr>
              <w:t>5,121 </w:t>
            </w:r>
          </w:p>
        </w:tc>
        <w:tc>
          <w:tcPr>
            <w:tcW w:w="0" w:type="auto"/>
            <w:shd w:val="clear" w:color="auto" w:fill="auto"/>
            <w:tcMar>
              <w:top w:w="40" w:type="dxa"/>
              <w:left w:w="0" w:type="dxa"/>
              <w:bottom w:w="40" w:type="dxa"/>
              <w:right w:w="20" w:type="dxa"/>
            </w:tcMar>
            <w:vAlign w:val="bottom"/>
          </w:tcPr>
          <w:p w14:paraId="39D987D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D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D7"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7D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D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DA" w14:textId="77777777" w:rsidR="00996AD7" w:rsidRDefault="00D96458">
            <w:pPr>
              <w:jc w:val="right"/>
              <w:textAlignment w:val="bottom"/>
            </w:pPr>
            <w:r>
              <w:rPr>
                <w:rFonts w:ascii="Arial" w:eastAsia="宋体" w:hAnsi="Arial" w:cs="Arial"/>
                <w:color w:val="0068B5"/>
                <w:sz w:val="18"/>
                <w:szCs w:val="18"/>
              </w:rPr>
              <w:t>5,121 </w:t>
            </w:r>
          </w:p>
        </w:tc>
        <w:tc>
          <w:tcPr>
            <w:tcW w:w="0" w:type="auto"/>
            <w:shd w:val="clear" w:color="auto" w:fill="auto"/>
            <w:tcMar>
              <w:top w:w="40" w:type="dxa"/>
              <w:left w:w="0" w:type="dxa"/>
              <w:bottom w:w="40" w:type="dxa"/>
              <w:right w:w="20" w:type="dxa"/>
            </w:tcMar>
            <w:vAlign w:val="bottom"/>
          </w:tcPr>
          <w:p w14:paraId="39D987D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D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DD"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D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D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E0" w14:textId="77777777" w:rsidR="00996AD7" w:rsidRDefault="00D96458">
            <w:pPr>
              <w:jc w:val="right"/>
              <w:textAlignment w:val="bottom"/>
            </w:pPr>
            <w:r>
              <w:rPr>
                <w:rFonts w:ascii="Arial" w:eastAsia="宋体" w:hAnsi="Arial" w:cs="Arial"/>
                <w:color w:val="262626"/>
                <w:sz w:val="18"/>
                <w:szCs w:val="18"/>
              </w:rPr>
              <w:t>3,815 </w:t>
            </w:r>
          </w:p>
        </w:tc>
        <w:tc>
          <w:tcPr>
            <w:tcW w:w="0" w:type="auto"/>
            <w:shd w:val="clear" w:color="auto" w:fill="auto"/>
            <w:tcMar>
              <w:top w:w="40" w:type="dxa"/>
              <w:left w:w="0" w:type="dxa"/>
              <w:bottom w:w="40" w:type="dxa"/>
              <w:right w:w="20" w:type="dxa"/>
            </w:tcMar>
            <w:vAlign w:val="bottom"/>
          </w:tcPr>
          <w:p w14:paraId="39D987E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E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E3"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7E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E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E6" w14:textId="77777777" w:rsidR="00996AD7" w:rsidRDefault="00D96458">
            <w:pPr>
              <w:jc w:val="right"/>
              <w:textAlignment w:val="bottom"/>
            </w:pPr>
            <w:r>
              <w:rPr>
                <w:rFonts w:ascii="Arial" w:eastAsia="宋体" w:hAnsi="Arial" w:cs="Arial"/>
                <w:color w:val="262626"/>
                <w:sz w:val="18"/>
                <w:szCs w:val="18"/>
              </w:rPr>
              <w:t>3,815 </w:t>
            </w:r>
          </w:p>
        </w:tc>
        <w:tc>
          <w:tcPr>
            <w:tcW w:w="0" w:type="auto"/>
            <w:shd w:val="clear" w:color="auto" w:fill="auto"/>
            <w:tcMar>
              <w:top w:w="40" w:type="dxa"/>
              <w:left w:w="0" w:type="dxa"/>
              <w:bottom w:w="40" w:type="dxa"/>
              <w:right w:w="20" w:type="dxa"/>
            </w:tcMar>
            <w:vAlign w:val="bottom"/>
          </w:tcPr>
          <w:p w14:paraId="39D987E7" w14:textId="77777777" w:rsidR="00996AD7" w:rsidRDefault="00996AD7">
            <w:pPr>
              <w:jc w:val="right"/>
              <w:rPr>
                <w:rFonts w:ascii="宋体"/>
              </w:rPr>
            </w:pPr>
          </w:p>
        </w:tc>
        <w:tc>
          <w:tcPr>
            <w:tcW w:w="0" w:type="auto"/>
            <w:shd w:val="clear" w:color="auto" w:fill="auto"/>
            <w:vAlign w:val="bottom"/>
          </w:tcPr>
          <w:p w14:paraId="39D987E8" w14:textId="77777777" w:rsidR="00996AD7" w:rsidRDefault="00996AD7">
            <w:pPr>
              <w:rPr>
                <w:rFonts w:ascii="宋体"/>
                <w:vanish/>
              </w:rPr>
            </w:pPr>
          </w:p>
        </w:tc>
        <w:tc>
          <w:tcPr>
            <w:tcW w:w="0" w:type="auto"/>
            <w:shd w:val="clear" w:color="auto" w:fill="auto"/>
            <w:vAlign w:val="bottom"/>
          </w:tcPr>
          <w:p w14:paraId="39D987E9" w14:textId="77777777" w:rsidR="00996AD7" w:rsidRDefault="00996AD7">
            <w:pPr>
              <w:rPr>
                <w:rFonts w:ascii="宋体"/>
                <w:vanish/>
              </w:rPr>
            </w:pPr>
          </w:p>
        </w:tc>
      </w:tr>
      <w:tr w:rsidR="00996AD7" w14:paraId="39D98806" w14:textId="77777777">
        <w:tc>
          <w:tcPr>
            <w:tcW w:w="0" w:type="auto"/>
            <w:gridSpan w:val="3"/>
            <w:shd w:val="clear" w:color="auto" w:fill="auto"/>
            <w:tcMar>
              <w:top w:w="40" w:type="dxa"/>
              <w:left w:w="140" w:type="dxa"/>
              <w:bottom w:w="40" w:type="dxa"/>
              <w:right w:w="20" w:type="dxa"/>
            </w:tcMar>
          </w:tcPr>
          <w:p w14:paraId="39D987EB" w14:textId="77777777" w:rsidR="00996AD7" w:rsidRDefault="00D96458">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39D987E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ED" w14:textId="77777777" w:rsidR="00996AD7" w:rsidRDefault="00D96458">
            <w:pPr>
              <w:jc w:val="right"/>
              <w:textAlignment w:val="bottom"/>
            </w:pPr>
            <w:r>
              <w:rPr>
                <w:rFonts w:ascii="Arial" w:eastAsia="宋体" w:hAnsi="Arial" w:cs="Arial"/>
                <w:color w:val="0068B5"/>
                <w:sz w:val="18"/>
                <w:szCs w:val="18"/>
              </w:rPr>
              <w:t>67 </w:t>
            </w:r>
          </w:p>
        </w:tc>
        <w:tc>
          <w:tcPr>
            <w:tcW w:w="0" w:type="auto"/>
            <w:shd w:val="clear" w:color="auto" w:fill="auto"/>
            <w:tcMar>
              <w:top w:w="40" w:type="dxa"/>
              <w:left w:w="0" w:type="dxa"/>
              <w:bottom w:w="40" w:type="dxa"/>
              <w:right w:w="20" w:type="dxa"/>
            </w:tcMar>
            <w:vAlign w:val="bottom"/>
          </w:tcPr>
          <w:p w14:paraId="39D987E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E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F0" w14:textId="77777777" w:rsidR="00996AD7" w:rsidRDefault="00D96458">
            <w:pPr>
              <w:jc w:val="right"/>
              <w:textAlignment w:val="bottom"/>
            </w:pPr>
            <w:r>
              <w:rPr>
                <w:rFonts w:ascii="Arial" w:eastAsia="宋体" w:hAnsi="Arial" w:cs="Arial"/>
                <w:color w:val="0068B5"/>
                <w:sz w:val="18"/>
                <w:szCs w:val="18"/>
              </w:rPr>
              <w:t>4,014 </w:t>
            </w:r>
          </w:p>
        </w:tc>
        <w:tc>
          <w:tcPr>
            <w:tcW w:w="0" w:type="auto"/>
            <w:shd w:val="clear" w:color="auto" w:fill="auto"/>
            <w:tcMar>
              <w:top w:w="40" w:type="dxa"/>
              <w:left w:w="0" w:type="dxa"/>
              <w:bottom w:w="40" w:type="dxa"/>
              <w:right w:w="20" w:type="dxa"/>
            </w:tcMar>
            <w:vAlign w:val="bottom"/>
          </w:tcPr>
          <w:p w14:paraId="39D987F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F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F3"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7F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F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F6" w14:textId="77777777" w:rsidR="00996AD7" w:rsidRDefault="00D96458">
            <w:pPr>
              <w:jc w:val="right"/>
              <w:textAlignment w:val="bottom"/>
            </w:pPr>
            <w:r>
              <w:rPr>
                <w:rFonts w:ascii="Arial" w:eastAsia="宋体" w:hAnsi="Arial" w:cs="Arial"/>
                <w:color w:val="0068B5"/>
                <w:sz w:val="18"/>
                <w:szCs w:val="18"/>
              </w:rPr>
              <w:t>4,081 </w:t>
            </w:r>
          </w:p>
        </w:tc>
        <w:tc>
          <w:tcPr>
            <w:tcW w:w="0" w:type="auto"/>
            <w:shd w:val="clear" w:color="auto" w:fill="auto"/>
            <w:tcMar>
              <w:top w:w="40" w:type="dxa"/>
              <w:left w:w="0" w:type="dxa"/>
              <w:bottom w:w="40" w:type="dxa"/>
              <w:right w:w="20" w:type="dxa"/>
            </w:tcMar>
            <w:vAlign w:val="bottom"/>
          </w:tcPr>
          <w:p w14:paraId="39D987F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F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F9" w14:textId="77777777" w:rsidR="00996AD7" w:rsidRDefault="00D96458">
            <w:pPr>
              <w:jc w:val="right"/>
              <w:textAlignment w:val="bottom"/>
            </w:pPr>
            <w:r>
              <w:rPr>
                <w:rFonts w:ascii="Arial" w:eastAsia="宋体" w:hAnsi="Arial" w:cs="Arial"/>
                <w:color w:val="262626"/>
                <w:sz w:val="18"/>
                <w:szCs w:val="18"/>
              </w:rPr>
              <w:t>131 </w:t>
            </w:r>
          </w:p>
        </w:tc>
        <w:tc>
          <w:tcPr>
            <w:tcW w:w="0" w:type="auto"/>
            <w:shd w:val="clear" w:color="auto" w:fill="auto"/>
            <w:tcMar>
              <w:top w:w="40" w:type="dxa"/>
              <w:left w:w="0" w:type="dxa"/>
              <w:bottom w:w="40" w:type="dxa"/>
              <w:right w:w="20" w:type="dxa"/>
            </w:tcMar>
            <w:vAlign w:val="bottom"/>
          </w:tcPr>
          <w:p w14:paraId="39D987F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F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FC" w14:textId="77777777" w:rsidR="00996AD7" w:rsidRDefault="00D96458">
            <w:pPr>
              <w:jc w:val="right"/>
              <w:textAlignment w:val="bottom"/>
            </w:pPr>
            <w:r>
              <w:rPr>
                <w:rFonts w:ascii="Arial" w:eastAsia="宋体" w:hAnsi="Arial" w:cs="Arial"/>
                <w:color w:val="262626"/>
                <w:sz w:val="18"/>
                <w:szCs w:val="18"/>
              </w:rPr>
              <w:t>2,847 </w:t>
            </w:r>
          </w:p>
        </w:tc>
        <w:tc>
          <w:tcPr>
            <w:tcW w:w="0" w:type="auto"/>
            <w:shd w:val="clear" w:color="auto" w:fill="auto"/>
            <w:tcMar>
              <w:top w:w="40" w:type="dxa"/>
              <w:left w:w="0" w:type="dxa"/>
              <w:bottom w:w="40" w:type="dxa"/>
              <w:right w:w="20" w:type="dxa"/>
            </w:tcMar>
            <w:vAlign w:val="bottom"/>
          </w:tcPr>
          <w:p w14:paraId="39D987F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7F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7FF"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80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0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02" w14:textId="77777777" w:rsidR="00996AD7" w:rsidRDefault="00D96458">
            <w:pPr>
              <w:jc w:val="right"/>
              <w:textAlignment w:val="bottom"/>
            </w:pPr>
            <w:r>
              <w:rPr>
                <w:rFonts w:ascii="Arial" w:eastAsia="宋体" w:hAnsi="Arial" w:cs="Arial"/>
                <w:color w:val="262626"/>
                <w:sz w:val="18"/>
                <w:szCs w:val="18"/>
              </w:rPr>
              <w:t>2,978 </w:t>
            </w:r>
          </w:p>
        </w:tc>
        <w:tc>
          <w:tcPr>
            <w:tcW w:w="0" w:type="auto"/>
            <w:shd w:val="clear" w:color="auto" w:fill="auto"/>
            <w:tcMar>
              <w:top w:w="40" w:type="dxa"/>
              <w:left w:w="0" w:type="dxa"/>
              <w:bottom w:w="40" w:type="dxa"/>
              <w:right w:w="20" w:type="dxa"/>
            </w:tcMar>
            <w:vAlign w:val="bottom"/>
          </w:tcPr>
          <w:p w14:paraId="39D98803" w14:textId="77777777" w:rsidR="00996AD7" w:rsidRDefault="00996AD7">
            <w:pPr>
              <w:jc w:val="right"/>
              <w:rPr>
                <w:rFonts w:ascii="宋体"/>
              </w:rPr>
            </w:pPr>
          </w:p>
        </w:tc>
        <w:tc>
          <w:tcPr>
            <w:tcW w:w="0" w:type="auto"/>
            <w:shd w:val="clear" w:color="auto" w:fill="auto"/>
            <w:vAlign w:val="bottom"/>
          </w:tcPr>
          <w:p w14:paraId="39D98804" w14:textId="77777777" w:rsidR="00996AD7" w:rsidRDefault="00996AD7">
            <w:pPr>
              <w:rPr>
                <w:rFonts w:ascii="宋体"/>
                <w:vanish/>
              </w:rPr>
            </w:pPr>
          </w:p>
        </w:tc>
        <w:tc>
          <w:tcPr>
            <w:tcW w:w="0" w:type="auto"/>
            <w:shd w:val="clear" w:color="auto" w:fill="auto"/>
            <w:vAlign w:val="bottom"/>
          </w:tcPr>
          <w:p w14:paraId="39D98805" w14:textId="77777777" w:rsidR="00996AD7" w:rsidRDefault="00996AD7">
            <w:pPr>
              <w:rPr>
                <w:rFonts w:ascii="宋体"/>
                <w:vanish/>
              </w:rPr>
            </w:pPr>
          </w:p>
        </w:tc>
      </w:tr>
      <w:tr w:rsidR="00996AD7" w14:paraId="39D98822" w14:textId="77777777">
        <w:tc>
          <w:tcPr>
            <w:tcW w:w="0" w:type="auto"/>
            <w:gridSpan w:val="3"/>
            <w:shd w:val="clear" w:color="auto" w:fill="auto"/>
            <w:tcMar>
              <w:top w:w="40" w:type="dxa"/>
              <w:left w:w="140" w:type="dxa"/>
              <w:bottom w:w="40" w:type="dxa"/>
              <w:right w:w="20" w:type="dxa"/>
            </w:tcMar>
          </w:tcPr>
          <w:p w14:paraId="39D98807" w14:textId="77777777" w:rsidR="00996AD7" w:rsidRDefault="00D96458">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vAlign w:val="bottom"/>
          </w:tcPr>
          <w:p w14:paraId="39D9880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09"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80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0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0C" w14:textId="77777777" w:rsidR="00996AD7" w:rsidRDefault="00D96458">
            <w:pPr>
              <w:jc w:val="right"/>
              <w:textAlignment w:val="bottom"/>
            </w:pPr>
            <w:r>
              <w:rPr>
                <w:rFonts w:ascii="Arial" w:eastAsia="宋体" w:hAnsi="Arial" w:cs="Arial"/>
                <w:color w:val="0068B5"/>
                <w:sz w:val="18"/>
                <w:szCs w:val="18"/>
              </w:rPr>
              <w:t>13,559 </w:t>
            </w:r>
          </w:p>
        </w:tc>
        <w:tc>
          <w:tcPr>
            <w:tcW w:w="0" w:type="auto"/>
            <w:shd w:val="clear" w:color="auto" w:fill="auto"/>
            <w:tcMar>
              <w:top w:w="40" w:type="dxa"/>
              <w:left w:w="0" w:type="dxa"/>
              <w:bottom w:w="40" w:type="dxa"/>
              <w:right w:w="20" w:type="dxa"/>
            </w:tcMar>
            <w:vAlign w:val="bottom"/>
          </w:tcPr>
          <w:p w14:paraId="39D9880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0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0F"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81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1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12" w14:textId="77777777" w:rsidR="00996AD7" w:rsidRDefault="00D96458">
            <w:pPr>
              <w:jc w:val="right"/>
              <w:textAlignment w:val="bottom"/>
            </w:pPr>
            <w:r>
              <w:rPr>
                <w:rFonts w:ascii="Arial" w:eastAsia="宋体" w:hAnsi="Arial" w:cs="Arial"/>
                <w:color w:val="0068B5"/>
                <w:sz w:val="18"/>
                <w:szCs w:val="18"/>
              </w:rPr>
              <w:t>13,559 </w:t>
            </w:r>
          </w:p>
        </w:tc>
        <w:tc>
          <w:tcPr>
            <w:tcW w:w="0" w:type="auto"/>
            <w:shd w:val="clear" w:color="auto" w:fill="auto"/>
            <w:tcMar>
              <w:top w:w="40" w:type="dxa"/>
              <w:left w:w="0" w:type="dxa"/>
              <w:bottom w:w="40" w:type="dxa"/>
              <w:right w:w="20" w:type="dxa"/>
            </w:tcMar>
            <w:vAlign w:val="bottom"/>
          </w:tcPr>
          <w:p w14:paraId="39D9881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1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15"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81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1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18" w14:textId="77777777" w:rsidR="00996AD7" w:rsidRDefault="00D96458">
            <w:pPr>
              <w:jc w:val="right"/>
              <w:textAlignment w:val="bottom"/>
            </w:pPr>
            <w:r>
              <w:rPr>
                <w:rFonts w:ascii="Arial" w:eastAsia="宋体" w:hAnsi="Arial" w:cs="Arial"/>
                <w:color w:val="262626"/>
                <w:sz w:val="18"/>
                <w:szCs w:val="18"/>
              </w:rPr>
              <w:t>8,945 </w:t>
            </w:r>
          </w:p>
        </w:tc>
        <w:tc>
          <w:tcPr>
            <w:tcW w:w="0" w:type="auto"/>
            <w:shd w:val="clear" w:color="auto" w:fill="auto"/>
            <w:tcMar>
              <w:top w:w="40" w:type="dxa"/>
              <w:left w:w="0" w:type="dxa"/>
              <w:bottom w:w="40" w:type="dxa"/>
              <w:right w:w="20" w:type="dxa"/>
            </w:tcMar>
            <w:vAlign w:val="bottom"/>
          </w:tcPr>
          <w:p w14:paraId="39D9881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1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1B"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81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1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1E" w14:textId="77777777" w:rsidR="00996AD7" w:rsidRDefault="00D96458">
            <w:pPr>
              <w:jc w:val="right"/>
              <w:textAlignment w:val="bottom"/>
            </w:pPr>
            <w:r>
              <w:rPr>
                <w:rFonts w:ascii="Arial" w:eastAsia="宋体" w:hAnsi="Arial" w:cs="Arial"/>
                <w:color w:val="262626"/>
                <w:sz w:val="18"/>
                <w:szCs w:val="18"/>
              </w:rPr>
              <w:t>8,945 </w:t>
            </w:r>
          </w:p>
        </w:tc>
        <w:tc>
          <w:tcPr>
            <w:tcW w:w="0" w:type="auto"/>
            <w:shd w:val="clear" w:color="auto" w:fill="auto"/>
            <w:tcMar>
              <w:top w:w="40" w:type="dxa"/>
              <w:left w:w="0" w:type="dxa"/>
              <w:bottom w:w="40" w:type="dxa"/>
              <w:right w:w="20" w:type="dxa"/>
            </w:tcMar>
            <w:vAlign w:val="bottom"/>
          </w:tcPr>
          <w:p w14:paraId="39D9881F" w14:textId="77777777" w:rsidR="00996AD7" w:rsidRDefault="00996AD7">
            <w:pPr>
              <w:jc w:val="right"/>
              <w:rPr>
                <w:rFonts w:ascii="宋体"/>
              </w:rPr>
            </w:pPr>
          </w:p>
        </w:tc>
        <w:tc>
          <w:tcPr>
            <w:tcW w:w="0" w:type="auto"/>
            <w:shd w:val="clear" w:color="auto" w:fill="auto"/>
            <w:vAlign w:val="bottom"/>
          </w:tcPr>
          <w:p w14:paraId="39D98820" w14:textId="77777777" w:rsidR="00996AD7" w:rsidRDefault="00996AD7">
            <w:pPr>
              <w:rPr>
                <w:rFonts w:ascii="宋体"/>
                <w:vanish/>
              </w:rPr>
            </w:pPr>
          </w:p>
        </w:tc>
        <w:tc>
          <w:tcPr>
            <w:tcW w:w="0" w:type="auto"/>
            <w:shd w:val="clear" w:color="auto" w:fill="auto"/>
            <w:vAlign w:val="bottom"/>
          </w:tcPr>
          <w:p w14:paraId="39D98821" w14:textId="77777777" w:rsidR="00996AD7" w:rsidRDefault="00996AD7">
            <w:pPr>
              <w:rPr>
                <w:rFonts w:ascii="宋体"/>
                <w:vanish/>
              </w:rPr>
            </w:pPr>
          </w:p>
        </w:tc>
      </w:tr>
      <w:tr w:rsidR="00996AD7" w14:paraId="39D98836" w14:textId="77777777">
        <w:tc>
          <w:tcPr>
            <w:tcW w:w="0" w:type="auto"/>
            <w:gridSpan w:val="3"/>
            <w:shd w:val="clear" w:color="auto" w:fill="auto"/>
            <w:tcMar>
              <w:top w:w="40" w:type="dxa"/>
              <w:left w:w="20" w:type="dxa"/>
              <w:bottom w:w="40" w:type="dxa"/>
              <w:right w:w="20" w:type="dxa"/>
            </w:tcMar>
          </w:tcPr>
          <w:p w14:paraId="39D98823" w14:textId="77777777" w:rsidR="00996AD7" w:rsidRDefault="00D96458">
            <w:pPr>
              <w:textAlignment w:val="top"/>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vAlign w:val="bottom"/>
          </w:tcPr>
          <w:p w14:paraId="39D9882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2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2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2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2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2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2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2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2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2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2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2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3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3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3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33" w14:textId="77777777" w:rsidR="00996AD7" w:rsidRDefault="00996AD7">
            <w:pPr>
              <w:rPr>
                <w:rFonts w:ascii="宋体"/>
              </w:rPr>
            </w:pPr>
          </w:p>
        </w:tc>
        <w:tc>
          <w:tcPr>
            <w:tcW w:w="0" w:type="auto"/>
            <w:shd w:val="clear" w:color="auto" w:fill="auto"/>
            <w:vAlign w:val="bottom"/>
          </w:tcPr>
          <w:p w14:paraId="39D98834" w14:textId="77777777" w:rsidR="00996AD7" w:rsidRDefault="00996AD7">
            <w:pPr>
              <w:rPr>
                <w:rFonts w:ascii="宋体"/>
                <w:vanish/>
              </w:rPr>
            </w:pPr>
          </w:p>
        </w:tc>
        <w:tc>
          <w:tcPr>
            <w:tcW w:w="0" w:type="auto"/>
            <w:shd w:val="clear" w:color="auto" w:fill="auto"/>
            <w:vAlign w:val="bottom"/>
          </w:tcPr>
          <w:p w14:paraId="39D98835" w14:textId="77777777" w:rsidR="00996AD7" w:rsidRDefault="00996AD7">
            <w:pPr>
              <w:rPr>
                <w:rFonts w:ascii="宋体"/>
                <w:vanish/>
              </w:rPr>
            </w:pPr>
          </w:p>
        </w:tc>
      </w:tr>
      <w:tr w:rsidR="00996AD7" w14:paraId="39D98852" w14:textId="77777777">
        <w:tc>
          <w:tcPr>
            <w:tcW w:w="0" w:type="auto"/>
            <w:gridSpan w:val="3"/>
            <w:shd w:val="clear" w:color="auto" w:fill="auto"/>
            <w:tcMar>
              <w:top w:w="40" w:type="dxa"/>
              <w:left w:w="140" w:type="dxa"/>
              <w:bottom w:w="40" w:type="dxa"/>
              <w:right w:w="20" w:type="dxa"/>
            </w:tcMar>
          </w:tcPr>
          <w:p w14:paraId="39D98837" w14:textId="77777777" w:rsidR="00996AD7" w:rsidRDefault="00D96458">
            <w:pPr>
              <w:textAlignment w:val="top"/>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39D9883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39" w14:textId="77777777" w:rsidR="00996AD7" w:rsidRDefault="00D96458">
            <w:pPr>
              <w:jc w:val="right"/>
              <w:textAlignment w:val="bottom"/>
            </w:pPr>
            <w:r>
              <w:rPr>
                <w:rFonts w:ascii="Arial" w:eastAsia="宋体" w:hAnsi="Arial" w:cs="Arial"/>
                <w:color w:val="0068B5"/>
                <w:sz w:val="18"/>
                <w:szCs w:val="18"/>
              </w:rPr>
              <w:t>4 </w:t>
            </w:r>
          </w:p>
        </w:tc>
        <w:tc>
          <w:tcPr>
            <w:tcW w:w="0" w:type="auto"/>
            <w:shd w:val="clear" w:color="auto" w:fill="auto"/>
            <w:tcMar>
              <w:top w:w="40" w:type="dxa"/>
              <w:left w:w="0" w:type="dxa"/>
              <w:bottom w:w="40" w:type="dxa"/>
              <w:right w:w="20" w:type="dxa"/>
            </w:tcMar>
            <w:vAlign w:val="bottom"/>
          </w:tcPr>
          <w:p w14:paraId="39D9883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3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3C" w14:textId="77777777" w:rsidR="00996AD7" w:rsidRDefault="00D96458">
            <w:pPr>
              <w:jc w:val="right"/>
              <w:textAlignment w:val="bottom"/>
            </w:pPr>
            <w:r>
              <w:rPr>
                <w:rFonts w:ascii="Arial" w:eastAsia="宋体" w:hAnsi="Arial" w:cs="Arial"/>
                <w:color w:val="0068B5"/>
                <w:sz w:val="18"/>
                <w:szCs w:val="18"/>
              </w:rPr>
              <w:t>323 </w:t>
            </w:r>
          </w:p>
        </w:tc>
        <w:tc>
          <w:tcPr>
            <w:tcW w:w="0" w:type="auto"/>
            <w:shd w:val="clear" w:color="auto" w:fill="auto"/>
            <w:tcMar>
              <w:top w:w="40" w:type="dxa"/>
              <w:left w:w="0" w:type="dxa"/>
              <w:bottom w:w="40" w:type="dxa"/>
              <w:right w:w="20" w:type="dxa"/>
            </w:tcMar>
            <w:vAlign w:val="bottom"/>
          </w:tcPr>
          <w:p w14:paraId="39D9883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3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3F"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84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4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42" w14:textId="77777777" w:rsidR="00996AD7" w:rsidRDefault="00D96458">
            <w:pPr>
              <w:jc w:val="right"/>
              <w:textAlignment w:val="bottom"/>
            </w:pPr>
            <w:r>
              <w:rPr>
                <w:rFonts w:ascii="Arial" w:eastAsia="宋体" w:hAnsi="Arial" w:cs="Arial"/>
                <w:color w:val="0068B5"/>
                <w:sz w:val="18"/>
                <w:szCs w:val="18"/>
              </w:rPr>
              <w:t>327 </w:t>
            </w:r>
          </w:p>
        </w:tc>
        <w:tc>
          <w:tcPr>
            <w:tcW w:w="0" w:type="auto"/>
            <w:shd w:val="clear" w:color="auto" w:fill="auto"/>
            <w:tcMar>
              <w:top w:w="40" w:type="dxa"/>
              <w:left w:w="0" w:type="dxa"/>
              <w:bottom w:w="40" w:type="dxa"/>
              <w:right w:w="20" w:type="dxa"/>
            </w:tcMar>
            <w:vAlign w:val="bottom"/>
          </w:tcPr>
          <w:p w14:paraId="39D9884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4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45" w14:textId="77777777" w:rsidR="00996AD7" w:rsidRDefault="00D96458">
            <w:pPr>
              <w:jc w:val="right"/>
              <w:textAlignment w:val="bottom"/>
            </w:pPr>
            <w:r>
              <w:rPr>
                <w:rFonts w:ascii="Arial" w:eastAsia="宋体" w:hAnsi="Arial" w:cs="Arial"/>
                <w:color w:val="262626"/>
                <w:sz w:val="18"/>
                <w:szCs w:val="18"/>
              </w:rPr>
              <w:t>48 </w:t>
            </w:r>
          </w:p>
        </w:tc>
        <w:tc>
          <w:tcPr>
            <w:tcW w:w="0" w:type="auto"/>
            <w:shd w:val="clear" w:color="auto" w:fill="auto"/>
            <w:tcMar>
              <w:top w:w="40" w:type="dxa"/>
              <w:left w:w="0" w:type="dxa"/>
              <w:bottom w:w="40" w:type="dxa"/>
              <w:right w:w="20" w:type="dxa"/>
            </w:tcMar>
            <w:vAlign w:val="bottom"/>
          </w:tcPr>
          <w:p w14:paraId="39D9884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4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48" w14:textId="77777777" w:rsidR="00996AD7" w:rsidRDefault="00D96458">
            <w:pPr>
              <w:jc w:val="right"/>
              <w:textAlignment w:val="bottom"/>
            </w:pPr>
            <w:r>
              <w:rPr>
                <w:rFonts w:ascii="Arial" w:eastAsia="宋体" w:hAnsi="Arial" w:cs="Arial"/>
                <w:color w:val="262626"/>
                <w:sz w:val="18"/>
                <w:szCs w:val="18"/>
              </w:rPr>
              <w:t>644 </w:t>
            </w:r>
          </w:p>
        </w:tc>
        <w:tc>
          <w:tcPr>
            <w:tcW w:w="0" w:type="auto"/>
            <w:shd w:val="clear" w:color="auto" w:fill="auto"/>
            <w:tcMar>
              <w:top w:w="40" w:type="dxa"/>
              <w:left w:w="0" w:type="dxa"/>
              <w:bottom w:w="40" w:type="dxa"/>
              <w:right w:w="20" w:type="dxa"/>
            </w:tcMar>
            <w:vAlign w:val="bottom"/>
          </w:tcPr>
          <w:p w14:paraId="39D9884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4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4B"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84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4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4E" w14:textId="77777777" w:rsidR="00996AD7" w:rsidRDefault="00D96458">
            <w:pPr>
              <w:jc w:val="right"/>
              <w:textAlignment w:val="bottom"/>
            </w:pPr>
            <w:r>
              <w:rPr>
                <w:rFonts w:ascii="Arial" w:eastAsia="宋体" w:hAnsi="Arial" w:cs="Arial"/>
                <w:color w:val="262626"/>
                <w:sz w:val="18"/>
                <w:szCs w:val="18"/>
              </w:rPr>
              <w:t>692 </w:t>
            </w:r>
          </w:p>
        </w:tc>
        <w:tc>
          <w:tcPr>
            <w:tcW w:w="0" w:type="auto"/>
            <w:shd w:val="clear" w:color="auto" w:fill="auto"/>
            <w:tcMar>
              <w:top w:w="40" w:type="dxa"/>
              <w:left w:w="0" w:type="dxa"/>
              <w:bottom w:w="40" w:type="dxa"/>
              <w:right w:w="20" w:type="dxa"/>
            </w:tcMar>
            <w:vAlign w:val="bottom"/>
          </w:tcPr>
          <w:p w14:paraId="39D9884F" w14:textId="77777777" w:rsidR="00996AD7" w:rsidRDefault="00996AD7">
            <w:pPr>
              <w:jc w:val="right"/>
              <w:rPr>
                <w:rFonts w:ascii="宋体"/>
              </w:rPr>
            </w:pPr>
          </w:p>
        </w:tc>
        <w:tc>
          <w:tcPr>
            <w:tcW w:w="0" w:type="auto"/>
            <w:shd w:val="clear" w:color="auto" w:fill="auto"/>
            <w:vAlign w:val="bottom"/>
          </w:tcPr>
          <w:p w14:paraId="39D98850" w14:textId="77777777" w:rsidR="00996AD7" w:rsidRDefault="00996AD7">
            <w:pPr>
              <w:rPr>
                <w:rFonts w:ascii="宋体"/>
                <w:vanish/>
              </w:rPr>
            </w:pPr>
          </w:p>
        </w:tc>
        <w:tc>
          <w:tcPr>
            <w:tcW w:w="0" w:type="auto"/>
            <w:shd w:val="clear" w:color="auto" w:fill="auto"/>
            <w:vAlign w:val="bottom"/>
          </w:tcPr>
          <w:p w14:paraId="39D98851" w14:textId="77777777" w:rsidR="00996AD7" w:rsidRDefault="00996AD7">
            <w:pPr>
              <w:rPr>
                <w:rFonts w:ascii="宋体"/>
                <w:vanish/>
              </w:rPr>
            </w:pPr>
          </w:p>
        </w:tc>
      </w:tr>
      <w:tr w:rsidR="00996AD7" w14:paraId="39D9886E" w14:textId="77777777">
        <w:tc>
          <w:tcPr>
            <w:tcW w:w="0" w:type="auto"/>
            <w:gridSpan w:val="3"/>
            <w:shd w:val="clear" w:color="auto" w:fill="auto"/>
            <w:tcMar>
              <w:top w:w="40" w:type="dxa"/>
              <w:left w:w="140" w:type="dxa"/>
              <w:bottom w:w="40" w:type="dxa"/>
              <w:right w:w="20" w:type="dxa"/>
            </w:tcMar>
          </w:tcPr>
          <w:p w14:paraId="39D98853" w14:textId="77777777" w:rsidR="00996AD7" w:rsidRDefault="00D96458">
            <w:pPr>
              <w:textAlignment w:val="top"/>
            </w:pPr>
            <w:r>
              <w:rPr>
                <w:rFonts w:ascii="Arial" w:eastAsia="宋体" w:hAnsi="Arial" w:cs="Arial"/>
                <w:color w:val="262626"/>
                <w:sz w:val="18"/>
                <w:szCs w:val="18"/>
              </w:rPr>
              <w:t>Loans receivable³</w:t>
            </w:r>
          </w:p>
        </w:tc>
        <w:tc>
          <w:tcPr>
            <w:tcW w:w="0" w:type="auto"/>
            <w:gridSpan w:val="3"/>
            <w:shd w:val="clear" w:color="auto" w:fill="auto"/>
            <w:tcMar>
              <w:top w:w="0" w:type="dxa"/>
              <w:left w:w="20" w:type="dxa"/>
              <w:bottom w:w="0" w:type="dxa"/>
              <w:right w:w="20" w:type="dxa"/>
            </w:tcMar>
            <w:vAlign w:val="bottom"/>
          </w:tcPr>
          <w:p w14:paraId="39D9885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55"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85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5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58" w14:textId="77777777" w:rsidR="00996AD7" w:rsidRDefault="00D96458">
            <w:pPr>
              <w:jc w:val="right"/>
              <w:textAlignment w:val="bottom"/>
            </w:pPr>
            <w:r>
              <w:rPr>
                <w:rFonts w:ascii="Arial" w:eastAsia="宋体" w:hAnsi="Arial" w:cs="Arial"/>
                <w:color w:val="0068B5"/>
                <w:sz w:val="18"/>
                <w:szCs w:val="18"/>
              </w:rPr>
              <w:t>211 </w:t>
            </w:r>
          </w:p>
        </w:tc>
        <w:tc>
          <w:tcPr>
            <w:tcW w:w="0" w:type="auto"/>
            <w:shd w:val="clear" w:color="auto" w:fill="auto"/>
            <w:tcMar>
              <w:top w:w="40" w:type="dxa"/>
              <w:left w:w="0" w:type="dxa"/>
              <w:bottom w:w="40" w:type="dxa"/>
              <w:right w:w="20" w:type="dxa"/>
            </w:tcMar>
            <w:vAlign w:val="bottom"/>
          </w:tcPr>
          <w:p w14:paraId="39D9885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5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5B"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85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5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5E" w14:textId="77777777" w:rsidR="00996AD7" w:rsidRDefault="00D96458">
            <w:pPr>
              <w:jc w:val="right"/>
              <w:textAlignment w:val="bottom"/>
            </w:pPr>
            <w:r>
              <w:rPr>
                <w:rFonts w:ascii="Arial" w:eastAsia="宋体" w:hAnsi="Arial" w:cs="Arial"/>
                <w:color w:val="0068B5"/>
                <w:sz w:val="18"/>
                <w:szCs w:val="18"/>
              </w:rPr>
              <w:t>211 </w:t>
            </w:r>
          </w:p>
        </w:tc>
        <w:tc>
          <w:tcPr>
            <w:tcW w:w="0" w:type="auto"/>
            <w:shd w:val="clear" w:color="auto" w:fill="auto"/>
            <w:tcMar>
              <w:top w:w="40" w:type="dxa"/>
              <w:left w:w="0" w:type="dxa"/>
              <w:bottom w:w="40" w:type="dxa"/>
              <w:right w:w="20" w:type="dxa"/>
            </w:tcMar>
            <w:vAlign w:val="bottom"/>
          </w:tcPr>
          <w:p w14:paraId="39D9885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6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61"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86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6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64" w14:textId="77777777" w:rsidR="00996AD7" w:rsidRDefault="00D96458">
            <w:pPr>
              <w:jc w:val="right"/>
              <w:textAlignment w:val="bottom"/>
            </w:pPr>
            <w:r>
              <w:rPr>
                <w:rFonts w:ascii="Arial" w:eastAsia="宋体" w:hAnsi="Arial" w:cs="Arial"/>
                <w:color w:val="262626"/>
                <w:sz w:val="18"/>
                <w:szCs w:val="18"/>
              </w:rPr>
              <w:t>439 </w:t>
            </w:r>
          </w:p>
        </w:tc>
        <w:tc>
          <w:tcPr>
            <w:tcW w:w="0" w:type="auto"/>
            <w:shd w:val="clear" w:color="auto" w:fill="auto"/>
            <w:tcMar>
              <w:top w:w="40" w:type="dxa"/>
              <w:left w:w="0" w:type="dxa"/>
              <w:bottom w:w="40" w:type="dxa"/>
              <w:right w:w="20" w:type="dxa"/>
            </w:tcMar>
            <w:vAlign w:val="bottom"/>
          </w:tcPr>
          <w:p w14:paraId="39D9886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6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67"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86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6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6A" w14:textId="77777777" w:rsidR="00996AD7" w:rsidRDefault="00D96458">
            <w:pPr>
              <w:jc w:val="right"/>
              <w:textAlignment w:val="bottom"/>
            </w:pPr>
            <w:r>
              <w:rPr>
                <w:rFonts w:ascii="Arial" w:eastAsia="宋体" w:hAnsi="Arial" w:cs="Arial"/>
                <w:color w:val="262626"/>
                <w:sz w:val="18"/>
                <w:szCs w:val="18"/>
              </w:rPr>
              <w:t>439 </w:t>
            </w:r>
          </w:p>
        </w:tc>
        <w:tc>
          <w:tcPr>
            <w:tcW w:w="0" w:type="auto"/>
            <w:shd w:val="clear" w:color="auto" w:fill="auto"/>
            <w:tcMar>
              <w:top w:w="40" w:type="dxa"/>
              <w:left w:w="0" w:type="dxa"/>
              <w:bottom w:w="40" w:type="dxa"/>
              <w:right w:w="20" w:type="dxa"/>
            </w:tcMar>
            <w:vAlign w:val="bottom"/>
          </w:tcPr>
          <w:p w14:paraId="39D9886B" w14:textId="77777777" w:rsidR="00996AD7" w:rsidRDefault="00996AD7">
            <w:pPr>
              <w:jc w:val="right"/>
              <w:rPr>
                <w:rFonts w:ascii="宋体"/>
              </w:rPr>
            </w:pPr>
          </w:p>
        </w:tc>
        <w:tc>
          <w:tcPr>
            <w:tcW w:w="0" w:type="auto"/>
            <w:shd w:val="clear" w:color="auto" w:fill="auto"/>
            <w:vAlign w:val="bottom"/>
          </w:tcPr>
          <w:p w14:paraId="39D9886C" w14:textId="77777777" w:rsidR="00996AD7" w:rsidRDefault="00996AD7">
            <w:pPr>
              <w:rPr>
                <w:rFonts w:ascii="宋体"/>
                <w:vanish/>
              </w:rPr>
            </w:pPr>
          </w:p>
        </w:tc>
        <w:tc>
          <w:tcPr>
            <w:tcW w:w="0" w:type="auto"/>
            <w:shd w:val="clear" w:color="auto" w:fill="auto"/>
            <w:vAlign w:val="bottom"/>
          </w:tcPr>
          <w:p w14:paraId="39D9886D" w14:textId="77777777" w:rsidR="00996AD7" w:rsidRDefault="00996AD7">
            <w:pPr>
              <w:rPr>
                <w:rFonts w:ascii="宋体"/>
                <w:vanish/>
              </w:rPr>
            </w:pPr>
          </w:p>
        </w:tc>
      </w:tr>
      <w:tr w:rsidR="00996AD7" w14:paraId="39D9888A" w14:textId="77777777">
        <w:tc>
          <w:tcPr>
            <w:tcW w:w="0" w:type="auto"/>
            <w:gridSpan w:val="3"/>
            <w:shd w:val="clear" w:color="auto" w:fill="auto"/>
            <w:tcMar>
              <w:top w:w="40" w:type="dxa"/>
              <w:left w:w="20" w:type="dxa"/>
              <w:bottom w:w="40" w:type="dxa"/>
              <w:right w:w="20" w:type="dxa"/>
            </w:tcMar>
          </w:tcPr>
          <w:p w14:paraId="39D9886F" w14:textId="77777777" w:rsidR="00996AD7" w:rsidRDefault="00D96458">
            <w:pPr>
              <w:textAlignment w:val="top"/>
            </w:pP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vAlign w:val="bottom"/>
          </w:tcPr>
          <w:p w14:paraId="39D9887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71" w14:textId="77777777" w:rsidR="00996AD7" w:rsidRDefault="00D96458">
            <w:pPr>
              <w:jc w:val="right"/>
              <w:textAlignment w:val="bottom"/>
            </w:pPr>
            <w:r>
              <w:rPr>
                <w:rFonts w:ascii="Arial" w:eastAsia="宋体" w:hAnsi="Arial" w:cs="Arial"/>
                <w:color w:val="0068B5"/>
                <w:sz w:val="18"/>
                <w:szCs w:val="18"/>
              </w:rPr>
              <w:t>272 </w:t>
            </w:r>
          </w:p>
        </w:tc>
        <w:tc>
          <w:tcPr>
            <w:tcW w:w="0" w:type="auto"/>
            <w:shd w:val="clear" w:color="auto" w:fill="auto"/>
            <w:tcMar>
              <w:top w:w="40" w:type="dxa"/>
              <w:left w:w="0" w:type="dxa"/>
              <w:bottom w:w="40" w:type="dxa"/>
              <w:right w:w="20" w:type="dxa"/>
            </w:tcMar>
            <w:vAlign w:val="bottom"/>
          </w:tcPr>
          <w:p w14:paraId="39D9887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7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74" w14:textId="77777777" w:rsidR="00996AD7" w:rsidRDefault="00D96458">
            <w:pPr>
              <w:jc w:val="right"/>
              <w:textAlignment w:val="bottom"/>
            </w:pPr>
            <w:r>
              <w:rPr>
                <w:rFonts w:ascii="Arial" w:eastAsia="宋体" w:hAnsi="Arial" w:cs="Arial"/>
                <w:color w:val="0068B5"/>
                <w:sz w:val="18"/>
                <w:szCs w:val="18"/>
              </w:rPr>
              <w:t>1,792 </w:t>
            </w:r>
          </w:p>
        </w:tc>
        <w:tc>
          <w:tcPr>
            <w:tcW w:w="0" w:type="auto"/>
            <w:shd w:val="clear" w:color="auto" w:fill="auto"/>
            <w:tcMar>
              <w:top w:w="40" w:type="dxa"/>
              <w:left w:w="0" w:type="dxa"/>
              <w:bottom w:w="40" w:type="dxa"/>
              <w:right w:w="20" w:type="dxa"/>
            </w:tcMar>
            <w:vAlign w:val="bottom"/>
          </w:tcPr>
          <w:p w14:paraId="39D9887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7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77"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87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7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7A" w14:textId="77777777" w:rsidR="00996AD7" w:rsidRDefault="00D96458">
            <w:pPr>
              <w:jc w:val="right"/>
              <w:textAlignment w:val="bottom"/>
            </w:pPr>
            <w:r>
              <w:rPr>
                <w:rFonts w:ascii="Arial" w:eastAsia="宋体" w:hAnsi="Arial" w:cs="Arial"/>
                <w:color w:val="0068B5"/>
                <w:sz w:val="18"/>
                <w:szCs w:val="18"/>
              </w:rPr>
              <w:t>2,064 </w:t>
            </w:r>
          </w:p>
        </w:tc>
        <w:tc>
          <w:tcPr>
            <w:tcW w:w="0" w:type="auto"/>
            <w:shd w:val="clear" w:color="auto" w:fill="auto"/>
            <w:tcMar>
              <w:top w:w="40" w:type="dxa"/>
              <w:left w:w="0" w:type="dxa"/>
              <w:bottom w:w="40" w:type="dxa"/>
              <w:right w:w="20" w:type="dxa"/>
            </w:tcMar>
            <w:vAlign w:val="bottom"/>
          </w:tcPr>
          <w:p w14:paraId="39D9887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7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7D" w14:textId="77777777" w:rsidR="00996AD7" w:rsidRDefault="00D96458">
            <w:pPr>
              <w:jc w:val="right"/>
              <w:textAlignment w:val="bottom"/>
            </w:pPr>
            <w:r>
              <w:rPr>
                <w:rFonts w:ascii="Arial" w:eastAsia="宋体" w:hAnsi="Arial" w:cs="Arial"/>
                <w:color w:val="262626"/>
                <w:sz w:val="18"/>
                <w:szCs w:val="18"/>
              </w:rPr>
              <w:t>136 </w:t>
            </w:r>
          </w:p>
        </w:tc>
        <w:tc>
          <w:tcPr>
            <w:tcW w:w="0" w:type="auto"/>
            <w:shd w:val="clear" w:color="auto" w:fill="auto"/>
            <w:tcMar>
              <w:top w:w="40" w:type="dxa"/>
              <w:left w:w="0" w:type="dxa"/>
              <w:bottom w:w="40" w:type="dxa"/>
              <w:right w:w="20" w:type="dxa"/>
            </w:tcMar>
            <w:vAlign w:val="bottom"/>
          </w:tcPr>
          <w:p w14:paraId="39D9887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7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80" w14:textId="77777777" w:rsidR="00996AD7" w:rsidRDefault="00D96458">
            <w:pPr>
              <w:jc w:val="right"/>
              <w:textAlignment w:val="bottom"/>
            </w:pPr>
            <w:r>
              <w:rPr>
                <w:rFonts w:ascii="Arial" w:eastAsia="宋体" w:hAnsi="Arial" w:cs="Arial"/>
                <w:color w:val="262626"/>
                <w:sz w:val="18"/>
                <w:szCs w:val="18"/>
              </w:rPr>
              <w:t>1,694 </w:t>
            </w:r>
          </w:p>
        </w:tc>
        <w:tc>
          <w:tcPr>
            <w:tcW w:w="0" w:type="auto"/>
            <w:shd w:val="clear" w:color="auto" w:fill="auto"/>
            <w:tcMar>
              <w:top w:w="40" w:type="dxa"/>
              <w:left w:w="0" w:type="dxa"/>
              <w:bottom w:w="40" w:type="dxa"/>
              <w:right w:w="20" w:type="dxa"/>
            </w:tcMar>
            <w:vAlign w:val="bottom"/>
          </w:tcPr>
          <w:p w14:paraId="39D9888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8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83"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88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8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86" w14:textId="77777777" w:rsidR="00996AD7" w:rsidRDefault="00D96458">
            <w:pPr>
              <w:jc w:val="right"/>
              <w:textAlignment w:val="bottom"/>
            </w:pPr>
            <w:r>
              <w:rPr>
                <w:rFonts w:ascii="Arial" w:eastAsia="宋体" w:hAnsi="Arial" w:cs="Arial"/>
                <w:color w:val="262626"/>
                <w:sz w:val="18"/>
                <w:szCs w:val="18"/>
              </w:rPr>
              <w:t>1,830 </w:t>
            </w:r>
          </w:p>
        </w:tc>
        <w:tc>
          <w:tcPr>
            <w:tcW w:w="0" w:type="auto"/>
            <w:shd w:val="clear" w:color="auto" w:fill="auto"/>
            <w:tcMar>
              <w:top w:w="40" w:type="dxa"/>
              <w:left w:w="0" w:type="dxa"/>
              <w:bottom w:w="40" w:type="dxa"/>
              <w:right w:w="20" w:type="dxa"/>
            </w:tcMar>
            <w:vAlign w:val="bottom"/>
          </w:tcPr>
          <w:p w14:paraId="39D98887" w14:textId="77777777" w:rsidR="00996AD7" w:rsidRDefault="00996AD7">
            <w:pPr>
              <w:jc w:val="right"/>
              <w:rPr>
                <w:rFonts w:ascii="宋体"/>
              </w:rPr>
            </w:pPr>
          </w:p>
        </w:tc>
        <w:tc>
          <w:tcPr>
            <w:tcW w:w="0" w:type="auto"/>
            <w:shd w:val="clear" w:color="auto" w:fill="auto"/>
            <w:vAlign w:val="bottom"/>
          </w:tcPr>
          <w:p w14:paraId="39D98888" w14:textId="77777777" w:rsidR="00996AD7" w:rsidRDefault="00996AD7">
            <w:pPr>
              <w:rPr>
                <w:rFonts w:ascii="宋体"/>
                <w:vanish/>
              </w:rPr>
            </w:pPr>
          </w:p>
        </w:tc>
        <w:tc>
          <w:tcPr>
            <w:tcW w:w="0" w:type="auto"/>
            <w:shd w:val="clear" w:color="auto" w:fill="auto"/>
            <w:vAlign w:val="bottom"/>
          </w:tcPr>
          <w:p w14:paraId="39D98889" w14:textId="77777777" w:rsidR="00996AD7" w:rsidRDefault="00996AD7">
            <w:pPr>
              <w:rPr>
                <w:rFonts w:ascii="宋体"/>
                <w:vanish/>
              </w:rPr>
            </w:pPr>
          </w:p>
        </w:tc>
      </w:tr>
      <w:tr w:rsidR="00996AD7" w14:paraId="39D9889E" w14:textId="77777777">
        <w:tc>
          <w:tcPr>
            <w:tcW w:w="0" w:type="auto"/>
            <w:gridSpan w:val="3"/>
            <w:shd w:val="clear" w:color="auto" w:fill="auto"/>
            <w:tcMar>
              <w:top w:w="40" w:type="dxa"/>
              <w:left w:w="20" w:type="dxa"/>
              <w:bottom w:w="40" w:type="dxa"/>
              <w:right w:w="20" w:type="dxa"/>
            </w:tcMar>
          </w:tcPr>
          <w:p w14:paraId="39D9888B" w14:textId="77777777" w:rsidR="00996AD7" w:rsidRDefault="00D96458">
            <w:pPr>
              <w:textAlignment w:val="top"/>
            </w:pPr>
            <w:r>
              <w:rPr>
                <w:rFonts w:ascii="Arial" w:eastAsia="宋体" w:hAnsi="Arial" w:cs="Arial"/>
                <w:color w:val="262626"/>
                <w:sz w:val="18"/>
                <w:szCs w:val="18"/>
              </w:rPr>
              <w:t>Other long-term investments:</w:t>
            </w:r>
          </w:p>
        </w:tc>
        <w:tc>
          <w:tcPr>
            <w:tcW w:w="0" w:type="auto"/>
            <w:gridSpan w:val="3"/>
            <w:shd w:val="clear" w:color="auto" w:fill="auto"/>
            <w:tcMar>
              <w:top w:w="0" w:type="dxa"/>
              <w:left w:w="20" w:type="dxa"/>
              <w:bottom w:w="0" w:type="dxa"/>
              <w:right w:w="20" w:type="dxa"/>
            </w:tcMar>
            <w:vAlign w:val="bottom"/>
          </w:tcPr>
          <w:p w14:paraId="39D9888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8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8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8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9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9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9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9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9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9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9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9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9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9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9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89B" w14:textId="77777777" w:rsidR="00996AD7" w:rsidRDefault="00996AD7">
            <w:pPr>
              <w:rPr>
                <w:rFonts w:ascii="宋体"/>
              </w:rPr>
            </w:pPr>
          </w:p>
        </w:tc>
        <w:tc>
          <w:tcPr>
            <w:tcW w:w="0" w:type="auto"/>
            <w:shd w:val="clear" w:color="auto" w:fill="auto"/>
            <w:vAlign w:val="bottom"/>
          </w:tcPr>
          <w:p w14:paraId="39D9889C" w14:textId="77777777" w:rsidR="00996AD7" w:rsidRDefault="00996AD7">
            <w:pPr>
              <w:rPr>
                <w:rFonts w:ascii="宋体"/>
                <w:vanish/>
              </w:rPr>
            </w:pPr>
          </w:p>
        </w:tc>
        <w:tc>
          <w:tcPr>
            <w:tcW w:w="0" w:type="auto"/>
            <w:shd w:val="clear" w:color="auto" w:fill="auto"/>
            <w:vAlign w:val="bottom"/>
          </w:tcPr>
          <w:p w14:paraId="39D9889D" w14:textId="77777777" w:rsidR="00996AD7" w:rsidRDefault="00996AD7">
            <w:pPr>
              <w:rPr>
                <w:rFonts w:ascii="宋体"/>
                <w:vanish/>
              </w:rPr>
            </w:pPr>
          </w:p>
        </w:tc>
      </w:tr>
      <w:tr w:rsidR="00996AD7" w14:paraId="39D988B2" w14:textId="77777777">
        <w:trPr>
          <w:hidden/>
        </w:trPr>
        <w:tc>
          <w:tcPr>
            <w:tcW w:w="0" w:type="auto"/>
            <w:gridSpan w:val="3"/>
            <w:shd w:val="clear" w:color="auto" w:fill="auto"/>
            <w:vAlign w:val="bottom"/>
          </w:tcPr>
          <w:p w14:paraId="39D9889F" w14:textId="77777777" w:rsidR="00996AD7" w:rsidRDefault="00996AD7">
            <w:pPr>
              <w:rPr>
                <w:rFonts w:ascii="宋体"/>
                <w:vanish/>
              </w:rPr>
            </w:pPr>
          </w:p>
        </w:tc>
        <w:tc>
          <w:tcPr>
            <w:tcW w:w="0" w:type="auto"/>
            <w:gridSpan w:val="3"/>
            <w:shd w:val="clear" w:color="auto" w:fill="auto"/>
            <w:vAlign w:val="bottom"/>
          </w:tcPr>
          <w:p w14:paraId="39D988A0" w14:textId="77777777" w:rsidR="00996AD7" w:rsidRDefault="00996AD7">
            <w:pPr>
              <w:rPr>
                <w:rFonts w:ascii="宋体"/>
                <w:vanish/>
              </w:rPr>
            </w:pPr>
          </w:p>
        </w:tc>
        <w:tc>
          <w:tcPr>
            <w:tcW w:w="0" w:type="auto"/>
            <w:gridSpan w:val="3"/>
            <w:shd w:val="clear" w:color="auto" w:fill="auto"/>
            <w:vAlign w:val="bottom"/>
          </w:tcPr>
          <w:p w14:paraId="39D988A1" w14:textId="77777777" w:rsidR="00996AD7" w:rsidRDefault="00996AD7">
            <w:pPr>
              <w:rPr>
                <w:rFonts w:ascii="宋体"/>
                <w:vanish/>
              </w:rPr>
            </w:pPr>
          </w:p>
        </w:tc>
        <w:tc>
          <w:tcPr>
            <w:tcW w:w="0" w:type="auto"/>
            <w:gridSpan w:val="3"/>
            <w:shd w:val="clear" w:color="auto" w:fill="auto"/>
            <w:vAlign w:val="bottom"/>
          </w:tcPr>
          <w:p w14:paraId="39D988A2" w14:textId="77777777" w:rsidR="00996AD7" w:rsidRDefault="00996AD7">
            <w:pPr>
              <w:rPr>
                <w:rFonts w:ascii="宋体"/>
                <w:vanish/>
              </w:rPr>
            </w:pPr>
          </w:p>
        </w:tc>
        <w:tc>
          <w:tcPr>
            <w:tcW w:w="0" w:type="auto"/>
            <w:gridSpan w:val="3"/>
            <w:shd w:val="clear" w:color="auto" w:fill="auto"/>
            <w:vAlign w:val="bottom"/>
          </w:tcPr>
          <w:p w14:paraId="39D988A3" w14:textId="77777777" w:rsidR="00996AD7" w:rsidRDefault="00996AD7">
            <w:pPr>
              <w:rPr>
                <w:rFonts w:ascii="宋体"/>
                <w:vanish/>
              </w:rPr>
            </w:pPr>
          </w:p>
        </w:tc>
        <w:tc>
          <w:tcPr>
            <w:tcW w:w="0" w:type="auto"/>
            <w:gridSpan w:val="3"/>
            <w:shd w:val="clear" w:color="auto" w:fill="auto"/>
            <w:vAlign w:val="bottom"/>
          </w:tcPr>
          <w:p w14:paraId="39D988A4" w14:textId="77777777" w:rsidR="00996AD7" w:rsidRDefault="00996AD7">
            <w:pPr>
              <w:rPr>
                <w:rFonts w:ascii="宋体"/>
                <w:vanish/>
              </w:rPr>
            </w:pPr>
          </w:p>
        </w:tc>
        <w:tc>
          <w:tcPr>
            <w:tcW w:w="0" w:type="auto"/>
            <w:gridSpan w:val="3"/>
            <w:shd w:val="clear" w:color="auto" w:fill="auto"/>
            <w:vAlign w:val="bottom"/>
          </w:tcPr>
          <w:p w14:paraId="39D988A5" w14:textId="77777777" w:rsidR="00996AD7" w:rsidRDefault="00996AD7">
            <w:pPr>
              <w:rPr>
                <w:rFonts w:ascii="宋体"/>
                <w:vanish/>
              </w:rPr>
            </w:pPr>
          </w:p>
        </w:tc>
        <w:tc>
          <w:tcPr>
            <w:tcW w:w="0" w:type="auto"/>
            <w:gridSpan w:val="3"/>
            <w:shd w:val="clear" w:color="auto" w:fill="auto"/>
            <w:vAlign w:val="bottom"/>
          </w:tcPr>
          <w:p w14:paraId="39D988A6" w14:textId="77777777" w:rsidR="00996AD7" w:rsidRDefault="00996AD7">
            <w:pPr>
              <w:rPr>
                <w:rFonts w:ascii="宋体"/>
                <w:vanish/>
              </w:rPr>
            </w:pPr>
          </w:p>
        </w:tc>
        <w:tc>
          <w:tcPr>
            <w:tcW w:w="0" w:type="auto"/>
            <w:gridSpan w:val="3"/>
            <w:shd w:val="clear" w:color="auto" w:fill="auto"/>
            <w:vAlign w:val="bottom"/>
          </w:tcPr>
          <w:p w14:paraId="39D988A7" w14:textId="77777777" w:rsidR="00996AD7" w:rsidRDefault="00996AD7">
            <w:pPr>
              <w:rPr>
                <w:rFonts w:ascii="宋体"/>
                <w:vanish/>
              </w:rPr>
            </w:pPr>
          </w:p>
        </w:tc>
        <w:tc>
          <w:tcPr>
            <w:tcW w:w="0" w:type="auto"/>
            <w:gridSpan w:val="3"/>
            <w:shd w:val="clear" w:color="auto" w:fill="auto"/>
            <w:vAlign w:val="bottom"/>
          </w:tcPr>
          <w:p w14:paraId="39D988A8" w14:textId="77777777" w:rsidR="00996AD7" w:rsidRDefault="00996AD7">
            <w:pPr>
              <w:rPr>
                <w:rFonts w:ascii="宋体"/>
                <w:vanish/>
              </w:rPr>
            </w:pPr>
          </w:p>
        </w:tc>
        <w:tc>
          <w:tcPr>
            <w:tcW w:w="0" w:type="auto"/>
            <w:gridSpan w:val="3"/>
            <w:shd w:val="clear" w:color="auto" w:fill="auto"/>
            <w:vAlign w:val="bottom"/>
          </w:tcPr>
          <w:p w14:paraId="39D988A9" w14:textId="77777777" w:rsidR="00996AD7" w:rsidRDefault="00996AD7">
            <w:pPr>
              <w:rPr>
                <w:rFonts w:ascii="宋体"/>
                <w:vanish/>
              </w:rPr>
            </w:pPr>
          </w:p>
        </w:tc>
        <w:tc>
          <w:tcPr>
            <w:tcW w:w="0" w:type="auto"/>
            <w:gridSpan w:val="3"/>
            <w:shd w:val="clear" w:color="auto" w:fill="auto"/>
            <w:vAlign w:val="bottom"/>
          </w:tcPr>
          <w:p w14:paraId="39D988AA" w14:textId="77777777" w:rsidR="00996AD7" w:rsidRDefault="00996AD7">
            <w:pPr>
              <w:rPr>
                <w:rFonts w:ascii="宋体"/>
                <w:vanish/>
              </w:rPr>
            </w:pPr>
          </w:p>
        </w:tc>
        <w:tc>
          <w:tcPr>
            <w:tcW w:w="0" w:type="auto"/>
            <w:gridSpan w:val="3"/>
            <w:shd w:val="clear" w:color="auto" w:fill="auto"/>
            <w:vAlign w:val="bottom"/>
          </w:tcPr>
          <w:p w14:paraId="39D988AB" w14:textId="77777777" w:rsidR="00996AD7" w:rsidRDefault="00996AD7">
            <w:pPr>
              <w:rPr>
                <w:rFonts w:ascii="宋体"/>
                <w:vanish/>
              </w:rPr>
            </w:pPr>
          </w:p>
        </w:tc>
        <w:tc>
          <w:tcPr>
            <w:tcW w:w="0" w:type="auto"/>
            <w:gridSpan w:val="3"/>
            <w:shd w:val="clear" w:color="auto" w:fill="auto"/>
            <w:vAlign w:val="bottom"/>
          </w:tcPr>
          <w:p w14:paraId="39D988AC" w14:textId="77777777" w:rsidR="00996AD7" w:rsidRDefault="00996AD7">
            <w:pPr>
              <w:rPr>
                <w:rFonts w:ascii="宋体"/>
                <w:vanish/>
              </w:rPr>
            </w:pPr>
          </w:p>
        </w:tc>
        <w:tc>
          <w:tcPr>
            <w:tcW w:w="0" w:type="auto"/>
            <w:gridSpan w:val="3"/>
            <w:shd w:val="clear" w:color="auto" w:fill="auto"/>
            <w:vAlign w:val="bottom"/>
          </w:tcPr>
          <w:p w14:paraId="39D988AD" w14:textId="77777777" w:rsidR="00996AD7" w:rsidRDefault="00996AD7">
            <w:pPr>
              <w:rPr>
                <w:rFonts w:ascii="宋体"/>
                <w:vanish/>
              </w:rPr>
            </w:pPr>
          </w:p>
        </w:tc>
        <w:tc>
          <w:tcPr>
            <w:tcW w:w="0" w:type="auto"/>
            <w:gridSpan w:val="3"/>
            <w:shd w:val="clear" w:color="auto" w:fill="auto"/>
            <w:vAlign w:val="bottom"/>
          </w:tcPr>
          <w:p w14:paraId="39D988AE" w14:textId="77777777" w:rsidR="00996AD7" w:rsidRDefault="00996AD7">
            <w:pPr>
              <w:rPr>
                <w:rFonts w:ascii="宋体"/>
                <w:vanish/>
              </w:rPr>
            </w:pPr>
          </w:p>
        </w:tc>
        <w:tc>
          <w:tcPr>
            <w:tcW w:w="0" w:type="auto"/>
            <w:gridSpan w:val="3"/>
            <w:shd w:val="clear" w:color="auto" w:fill="auto"/>
            <w:vAlign w:val="bottom"/>
          </w:tcPr>
          <w:p w14:paraId="39D988AF" w14:textId="77777777" w:rsidR="00996AD7" w:rsidRDefault="00996AD7">
            <w:pPr>
              <w:rPr>
                <w:rFonts w:ascii="宋体"/>
                <w:vanish/>
              </w:rPr>
            </w:pPr>
          </w:p>
        </w:tc>
        <w:tc>
          <w:tcPr>
            <w:tcW w:w="0" w:type="auto"/>
            <w:shd w:val="clear" w:color="auto" w:fill="auto"/>
            <w:vAlign w:val="bottom"/>
          </w:tcPr>
          <w:p w14:paraId="39D988B0" w14:textId="77777777" w:rsidR="00996AD7" w:rsidRDefault="00996AD7">
            <w:pPr>
              <w:rPr>
                <w:rFonts w:ascii="宋体"/>
                <w:vanish/>
              </w:rPr>
            </w:pPr>
          </w:p>
        </w:tc>
        <w:tc>
          <w:tcPr>
            <w:tcW w:w="0" w:type="auto"/>
            <w:shd w:val="clear" w:color="auto" w:fill="auto"/>
            <w:vAlign w:val="bottom"/>
          </w:tcPr>
          <w:p w14:paraId="39D988B1" w14:textId="77777777" w:rsidR="00996AD7" w:rsidRDefault="00996AD7">
            <w:pPr>
              <w:rPr>
                <w:rFonts w:ascii="宋体"/>
                <w:vanish/>
              </w:rPr>
            </w:pPr>
          </w:p>
        </w:tc>
      </w:tr>
      <w:tr w:rsidR="00996AD7" w14:paraId="39D988CC" w14:textId="77777777">
        <w:tc>
          <w:tcPr>
            <w:tcW w:w="0" w:type="auto"/>
            <w:gridSpan w:val="3"/>
            <w:shd w:val="clear" w:color="auto" w:fill="auto"/>
            <w:tcMar>
              <w:top w:w="40" w:type="dxa"/>
              <w:left w:w="140" w:type="dxa"/>
              <w:bottom w:w="40" w:type="dxa"/>
              <w:right w:w="20" w:type="dxa"/>
            </w:tcMar>
          </w:tcPr>
          <w:p w14:paraId="39D988B3" w14:textId="77777777" w:rsidR="00996AD7" w:rsidRDefault="00D96458">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39D988B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B5"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8B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B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B8" w14:textId="77777777" w:rsidR="00996AD7" w:rsidRDefault="00D96458">
            <w:pPr>
              <w:jc w:val="right"/>
              <w:textAlignment w:val="bottom"/>
            </w:pPr>
            <w:r>
              <w:rPr>
                <w:rFonts w:ascii="Arial" w:eastAsia="宋体" w:hAnsi="Arial" w:cs="Arial"/>
                <w:color w:val="0068B5"/>
                <w:sz w:val="18"/>
                <w:szCs w:val="18"/>
              </w:rPr>
              <w:t>684 </w:t>
            </w:r>
          </w:p>
        </w:tc>
        <w:tc>
          <w:tcPr>
            <w:tcW w:w="0" w:type="auto"/>
            <w:shd w:val="clear" w:color="auto" w:fill="auto"/>
            <w:tcMar>
              <w:top w:w="40" w:type="dxa"/>
              <w:left w:w="0" w:type="dxa"/>
              <w:bottom w:w="40" w:type="dxa"/>
              <w:right w:w="20" w:type="dxa"/>
            </w:tcMar>
            <w:vAlign w:val="bottom"/>
          </w:tcPr>
          <w:p w14:paraId="39D988B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B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BB"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8B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B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BE" w14:textId="77777777" w:rsidR="00996AD7" w:rsidRDefault="00D96458">
            <w:pPr>
              <w:jc w:val="right"/>
              <w:textAlignment w:val="bottom"/>
            </w:pPr>
            <w:r>
              <w:rPr>
                <w:rFonts w:ascii="Arial" w:eastAsia="宋体" w:hAnsi="Arial" w:cs="Arial"/>
                <w:color w:val="0068B5"/>
                <w:sz w:val="18"/>
                <w:szCs w:val="18"/>
              </w:rPr>
              <w:t>684 </w:t>
            </w:r>
          </w:p>
        </w:tc>
        <w:tc>
          <w:tcPr>
            <w:tcW w:w="0" w:type="auto"/>
            <w:shd w:val="clear" w:color="auto" w:fill="auto"/>
            <w:tcMar>
              <w:top w:w="40" w:type="dxa"/>
              <w:left w:w="0" w:type="dxa"/>
              <w:bottom w:w="40" w:type="dxa"/>
              <w:right w:w="20" w:type="dxa"/>
            </w:tcMar>
            <w:vAlign w:val="bottom"/>
          </w:tcPr>
          <w:p w14:paraId="39D988B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C0"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8C1" w14:textId="77777777" w:rsidR="00996AD7" w:rsidRDefault="00D9645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39D988C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C3" w14:textId="77777777" w:rsidR="00996AD7" w:rsidRDefault="00D96458">
            <w:pPr>
              <w:jc w:val="right"/>
              <w:textAlignment w:val="bottom"/>
            </w:pPr>
            <w:r>
              <w:rPr>
                <w:rFonts w:ascii="Arial" w:eastAsia="宋体" w:hAnsi="Arial" w:cs="Arial"/>
                <w:color w:val="262626"/>
                <w:sz w:val="18"/>
                <w:szCs w:val="18"/>
              </w:rPr>
              <w:t>1,520 </w:t>
            </w:r>
          </w:p>
        </w:tc>
        <w:tc>
          <w:tcPr>
            <w:tcW w:w="0" w:type="auto"/>
            <w:shd w:val="clear" w:color="auto" w:fill="auto"/>
            <w:tcMar>
              <w:top w:w="40" w:type="dxa"/>
              <w:left w:w="0" w:type="dxa"/>
              <w:bottom w:w="40" w:type="dxa"/>
              <w:right w:w="20" w:type="dxa"/>
            </w:tcMar>
            <w:vAlign w:val="bottom"/>
          </w:tcPr>
          <w:p w14:paraId="39D988C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C5"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8C6" w14:textId="77777777" w:rsidR="00996AD7" w:rsidRDefault="00D9645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39D988C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C8" w14:textId="77777777" w:rsidR="00996AD7" w:rsidRDefault="00D96458">
            <w:pPr>
              <w:jc w:val="right"/>
              <w:textAlignment w:val="bottom"/>
            </w:pPr>
            <w:r>
              <w:rPr>
                <w:rFonts w:ascii="Arial" w:eastAsia="宋体" w:hAnsi="Arial" w:cs="Arial"/>
                <w:color w:val="262626"/>
                <w:sz w:val="18"/>
                <w:szCs w:val="18"/>
              </w:rPr>
              <w:t>1,520 </w:t>
            </w:r>
          </w:p>
        </w:tc>
        <w:tc>
          <w:tcPr>
            <w:tcW w:w="0" w:type="auto"/>
            <w:shd w:val="clear" w:color="auto" w:fill="auto"/>
            <w:tcMar>
              <w:top w:w="40" w:type="dxa"/>
              <w:left w:w="0" w:type="dxa"/>
              <w:bottom w:w="40" w:type="dxa"/>
              <w:right w:w="20" w:type="dxa"/>
            </w:tcMar>
            <w:vAlign w:val="bottom"/>
          </w:tcPr>
          <w:p w14:paraId="39D988C9" w14:textId="77777777" w:rsidR="00996AD7" w:rsidRDefault="00996AD7">
            <w:pPr>
              <w:jc w:val="right"/>
              <w:rPr>
                <w:rFonts w:ascii="宋体"/>
              </w:rPr>
            </w:pPr>
          </w:p>
        </w:tc>
        <w:tc>
          <w:tcPr>
            <w:tcW w:w="0" w:type="auto"/>
            <w:shd w:val="clear" w:color="auto" w:fill="auto"/>
            <w:vAlign w:val="bottom"/>
          </w:tcPr>
          <w:p w14:paraId="39D988CA" w14:textId="77777777" w:rsidR="00996AD7" w:rsidRDefault="00996AD7">
            <w:pPr>
              <w:rPr>
                <w:rFonts w:ascii="宋体"/>
                <w:vanish/>
              </w:rPr>
            </w:pPr>
          </w:p>
        </w:tc>
        <w:tc>
          <w:tcPr>
            <w:tcW w:w="0" w:type="auto"/>
            <w:shd w:val="clear" w:color="auto" w:fill="auto"/>
            <w:vAlign w:val="bottom"/>
          </w:tcPr>
          <w:p w14:paraId="39D988CB" w14:textId="77777777" w:rsidR="00996AD7" w:rsidRDefault="00996AD7">
            <w:pPr>
              <w:rPr>
                <w:rFonts w:ascii="宋体"/>
                <w:vanish/>
              </w:rPr>
            </w:pPr>
          </w:p>
        </w:tc>
      </w:tr>
      <w:tr w:rsidR="00996AD7" w14:paraId="39D988E6" w14:textId="77777777">
        <w:tc>
          <w:tcPr>
            <w:tcW w:w="0" w:type="auto"/>
            <w:gridSpan w:val="3"/>
            <w:shd w:val="clear" w:color="auto" w:fill="auto"/>
            <w:tcMar>
              <w:top w:w="40" w:type="dxa"/>
              <w:left w:w="140" w:type="dxa"/>
              <w:bottom w:w="40" w:type="dxa"/>
              <w:right w:w="20" w:type="dxa"/>
            </w:tcMar>
          </w:tcPr>
          <w:p w14:paraId="39D988CD" w14:textId="77777777" w:rsidR="00996AD7" w:rsidRDefault="00D96458">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39D988C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CF"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8D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D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D2" w14:textId="77777777" w:rsidR="00996AD7" w:rsidRDefault="00D96458">
            <w:pPr>
              <w:jc w:val="right"/>
              <w:textAlignment w:val="bottom"/>
            </w:pPr>
            <w:r>
              <w:rPr>
                <w:rFonts w:ascii="Arial" w:eastAsia="宋体" w:hAnsi="Arial" w:cs="Arial"/>
                <w:color w:val="0068B5"/>
                <w:sz w:val="18"/>
                <w:szCs w:val="18"/>
              </w:rPr>
              <w:t>203 </w:t>
            </w:r>
          </w:p>
        </w:tc>
        <w:tc>
          <w:tcPr>
            <w:tcW w:w="0" w:type="auto"/>
            <w:shd w:val="clear" w:color="auto" w:fill="auto"/>
            <w:tcMar>
              <w:top w:w="40" w:type="dxa"/>
              <w:left w:w="0" w:type="dxa"/>
              <w:bottom w:w="40" w:type="dxa"/>
              <w:right w:w="20" w:type="dxa"/>
            </w:tcMar>
            <w:vAlign w:val="bottom"/>
          </w:tcPr>
          <w:p w14:paraId="39D988D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D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D5"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8D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D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D8" w14:textId="77777777" w:rsidR="00996AD7" w:rsidRDefault="00D96458">
            <w:pPr>
              <w:jc w:val="right"/>
              <w:textAlignment w:val="bottom"/>
            </w:pPr>
            <w:r>
              <w:rPr>
                <w:rFonts w:ascii="Arial" w:eastAsia="宋体" w:hAnsi="Arial" w:cs="Arial"/>
                <w:color w:val="0068B5"/>
                <w:sz w:val="18"/>
                <w:szCs w:val="18"/>
              </w:rPr>
              <w:t>203 </w:t>
            </w:r>
          </w:p>
        </w:tc>
        <w:tc>
          <w:tcPr>
            <w:tcW w:w="0" w:type="auto"/>
            <w:shd w:val="clear" w:color="auto" w:fill="auto"/>
            <w:tcMar>
              <w:top w:w="40" w:type="dxa"/>
              <w:left w:w="0" w:type="dxa"/>
              <w:bottom w:w="40" w:type="dxa"/>
              <w:right w:w="20" w:type="dxa"/>
            </w:tcMar>
            <w:vAlign w:val="bottom"/>
          </w:tcPr>
          <w:p w14:paraId="39D988D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D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8DB" w14:textId="77777777" w:rsidR="00996AD7" w:rsidRDefault="00D9645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39D988D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DD" w14:textId="77777777" w:rsidR="00996AD7" w:rsidRDefault="00D96458">
            <w:pPr>
              <w:jc w:val="right"/>
              <w:textAlignment w:val="bottom"/>
            </w:pPr>
            <w:r>
              <w:rPr>
                <w:rFonts w:ascii="Arial" w:eastAsia="宋体" w:hAnsi="Arial" w:cs="Arial"/>
                <w:color w:val="262626"/>
                <w:sz w:val="18"/>
                <w:szCs w:val="18"/>
              </w:rPr>
              <w:t>257 </w:t>
            </w:r>
          </w:p>
        </w:tc>
        <w:tc>
          <w:tcPr>
            <w:tcW w:w="0" w:type="auto"/>
            <w:shd w:val="clear" w:color="auto" w:fill="auto"/>
            <w:tcMar>
              <w:top w:w="40" w:type="dxa"/>
              <w:left w:w="0" w:type="dxa"/>
              <w:bottom w:w="40" w:type="dxa"/>
              <w:right w:w="20" w:type="dxa"/>
            </w:tcMar>
            <w:vAlign w:val="bottom"/>
          </w:tcPr>
          <w:p w14:paraId="39D988D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DF"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8E0" w14:textId="77777777" w:rsidR="00996AD7" w:rsidRDefault="00D9645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39D988E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E2" w14:textId="77777777" w:rsidR="00996AD7" w:rsidRDefault="00D96458">
            <w:pPr>
              <w:jc w:val="right"/>
              <w:textAlignment w:val="bottom"/>
            </w:pPr>
            <w:r>
              <w:rPr>
                <w:rFonts w:ascii="Arial" w:eastAsia="宋体" w:hAnsi="Arial" w:cs="Arial"/>
                <w:color w:val="262626"/>
                <w:sz w:val="18"/>
                <w:szCs w:val="18"/>
              </w:rPr>
              <w:t>257 </w:t>
            </w:r>
          </w:p>
        </w:tc>
        <w:tc>
          <w:tcPr>
            <w:tcW w:w="0" w:type="auto"/>
            <w:shd w:val="clear" w:color="auto" w:fill="auto"/>
            <w:tcMar>
              <w:top w:w="40" w:type="dxa"/>
              <w:left w:w="0" w:type="dxa"/>
              <w:bottom w:w="40" w:type="dxa"/>
              <w:right w:w="20" w:type="dxa"/>
            </w:tcMar>
            <w:vAlign w:val="bottom"/>
          </w:tcPr>
          <w:p w14:paraId="39D988E3" w14:textId="77777777" w:rsidR="00996AD7" w:rsidRDefault="00996AD7">
            <w:pPr>
              <w:jc w:val="right"/>
              <w:rPr>
                <w:rFonts w:ascii="宋体"/>
              </w:rPr>
            </w:pPr>
          </w:p>
        </w:tc>
        <w:tc>
          <w:tcPr>
            <w:tcW w:w="0" w:type="auto"/>
            <w:shd w:val="clear" w:color="auto" w:fill="auto"/>
            <w:vAlign w:val="bottom"/>
          </w:tcPr>
          <w:p w14:paraId="39D988E4" w14:textId="77777777" w:rsidR="00996AD7" w:rsidRDefault="00996AD7">
            <w:pPr>
              <w:rPr>
                <w:rFonts w:ascii="宋体"/>
                <w:vanish/>
              </w:rPr>
            </w:pPr>
          </w:p>
        </w:tc>
        <w:tc>
          <w:tcPr>
            <w:tcW w:w="0" w:type="auto"/>
            <w:shd w:val="clear" w:color="auto" w:fill="auto"/>
            <w:vAlign w:val="bottom"/>
          </w:tcPr>
          <w:p w14:paraId="39D988E5" w14:textId="77777777" w:rsidR="00996AD7" w:rsidRDefault="00996AD7">
            <w:pPr>
              <w:rPr>
                <w:rFonts w:ascii="宋体"/>
                <w:vanish/>
              </w:rPr>
            </w:pPr>
          </w:p>
        </w:tc>
      </w:tr>
      <w:tr w:rsidR="00996AD7" w14:paraId="39D98900" w14:textId="77777777">
        <w:tc>
          <w:tcPr>
            <w:tcW w:w="0" w:type="auto"/>
            <w:gridSpan w:val="3"/>
            <w:shd w:val="clear" w:color="auto" w:fill="auto"/>
            <w:tcMar>
              <w:top w:w="40" w:type="dxa"/>
              <w:left w:w="140" w:type="dxa"/>
              <w:bottom w:w="40" w:type="dxa"/>
              <w:right w:w="20" w:type="dxa"/>
            </w:tcMar>
          </w:tcPr>
          <w:p w14:paraId="39D988E7" w14:textId="77777777" w:rsidR="00996AD7" w:rsidRDefault="00D96458">
            <w:pPr>
              <w:textAlignment w:val="top"/>
            </w:pPr>
            <w:r>
              <w:rPr>
                <w:rFonts w:ascii="Arial" w:eastAsia="宋体" w:hAnsi="Arial" w:cs="Arial"/>
                <w:color w:val="262626"/>
                <w:sz w:val="18"/>
                <w:szCs w:val="18"/>
              </w:rPr>
              <w:t>Government deb</w:t>
            </w:r>
            <w:r>
              <w:rPr>
                <w:rFonts w:ascii="Arial" w:eastAsia="宋体" w:hAnsi="Arial" w:cs="Arial"/>
                <w:color w:val="262626"/>
                <w:sz w:val="18"/>
                <w:szCs w:val="18"/>
              </w:rPr>
              <w:t>t²</w:t>
            </w:r>
          </w:p>
        </w:tc>
        <w:tc>
          <w:tcPr>
            <w:tcW w:w="0" w:type="auto"/>
            <w:gridSpan w:val="3"/>
            <w:shd w:val="clear" w:color="auto" w:fill="auto"/>
            <w:tcMar>
              <w:top w:w="0" w:type="dxa"/>
              <w:left w:w="20" w:type="dxa"/>
              <w:bottom w:w="0" w:type="dxa"/>
              <w:right w:w="20" w:type="dxa"/>
            </w:tcMar>
            <w:vAlign w:val="bottom"/>
          </w:tcPr>
          <w:p w14:paraId="39D988E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E9"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8E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E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EC" w14:textId="77777777" w:rsidR="00996AD7" w:rsidRDefault="00D96458">
            <w:pPr>
              <w:jc w:val="right"/>
              <w:textAlignment w:val="bottom"/>
            </w:pPr>
            <w:r>
              <w:rPr>
                <w:rFonts w:ascii="Arial" w:eastAsia="宋体" w:hAnsi="Arial" w:cs="Arial"/>
                <w:color w:val="0068B5"/>
                <w:sz w:val="18"/>
                <w:szCs w:val="18"/>
              </w:rPr>
              <w:t>66 </w:t>
            </w:r>
          </w:p>
        </w:tc>
        <w:tc>
          <w:tcPr>
            <w:tcW w:w="0" w:type="auto"/>
            <w:shd w:val="clear" w:color="auto" w:fill="auto"/>
            <w:tcMar>
              <w:top w:w="40" w:type="dxa"/>
              <w:left w:w="0" w:type="dxa"/>
              <w:bottom w:w="40" w:type="dxa"/>
              <w:right w:w="20" w:type="dxa"/>
            </w:tcMar>
            <w:vAlign w:val="bottom"/>
          </w:tcPr>
          <w:p w14:paraId="39D988E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E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EF"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8F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F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F2" w14:textId="77777777" w:rsidR="00996AD7" w:rsidRDefault="00D96458">
            <w:pPr>
              <w:jc w:val="right"/>
              <w:textAlignment w:val="bottom"/>
            </w:pPr>
            <w:r>
              <w:rPr>
                <w:rFonts w:ascii="Arial" w:eastAsia="宋体" w:hAnsi="Arial" w:cs="Arial"/>
                <w:color w:val="0068B5"/>
                <w:sz w:val="18"/>
                <w:szCs w:val="18"/>
              </w:rPr>
              <w:t>66 </w:t>
            </w:r>
          </w:p>
        </w:tc>
        <w:tc>
          <w:tcPr>
            <w:tcW w:w="0" w:type="auto"/>
            <w:shd w:val="clear" w:color="auto" w:fill="auto"/>
            <w:tcMar>
              <w:top w:w="40" w:type="dxa"/>
              <w:left w:w="0" w:type="dxa"/>
              <w:bottom w:w="40" w:type="dxa"/>
              <w:right w:w="20" w:type="dxa"/>
            </w:tcMar>
            <w:vAlign w:val="bottom"/>
          </w:tcPr>
          <w:p w14:paraId="39D988F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F4"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8F5" w14:textId="77777777" w:rsidR="00996AD7" w:rsidRDefault="00D9645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39D988F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F7" w14:textId="77777777" w:rsidR="00996AD7" w:rsidRDefault="00D96458">
            <w:pPr>
              <w:jc w:val="right"/>
              <w:textAlignment w:val="bottom"/>
            </w:pPr>
            <w:r>
              <w:rPr>
                <w:rFonts w:ascii="Arial" w:eastAsia="宋体" w:hAnsi="Arial" w:cs="Arial"/>
                <w:color w:val="262626"/>
                <w:sz w:val="18"/>
                <w:szCs w:val="18"/>
              </w:rPr>
              <w:t>415 </w:t>
            </w:r>
          </w:p>
        </w:tc>
        <w:tc>
          <w:tcPr>
            <w:tcW w:w="0" w:type="auto"/>
            <w:shd w:val="clear" w:color="auto" w:fill="auto"/>
            <w:tcMar>
              <w:top w:w="40" w:type="dxa"/>
              <w:left w:w="0" w:type="dxa"/>
              <w:bottom w:w="40" w:type="dxa"/>
              <w:right w:w="20" w:type="dxa"/>
            </w:tcMar>
            <w:vAlign w:val="bottom"/>
          </w:tcPr>
          <w:p w14:paraId="39D988F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8F9"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8FA" w14:textId="77777777" w:rsidR="00996AD7" w:rsidRDefault="00D9645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39D988F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8FC" w14:textId="77777777" w:rsidR="00996AD7" w:rsidRDefault="00D96458">
            <w:pPr>
              <w:jc w:val="right"/>
              <w:textAlignment w:val="bottom"/>
            </w:pPr>
            <w:r>
              <w:rPr>
                <w:rFonts w:ascii="Arial" w:eastAsia="宋体" w:hAnsi="Arial" w:cs="Arial"/>
                <w:color w:val="262626"/>
                <w:sz w:val="18"/>
                <w:szCs w:val="18"/>
              </w:rPr>
              <w:t>415 </w:t>
            </w:r>
          </w:p>
        </w:tc>
        <w:tc>
          <w:tcPr>
            <w:tcW w:w="0" w:type="auto"/>
            <w:shd w:val="clear" w:color="auto" w:fill="auto"/>
            <w:tcMar>
              <w:top w:w="40" w:type="dxa"/>
              <w:left w:w="0" w:type="dxa"/>
              <w:bottom w:w="40" w:type="dxa"/>
              <w:right w:w="20" w:type="dxa"/>
            </w:tcMar>
            <w:vAlign w:val="bottom"/>
          </w:tcPr>
          <w:p w14:paraId="39D988FD" w14:textId="77777777" w:rsidR="00996AD7" w:rsidRDefault="00996AD7">
            <w:pPr>
              <w:jc w:val="right"/>
              <w:rPr>
                <w:rFonts w:ascii="宋体"/>
              </w:rPr>
            </w:pPr>
          </w:p>
        </w:tc>
        <w:tc>
          <w:tcPr>
            <w:tcW w:w="0" w:type="auto"/>
            <w:shd w:val="clear" w:color="auto" w:fill="auto"/>
            <w:vAlign w:val="bottom"/>
          </w:tcPr>
          <w:p w14:paraId="39D988FE" w14:textId="77777777" w:rsidR="00996AD7" w:rsidRDefault="00996AD7">
            <w:pPr>
              <w:rPr>
                <w:rFonts w:ascii="宋体"/>
                <w:vanish/>
              </w:rPr>
            </w:pPr>
          </w:p>
        </w:tc>
        <w:tc>
          <w:tcPr>
            <w:tcW w:w="0" w:type="auto"/>
            <w:shd w:val="clear" w:color="auto" w:fill="auto"/>
            <w:vAlign w:val="bottom"/>
          </w:tcPr>
          <w:p w14:paraId="39D988FF" w14:textId="77777777" w:rsidR="00996AD7" w:rsidRDefault="00996AD7">
            <w:pPr>
              <w:rPr>
                <w:rFonts w:ascii="宋体"/>
                <w:vanish/>
              </w:rPr>
            </w:pPr>
          </w:p>
        </w:tc>
      </w:tr>
      <w:tr w:rsidR="00996AD7" w14:paraId="39D98914" w14:textId="77777777">
        <w:tc>
          <w:tcPr>
            <w:tcW w:w="0" w:type="auto"/>
            <w:gridSpan w:val="3"/>
            <w:shd w:val="clear" w:color="auto" w:fill="auto"/>
            <w:tcMar>
              <w:top w:w="40" w:type="dxa"/>
              <w:left w:w="20" w:type="dxa"/>
              <w:bottom w:w="40" w:type="dxa"/>
              <w:right w:w="20" w:type="dxa"/>
            </w:tcMar>
          </w:tcPr>
          <w:p w14:paraId="39D98901" w14:textId="77777777" w:rsidR="00996AD7" w:rsidRDefault="00D96458">
            <w:pPr>
              <w:textAlignment w:val="top"/>
            </w:pPr>
            <w:r>
              <w:rPr>
                <w:rFonts w:ascii="Arial" w:eastAsia="宋体" w:hAnsi="Arial" w:cs="Arial"/>
                <w:color w:val="262626"/>
                <w:sz w:val="18"/>
                <w:szCs w:val="18"/>
              </w:rPr>
              <w:t>Other long-ter</w:t>
            </w:r>
            <w:r>
              <w:rPr>
                <w:rFonts w:ascii="Arial" w:eastAsia="宋体" w:hAnsi="Arial" w:cs="Arial"/>
                <w:color w:val="262626"/>
                <w:sz w:val="18"/>
                <w:szCs w:val="18"/>
              </w:rPr>
              <w:t>m assets:</w:t>
            </w:r>
          </w:p>
        </w:tc>
        <w:tc>
          <w:tcPr>
            <w:tcW w:w="0" w:type="auto"/>
            <w:gridSpan w:val="3"/>
            <w:shd w:val="clear" w:color="auto" w:fill="auto"/>
            <w:tcMar>
              <w:top w:w="0" w:type="dxa"/>
              <w:left w:w="20" w:type="dxa"/>
              <w:bottom w:w="0" w:type="dxa"/>
              <w:right w:w="20" w:type="dxa"/>
            </w:tcMar>
            <w:vAlign w:val="bottom"/>
          </w:tcPr>
          <w:p w14:paraId="39D9890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0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0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0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0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0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0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0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0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0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0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0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0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0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1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11" w14:textId="77777777" w:rsidR="00996AD7" w:rsidRDefault="00996AD7">
            <w:pPr>
              <w:rPr>
                <w:rFonts w:ascii="宋体"/>
              </w:rPr>
            </w:pPr>
          </w:p>
        </w:tc>
        <w:tc>
          <w:tcPr>
            <w:tcW w:w="0" w:type="auto"/>
            <w:shd w:val="clear" w:color="auto" w:fill="auto"/>
            <w:vAlign w:val="bottom"/>
          </w:tcPr>
          <w:p w14:paraId="39D98912" w14:textId="77777777" w:rsidR="00996AD7" w:rsidRDefault="00996AD7">
            <w:pPr>
              <w:rPr>
                <w:rFonts w:ascii="宋体"/>
                <w:vanish/>
              </w:rPr>
            </w:pPr>
          </w:p>
        </w:tc>
        <w:tc>
          <w:tcPr>
            <w:tcW w:w="0" w:type="auto"/>
            <w:shd w:val="clear" w:color="auto" w:fill="auto"/>
            <w:vAlign w:val="bottom"/>
          </w:tcPr>
          <w:p w14:paraId="39D98913" w14:textId="77777777" w:rsidR="00996AD7" w:rsidRDefault="00996AD7">
            <w:pPr>
              <w:rPr>
                <w:rFonts w:ascii="宋体"/>
                <w:vanish/>
              </w:rPr>
            </w:pPr>
          </w:p>
        </w:tc>
      </w:tr>
      <w:tr w:rsidR="00996AD7" w14:paraId="39D9892F" w14:textId="77777777">
        <w:tc>
          <w:tcPr>
            <w:tcW w:w="0" w:type="auto"/>
            <w:gridSpan w:val="3"/>
            <w:shd w:val="clear" w:color="auto" w:fill="auto"/>
            <w:tcMar>
              <w:top w:w="40" w:type="dxa"/>
              <w:left w:w="155" w:type="dxa"/>
              <w:bottom w:w="40" w:type="dxa"/>
              <w:right w:w="20" w:type="dxa"/>
            </w:tcMar>
          </w:tcPr>
          <w:p w14:paraId="39D98915" w14:textId="77777777" w:rsidR="00996AD7" w:rsidRDefault="00D96458">
            <w:pPr>
              <w:textAlignment w:val="top"/>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39D9891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17"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91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1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1A" w14:textId="77777777" w:rsidR="00996AD7" w:rsidRDefault="00D96458">
            <w:pPr>
              <w:jc w:val="right"/>
              <w:textAlignment w:val="bottom"/>
            </w:pPr>
            <w:r>
              <w:rPr>
                <w:rFonts w:ascii="Arial" w:eastAsia="宋体" w:hAnsi="Arial" w:cs="Arial"/>
                <w:color w:val="0068B5"/>
                <w:sz w:val="18"/>
                <w:szCs w:val="18"/>
              </w:rPr>
              <w:t>961 </w:t>
            </w:r>
          </w:p>
        </w:tc>
        <w:tc>
          <w:tcPr>
            <w:tcW w:w="0" w:type="auto"/>
            <w:shd w:val="clear" w:color="auto" w:fill="auto"/>
            <w:tcMar>
              <w:top w:w="40" w:type="dxa"/>
              <w:left w:w="0" w:type="dxa"/>
              <w:bottom w:w="40" w:type="dxa"/>
              <w:right w:w="20" w:type="dxa"/>
            </w:tcMar>
            <w:vAlign w:val="bottom"/>
          </w:tcPr>
          <w:p w14:paraId="39D9891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1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1D" w14:textId="77777777" w:rsidR="00996AD7" w:rsidRDefault="00D96458">
            <w:pPr>
              <w:jc w:val="right"/>
              <w:textAlignment w:val="bottom"/>
            </w:pPr>
            <w:r>
              <w:rPr>
                <w:rFonts w:ascii="Arial" w:eastAsia="宋体" w:hAnsi="Arial" w:cs="Arial"/>
                <w:color w:val="0068B5"/>
                <w:sz w:val="18"/>
                <w:szCs w:val="18"/>
              </w:rPr>
              <w:t>13 </w:t>
            </w:r>
          </w:p>
        </w:tc>
        <w:tc>
          <w:tcPr>
            <w:tcW w:w="0" w:type="auto"/>
            <w:shd w:val="clear" w:color="auto" w:fill="auto"/>
            <w:tcMar>
              <w:top w:w="40" w:type="dxa"/>
              <w:left w:w="0" w:type="dxa"/>
              <w:bottom w:w="40" w:type="dxa"/>
              <w:right w:w="20" w:type="dxa"/>
            </w:tcMar>
            <w:vAlign w:val="bottom"/>
          </w:tcPr>
          <w:p w14:paraId="39D9891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1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20" w14:textId="77777777" w:rsidR="00996AD7" w:rsidRDefault="00D96458">
            <w:pPr>
              <w:jc w:val="right"/>
              <w:textAlignment w:val="bottom"/>
            </w:pPr>
            <w:r>
              <w:rPr>
                <w:rFonts w:ascii="Arial" w:eastAsia="宋体" w:hAnsi="Arial" w:cs="Arial"/>
                <w:color w:val="0068B5"/>
                <w:sz w:val="18"/>
                <w:szCs w:val="18"/>
              </w:rPr>
              <w:t>974 </w:t>
            </w:r>
          </w:p>
        </w:tc>
        <w:tc>
          <w:tcPr>
            <w:tcW w:w="0" w:type="auto"/>
            <w:shd w:val="clear" w:color="auto" w:fill="auto"/>
            <w:tcMar>
              <w:top w:w="40" w:type="dxa"/>
              <w:left w:w="0" w:type="dxa"/>
              <w:bottom w:w="40" w:type="dxa"/>
              <w:right w:w="20" w:type="dxa"/>
            </w:tcMar>
            <w:vAlign w:val="bottom"/>
          </w:tcPr>
          <w:p w14:paraId="39D9892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2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923" w14:textId="77777777" w:rsidR="00996AD7" w:rsidRDefault="00D9645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39D9892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25" w14:textId="77777777" w:rsidR="00996AD7" w:rsidRDefault="00D96458">
            <w:pPr>
              <w:jc w:val="right"/>
              <w:textAlignment w:val="bottom"/>
            </w:pPr>
            <w:r>
              <w:rPr>
                <w:rFonts w:ascii="Arial" w:eastAsia="宋体" w:hAnsi="Arial" w:cs="Arial"/>
                <w:color w:val="262626"/>
                <w:sz w:val="18"/>
                <w:szCs w:val="18"/>
              </w:rPr>
              <w:t>1,520 </w:t>
            </w:r>
          </w:p>
        </w:tc>
        <w:tc>
          <w:tcPr>
            <w:tcW w:w="0" w:type="auto"/>
            <w:shd w:val="clear" w:color="auto" w:fill="auto"/>
            <w:tcMar>
              <w:top w:w="40" w:type="dxa"/>
              <w:left w:w="0" w:type="dxa"/>
              <w:bottom w:w="40" w:type="dxa"/>
              <w:right w:w="20" w:type="dxa"/>
            </w:tcMar>
            <w:vAlign w:val="bottom"/>
          </w:tcPr>
          <w:p w14:paraId="39D9892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2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28" w14:textId="77777777" w:rsidR="00996AD7" w:rsidRDefault="00D96458">
            <w:pPr>
              <w:jc w:val="right"/>
              <w:textAlignment w:val="bottom"/>
            </w:pPr>
            <w:r>
              <w:rPr>
                <w:rFonts w:ascii="Arial" w:eastAsia="宋体" w:hAnsi="Arial" w:cs="Arial"/>
                <w:color w:val="262626"/>
                <w:sz w:val="18"/>
                <w:szCs w:val="18"/>
              </w:rPr>
              <w:t>30 </w:t>
            </w:r>
          </w:p>
        </w:tc>
        <w:tc>
          <w:tcPr>
            <w:tcW w:w="0" w:type="auto"/>
            <w:shd w:val="clear" w:color="auto" w:fill="auto"/>
            <w:tcMar>
              <w:top w:w="40" w:type="dxa"/>
              <w:left w:w="0" w:type="dxa"/>
              <w:bottom w:w="40" w:type="dxa"/>
              <w:right w:w="20" w:type="dxa"/>
            </w:tcMar>
            <w:vAlign w:val="bottom"/>
          </w:tcPr>
          <w:p w14:paraId="39D9892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2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2B" w14:textId="77777777" w:rsidR="00996AD7" w:rsidRDefault="00D96458">
            <w:pPr>
              <w:jc w:val="right"/>
              <w:textAlignment w:val="bottom"/>
            </w:pPr>
            <w:r>
              <w:rPr>
                <w:rFonts w:ascii="Arial" w:eastAsia="宋体" w:hAnsi="Arial" w:cs="Arial"/>
                <w:color w:val="262626"/>
                <w:sz w:val="18"/>
                <w:szCs w:val="18"/>
              </w:rPr>
              <w:t>1,550 </w:t>
            </w:r>
          </w:p>
        </w:tc>
        <w:tc>
          <w:tcPr>
            <w:tcW w:w="0" w:type="auto"/>
            <w:shd w:val="clear" w:color="auto" w:fill="auto"/>
            <w:tcMar>
              <w:top w:w="40" w:type="dxa"/>
              <w:left w:w="0" w:type="dxa"/>
              <w:bottom w:w="40" w:type="dxa"/>
              <w:right w:w="20" w:type="dxa"/>
            </w:tcMar>
            <w:vAlign w:val="bottom"/>
          </w:tcPr>
          <w:p w14:paraId="39D9892C" w14:textId="77777777" w:rsidR="00996AD7" w:rsidRDefault="00996AD7">
            <w:pPr>
              <w:jc w:val="right"/>
              <w:rPr>
                <w:rFonts w:ascii="宋体"/>
              </w:rPr>
            </w:pPr>
          </w:p>
        </w:tc>
        <w:tc>
          <w:tcPr>
            <w:tcW w:w="0" w:type="auto"/>
            <w:shd w:val="clear" w:color="auto" w:fill="auto"/>
            <w:vAlign w:val="bottom"/>
          </w:tcPr>
          <w:p w14:paraId="39D9892D" w14:textId="77777777" w:rsidR="00996AD7" w:rsidRDefault="00996AD7">
            <w:pPr>
              <w:rPr>
                <w:rFonts w:ascii="宋体"/>
                <w:vanish/>
              </w:rPr>
            </w:pPr>
          </w:p>
        </w:tc>
        <w:tc>
          <w:tcPr>
            <w:tcW w:w="0" w:type="auto"/>
            <w:shd w:val="clear" w:color="auto" w:fill="auto"/>
            <w:vAlign w:val="bottom"/>
          </w:tcPr>
          <w:p w14:paraId="39D9892E" w14:textId="77777777" w:rsidR="00996AD7" w:rsidRDefault="00996AD7">
            <w:pPr>
              <w:rPr>
                <w:rFonts w:ascii="宋体"/>
                <w:vanish/>
              </w:rPr>
            </w:pPr>
          </w:p>
        </w:tc>
      </w:tr>
      <w:tr w:rsidR="00996AD7" w14:paraId="39D98949" w14:textId="77777777">
        <w:tc>
          <w:tcPr>
            <w:tcW w:w="0" w:type="auto"/>
            <w:gridSpan w:val="3"/>
            <w:shd w:val="clear" w:color="auto" w:fill="auto"/>
            <w:tcMar>
              <w:top w:w="40" w:type="dxa"/>
              <w:left w:w="155" w:type="dxa"/>
              <w:bottom w:w="40" w:type="dxa"/>
              <w:right w:w="20" w:type="dxa"/>
            </w:tcMar>
          </w:tcPr>
          <w:p w14:paraId="39D98930" w14:textId="77777777" w:rsidR="00996AD7" w:rsidRDefault="00D96458">
            <w:pPr>
              <w:textAlignment w:val="top"/>
            </w:pPr>
            <w:r>
              <w:rPr>
                <w:rFonts w:ascii="Arial" w:eastAsia="宋体" w:hAnsi="Arial" w:cs="Arial"/>
                <w:color w:val="262626"/>
                <w:sz w:val="18"/>
                <w:szCs w:val="18"/>
              </w:rPr>
              <w:t>Loans receivable³</w:t>
            </w:r>
          </w:p>
        </w:tc>
        <w:tc>
          <w:tcPr>
            <w:tcW w:w="0" w:type="auto"/>
            <w:gridSpan w:val="3"/>
            <w:shd w:val="clear" w:color="auto" w:fill="auto"/>
            <w:tcMar>
              <w:top w:w="0" w:type="dxa"/>
              <w:left w:w="20" w:type="dxa"/>
              <w:bottom w:w="0" w:type="dxa"/>
              <w:right w:w="20" w:type="dxa"/>
            </w:tcMar>
            <w:vAlign w:val="bottom"/>
          </w:tcPr>
          <w:p w14:paraId="39D9893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32"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93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3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35"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93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3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38"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93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3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3B"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93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3D"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93E" w14:textId="77777777" w:rsidR="00996AD7" w:rsidRDefault="00D9645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39D9893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40" w14:textId="77777777" w:rsidR="00996AD7" w:rsidRDefault="00D96458">
            <w:pPr>
              <w:jc w:val="right"/>
              <w:textAlignment w:val="bottom"/>
            </w:pPr>
            <w:r>
              <w:rPr>
                <w:rFonts w:ascii="Arial" w:eastAsia="宋体" w:hAnsi="Arial" w:cs="Arial"/>
                <w:color w:val="262626"/>
                <w:sz w:val="18"/>
                <w:szCs w:val="18"/>
              </w:rPr>
              <w:t>157 </w:t>
            </w:r>
          </w:p>
        </w:tc>
        <w:tc>
          <w:tcPr>
            <w:tcW w:w="0" w:type="auto"/>
            <w:shd w:val="clear" w:color="auto" w:fill="auto"/>
            <w:tcMar>
              <w:top w:w="40" w:type="dxa"/>
              <w:left w:w="0" w:type="dxa"/>
              <w:bottom w:w="40" w:type="dxa"/>
              <w:right w:w="20" w:type="dxa"/>
            </w:tcMar>
            <w:vAlign w:val="bottom"/>
          </w:tcPr>
          <w:p w14:paraId="39D9894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4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943" w14:textId="77777777" w:rsidR="00996AD7" w:rsidRDefault="00D9645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39D9894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45" w14:textId="77777777" w:rsidR="00996AD7" w:rsidRDefault="00D96458">
            <w:pPr>
              <w:jc w:val="right"/>
              <w:textAlignment w:val="bottom"/>
            </w:pPr>
            <w:r>
              <w:rPr>
                <w:rFonts w:ascii="Arial" w:eastAsia="宋体" w:hAnsi="Arial" w:cs="Arial"/>
                <w:color w:val="262626"/>
                <w:sz w:val="18"/>
                <w:szCs w:val="18"/>
              </w:rPr>
              <w:t>157 </w:t>
            </w:r>
          </w:p>
        </w:tc>
        <w:tc>
          <w:tcPr>
            <w:tcW w:w="0" w:type="auto"/>
            <w:shd w:val="clear" w:color="auto" w:fill="auto"/>
            <w:tcMar>
              <w:top w:w="40" w:type="dxa"/>
              <w:left w:w="0" w:type="dxa"/>
              <w:bottom w:w="40" w:type="dxa"/>
              <w:right w:w="20" w:type="dxa"/>
            </w:tcMar>
            <w:vAlign w:val="bottom"/>
          </w:tcPr>
          <w:p w14:paraId="39D98946" w14:textId="77777777" w:rsidR="00996AD7" w:rsidRDefault="00996AD7">
            <w:pPr>
              <w:jc w:val="right"/>
              <w:rPr>
                <w:rFonts w:ascii="宋体"/>
              </w:rPr>
            </w:pPr>
          </w:p>
        </w:tc>
        <w:tc>
          <w:tcPr>
            <w:tcW w:w="0" w:type="auto"/>
            <w:shd w:val="clear" w:color="auto" w:fill="auto"/>
            <w:vAlign w:val="bottom"/>
          </w:tcPr>
          <w:p w14:paraId="39D98947" w14:textId="77777777" w:rsidR="00996AD7" w:rsidRDefault="00996AD7">
            <w:pPr>
              <w:rPr>
                <w:rFonts w:ascii="宋体"/>
                <w:vanish/>
              </w:rPr>
            </w:pPr>
          </w:p>
        </w:tc>
        <w:tc>
          <w:tcPr>
            <w:tcW w:w="0" w:type="auto"/>
            <w:shd w:val="clear" w:color="auto" w:fill="auto"/>
            <w:vAlign w:val="bottom"/>
          </w:tcPr>
          <w:p w14:paraId="39D98948" w14:textId="77777777" w:rsidR="00996AD7" w:rsidRDefault="00996AD7">
            <w:pPr>
              <w:rPr>
                <w:rFonts w:ascii="宋体"/>
                <w:vanish/>
              </w:rPr>
            </w:pPr>
          </w:p>
        </w:tc>
      </w:tr>
      <w:tr w:rsidR="00996AD7" w14:paraId="39D9896D" w14:textId="77777777">
        <w:tc>
          <w:tcPr>
            <w:tcW w:w="0" w:type="auto"/>
            <w:gridSpan w:val="3"/>
            <w:shd w:val="clear" w:color="auto" w:fill="auto"/>
            <w:tcMar>
              <w:top w:w="40" w:type="dxa"/>
              <w:left w:w="20" w:type="dxa"/>
              <w:bottom w:w="40" w:type="dxa"/>
              <w:right w:w="20" w:type="dxa"/>
            </w:tcMar>
          </w:tcPr>
          <w:p w14:paraId="39D9894A" w14:textId="77777777" w:rsidR="00996AD7" w:rsidRDefault="00D96458">
            <w:pPr>
              <w:textAlignment w:val="top"/>
            </w:pPr>
            <w:r>
              <w:rPr>
                <w:rFonts w:ascii="Arial" w:eastAsia="宋体" w:hAnsi="Arial" w:cs="Arial"/>
                <w:b/>
                <w:bCs/>
                <w:color w:val="262626"/>
                <w:sz w:val="18"/>
                <w:szCs w:val="18"/>
              </w:rPr>
              <w:t xml:space="preserve">Total </w:t>
            </w:r>
            <w:r>
              <w:rPr>
                <w:rFonts w:ascii="Arial" w:eastAsia="宋体" w:hAnsi="Arial" w:cs="Arial"/>
                <w:b/>
                <w:bCs/>
                <w:color w:val="262626"/>
                <w:sz w:val="18"/>
                <w:szCs w:val="18"/>
              </w:rPr>
              <w:t>assets measured and recorded at fair value</w:t>
            </w:r>
          </w:p>
        </w:tc>
        <w:tc>
          <w:tcPr>
            <w:tcW w:w="0" w:type="auto"/>
            <w:gridSpan w:val="3"/>
            <w:shd w:val="clear" w:color="auto" w:fill="auto"/>
            <w:tcMar>
              <w:top w:w="0" w:type="dxa"/>
              <w:left w:w="20" w:type="dxa"/>
              <w:bottom w:w="0" w:type="dxa"/>
              <w:right w:w="20" w:type="dxa"/>
            </w:tcMar>
            <w:vAlign w:val="bottom"/>
          </w:tcPr>
          <w:p w14:paraId="39D9894B"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894C"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894D" w14:textId="77777777" w:rsidR="00996AD7" w:rsidRDefault="00D96458">
            <w:pPr>
              <w:jc w:val="right"/>
              <w:textAlignment w:val="bottom"/>
            </w:pPr>
            <w:r>
              <w:rPr>
                <w:rFonts w:ascii="Arial" w:eastAsia="宋体" w:hAnsi="Arial" w:cs="Arial"/>
                <w:b/>
                <w:bCs/>
                <w:color w:val="0068B5"/>
                <w:sz w:val="18"/>
                <w:szCs w:val="18"/>
              </w:rPr>
              <w:t>4,578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94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4F"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8950"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8951" w14:textId="77777777" w:rsidR="00996AD7" w:rsidRDefault="00D96458">
            <w:pPr>
              <w:jc w:val="right"/>
              <w:textAlignment w:val="bottom"/>
            </w:pPr>
            <w:r>
              <w:rPr>
                <w:rFonts w:ascii="Arial" w:eastAsia="宋体" w:hAnsi="Arial" w:cs="Arial"/>
                <w:b/>
                <w:bCs/>
                <w:color w:val="0068B5"/>
                <w:sz w:val="18"/>
                <w:szCs w:val="18"/>
              </w:rPr>
              <w:t>33,906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95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53"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8954"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8955" w14:textId="77777777" w:rsidR="00996AD7" w:rsidRDefault="00D96458">
            <w:pPr>
              <w:jc w:val="right"/>
              <w:textAlignment w:val="bottom"/>
            </w:pPr>
            <w:r>
              <w:rPr>
                <w:rFonts w:ascii="Arial" w:eastAsia="宋体" w:hAnsi="Arial" w:cs="Arial"/>
                <w:b/>
                <w:bCs/>
                <w:color w:val="0068B5"/>
                <w:sz w:val="18"/>
                <w:szCs w:val="18"/>
              </w:rPr>
              <w:t>13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95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57"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8958"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8959" w14:textId="77777777" w:rsidR="00996AD7" w:rsidRDefault="00D96458">
            <w:pPr>
              <w:jc w:val="right"/>
              <w:textAlignment w:val="bottom"/>
            </w:pPr>
            <w:r>
              <w:rPr>
                <w:rFonts w:ascii="Arial" w:eastAsia="宋体" w:hAnsi="Arial" w:cs="Arial"/>
                <w:b/>
                <w:bCs/>
                <w:color w:val="0068B5"/>
                <w:sz w:val="18"/>
                <w:szCs w:val="18"/>
              </w:rPr>
              <w:t>38,497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95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5B"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895C"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895D" w14:textId="77777777" w:rsidR="00996AD7" w:rsidRDefault="00D96458">
            <w:pPr>
              <w:jc w:val="right"/>
              <w:textAlignment w:val="bottom"/>
            </w:pPr>
            <w:r>
              <w:rPr>
                <w:rFonts w:ascii="Arial" w:eastAsia="宋体" w:hAnsi="Arial" w:cs="Arial"/>
                <w:b/>
                <w:bCs/>
                <w:color w:val="262626"/>
                <w:sz w:val="18"/>
                <w:szCs w:val="18"/>
              </w:rPr>
              <w:t>3,096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95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5F"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8960"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8961" w14:textId="77777777" w:rsidR="00996AD7" w:rsidRDefault="00D96458">
            <w:pPr>
              <w:jc w:val="right"/>
              <w:textAlignment w:val="bottom"/>
            </w:pPr>
            <w:r>
              <w:rPr>
                <w:rFonts w:ascii="Arial" w:eastAsia="宋体" w:hAnsi="Arial" w:cs="Arial"/>
                <w:b/>
                <w:bCs/>
                <w:color w:val="262626"/>
                <w:sz w:val="18"/>
                <w:szCs w:val="18"/>
              </w:rPr>
              <w:t>27,131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96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63"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8964"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8965" w14:textId="77777777" w:rsidR="00996AD7" w:rsidRDefault="00D96458">
            <w:pPr>
              <w:jc w:val="right"/>
              <w:textAlignment w:val="bottom"/>
            </w:pPr>
            <w:r>
              <w:rPr>
                <w:rFonts w:ascii="Arial" w:eastAsia="宋体" w:hAnsi="Arial" w:cs="Arial"/>
                <w:b/>
                <w:bCs/>
                <w:color w:val="262626"/>
                <w:sz w:val="18"/>
                <w:szCs w:val="18"/>
              </w:rPr>
              <w:t>30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96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67"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8968"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8969" w14:textId="77777777" w:rsidR="00996AD7" w:rsidRDefault="00D96458">
            <w:pPr>
              <w:jc w:val="right"/>
              <w:textAlignment w:val="bottom"/>
            </w:pPr>
            <w:r>
              <w:rPr>
                <w:rFonts w:ascii="Arial" w:eastAsia="宋体" w:hAnsi="Arial" w:cs="Arial"/>
                <w:b/>
                <w:bCs/>
                <w:color w:val="262626"/>
                <w:sz w:val="18"/>
                <w:szCs w:val="18"/>
              </w:rPr>
              <w:t>30,257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96A" w14:textId="77777777" w:rsidR="00996AD7" w:rsidRDefault="00996AD7">
            <w:pPr>
              <w:jc w:val="right"/>
              <w:rPr>
                <w:rFonts w:ascii="宋体"/>
              </w:rPr>
            </w:pPr>
          </w:p>
        </w:tc>
        <w:tc>
          <w:tcPr>
            <w:tcW w:w="0" w:type="auto"/>
            <w:shd w:val="clear" w:color="auto" w:fill="auto"/>
            <w:vAlign w:val="bottom"/>
          </w:tcPr>
          <w:p w14:paraId="39D9896B" w14:textId="77777777" w:rsidR="00996AD7" w:rsidRDefault="00996AD7">
            <w:pPr>
              <w:rPr>
                <w:rFonts w:ascii="宋体"/>
                <w:vanish/>
              </w:rPr>
            </w:pPr>
          </w:p>
        </w:tc>
        <w:tc>
          <w:tcPr>
            <w:tcW w:w="0" w:type="auto"/>
            <w:shd w:val="clear" w:color="auto" w:fill="auto"/>
            <w:vAlign w:val="bottom"/>
          </w:tcPr>
          <w:p w14:paraId="39D9896C" w14:textId="77777777" w:rsidR="00996AD7" w:rsidRDefault="00996AD7">
            <w:pPr>
              <w:rPr>
                <w:rFonts w:ascii="宋体"/>
                <w:vanish/>
              </w:rPr>
            </w:pPr>
          </w:p>
        </w:tc>
      </w:tr>
      <w:tr w:rsidR="00996AD7" w14:paraId="39D98981" w14:textId="77777777">
        <w:tc>
          <w:tcPr>
            <w:tcW w:w="0" w:type="auto"/>
            <w:gridSpan w:val="3"/>
            <w:shd w:val="clear" w:color="auto" w:fill="auto"/>
            <w:tcMar>
              <w:top w:w="40" w:type="dxa"/>
              <w:left w:w="20" w:type="dxa"/>
              <w:bottom w:w="40" w:type="dxa"/>
              <w:right w:w="20" w:type="dxa"/>
            </w:tcMar>
          </w:tcPr>
          <w:p w14:paraId="39D9896E" w14:textId="77777777" w:rsidR="00996AD7" w:rsidRDefault="00D96458">
            <w:pPr>
              <w:textAlignment w:val="top"/>
            </w:pPr>
            <w:r>
              <w:rPr>
                <w:rFonts w:ascii="Arial" w:eastAsia="宋体" w:hAnsi="Arial" w:cs="Arial"/>
                <w:b/>
                <w:bCs/>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39D9896F"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97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71"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97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73"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97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75"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97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77"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97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79"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97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7B"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97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7D"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97E" w14:textId="77777777" w:rsidR="00996AD7" w:rsidRDefault="00996AD7">
            <w:pPr>
              <w:rPr>
                <w:rFonts w:ascii="宋体"/>
              </w:rPr>
            </w:pPr>
          </w:p>
        </w:tc>
        <w:tc>
          <w:tcPr>
            <w:tcW w:w="0" w:type="auto"/>
            <w:shd w:val="clear" w:color="auto" w:fill="auto"/>
            <w:vAlign w:val="bottom"/>
          </w:tcPr>
          <w:p w14:paraId="39D9897F" w14:textId="77777777" w:rsidR="00996AD7" w:rsidRDefault="00996AD7">
            <w:pPr>
              <w:rPr>
                <w:rFonts w:ascii="宋体"/>
                <w:vanish/>
              </w:rPr>
            </w:pPr>
          </w:p>
        </w:tc>
        <w:tc>
          <w:tcPr>
            <w:tcW w:w="0" w:type="auto"/>
            <w:shd w:val="clear" w:color="auto" w:fill="auto"/>
            <w:vAlign w:val="bottom"/>
          </w:tcPr>
          <w:p w14:paraId="39D98980" w14:textId="77777777" w:rsidR="00996AD7" w:rsidRDefault="00996AD7">
            <w:pPr>
              <w:rPr>
                <w:rFonts w:ascii="宋体"/>
                <w:vanish/>
              </w:rPr>
            </w:pPr>
          </w:p>
        </w:tc>
      </w:tr>
      <w:tr w:rsidR="00996AD7" w14:paraId="39D98995" w14:textId="77777777">
        <w:tc>
          <w:tcPr>
            <w:tcW w:w="0" w:type="auto"/>
            <w:gridSpan w:val="3"/>
            <w:shd w:val="clear" w:color="auto" w:fill="auto"/>
            <w:tcMar>
              <w:top w:w="40" w:type="dxa"/>
              <w:left w:w="20" w:type="dxa"/>
              <w:bottom w:w="40" w:type="dxa"/>
              <w:right w:w="20" w:type="dxa"/>
            </w:tcMar>
          </w:tcPr>
          <w:p w14:paraId="39D98982" w14:textId="77777777" w:rsidR="00996AD7" w:rsidRDefault="00D96458">
            <w:pPr>
              <w:textAlignment w:val="top"/>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vAlign w:val="bottom"/>
          </w:tcPr>
          <w:p w14:paraId="39D9898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8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8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8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8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8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8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8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8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8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8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8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8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9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9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92" w14:textId="77777777" w:rsidR="00996AD7" w:rsidRDefault="00996AD7">
            <w:pPr>
              <w:rPr>
                <w:rFonts w:ascii="宋体"/>
              </w:rPr>
            </w:pPr>
          </w:p>
        </w:tc>
        <w:tc>
          <w:tcPr>
            <w:tcW w:w="0" w:type="auto"/>
            <w:shd w:val="clear" w:color="auto" w:fill="auto"/>
            <w:vAlign w:val="bottom"/>
          </w:tcPr>
          <w:p w14:paraId="39D98993" w14:textId="77777777" w:rsidR="00996AD7" w:rsidRDefault="00996AD7">
            <w:pPr>
              <w:rPr>
                <w:rFonts w:ascii="宋体"/>
                <w:vanish/>
              </w:rPr>
            </w:pPr>
          </w:p>
        </w:tc>
        <w:tc>
          <w:tcPr>
            <w:tcW w:w="0" w:type="auto"/>
            <w:shd w:val="clear" w:color="auto" w:fill="auto"/>
            <w:vAlign w:val="bottom"/>
          </w:tcPr>
          <w:p w14:paraId="39D98994" w14:textId="77777777" w:rsidR="00996AD7" w:rsidRDefault="00996AD7">
            <w:pPr>
              <w:rPr>
                <w:rFonts w:ascii="宋体"/>
                <w:vanish/>
              </w:rPr>
            </w:pPr>
          </w:p>
        </w:tc>
      </w:tr>
      <w:tr w:rsidR="00996AD7" w14:paraId="39D989B9" w14:textId="77777777">
        <w:tc>
          <w:tcPr>
            <w:tcW w:w="0" w:type="auto"/>
            <w:gridSpan w:val="3"/>
            <w:shd w:val="clear" w:color="auto" w:fill="auto"/>
            <w:tcMar>
              <w:top w:w="40" w:type="dxa"/>
              <w:left w:w="155" w:type="dxa"/>
              <w:bottom w:w="40" w:type="dxa"/>
              <w:right w:w="20" w:type="dxa"/>
            </w:tcMar>
          </w:tcPr>
          <w:p w14:paraId="39D98996" w14:textId="77777777" w:rsidR="00996AD7" w:rsidRDefault="00D96458">
            <w:pPr>
              <w:textAlignment w:val="top"/>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39D98997"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998"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999" w14:textId="77777777" w:rsidR="00996AD7" w:rsidRDefault="00D96458">
            <w:pPr>
              <w:jc w:val="right"/>
              <w:textAlignment w:val="bottom"/>
            </w:pPr>
            <w:r>
              <w:rPr>
                <w:rFonts w:ascii="Arial" w:eastAsia="宋体" w:hAnsi="Arial" w:cs="Arial"/>
                <w:color w:val="0068B5"/>
                <w:sz w:val="18"/>
                <w:szCs w:val="18"/>
              </w:rPr>
              <w:t>29 </w:t>
            </w:r>
          </w:p>
        </w:tc>
        <w:tc>
          <w:tcPr>
            <w:tcW w:w="0" w:type="auto"/>
            <w:shd w:val="clear" w:color="auto" w:fill="auto"/>
            <w:tcMar>
              <w:top w:w="40" w:type="dxa"/>
              <w:left w:w="0" w:type="dxa"/>
              <w:bottom w:w="40" w:type="dxa"/>
              <w:right w:w="20" w:type="dxa"/>
            </w:tcMar>
            <w:vAlign w:val="bottom"/>
          </w:tcPr>
          <w:p w14:paraId="39D9899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9B"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99C"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99D" w14:textId="77777777" w:rsidR="00996AD7" w:rsidRDefault="00D96458">
            <w:pPr>
              <w:jc w:val="right"/>
              <w:textAlignment w:val="bottom"/>
            </w:pPr>
            <w:r>
              <w:rPr>
                <w:rFonts w:ascii="Arial" w:eastAsia="宋体" w:hAnsi="Arial" w:cs="Arial"/>
                <w:color w:val="0068B5"/>
                <w:sz w:val="18"/>
                <w:szCs w:val="18"/>
              </w:rPr>
              <w:t>527 </w:t>
            </w:r>
          </w:p>
        </w:tc>
        <w:tc>
          <w:tcPr>
            <w:tcW w:w="0" w:type="auto"/>
            <w:shd w:val="clear" w:color="auto" w:fill="auto"/>
            <w:tcMar>
              <w:top w:w="40" w:type="dxa"/>
              <w:left w:w="0" w:type="dxa"/>
              <w:bottom w:w="40" w:type="dxa"/>
              <w:right w:w="20" w:type="dxa"/>
            </w:tcMar>
            <w:vAlign w:val="bottom"/>
          </w:tcPr>
          <w:p w14:paraId="39D9899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9F"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9A0"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9A1"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9A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A3"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9A4"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9A5" w14:textId="77777777" w:rsidR="00996AD7" w:rsidRDefault="00D96458">
            <w:pPr>
              <w:jc w:val="right"/>
              <w:textAlignment w:val="bottom"/>
            </w:pPr>
            <w:r>
              <w:rPr>
                <w:rFonts w:ascii="Arial" w:eastAsia="宋体" w:hAnsi="Arial" w:cs="Arial"/>
                <w:color w:val="0068B5"/>
                <w:sz w:val="18"/>
                <w:szCs w:val="18"/>
              </w:rPr>
              <w:t>556 </w:t>
            </w:r>
          </w:p>
        </w:tc>
        <w:tc>
          <w:tcPr>
            <w:tcW w:w="0" w:type="auto"/>
            <w:shd w:val="clear" w:color="auto" w:fill="auto"/>
            <w:tcMar>
              <w:top w:w="40" w:type="dxa"/>
              <w:left w:w="0" w:type="dxa"/>
              <w:bottom w:w="40" w:type="dxa"/>
              <w:right w:w="20" w:type="dxa"/>
            </w:tcMar>
            <w:vAlign w:val="bottom"/>
          </w:tcPr>
          <w:p w14:paraId="39D989A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A7"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9A8"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9A9"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9A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AB"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9AC"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9AD" w14:textId="77777777" w:rsidR="00996AD7" w:rsidRDefault="00D96458">
            <w:pPr>
              <w:jc w:val="right"/>
              <w:textAlignment w:val="bottom"/>
            </w:pPr>
            <w:r>
              <w:rPr>
                <w:rFonts w:ascii="Arial" w:eastAsia="宋体" w:hAnsi="Arial" w:cs="Arial"/>
                <w:color w:val="262626"/>
                <w:sz w:val="18"/>
                <w:szCs w:val="18"/>
              </w:rPr>
              <w:t>810 </w:t>
            </w:r>
          </w:p>
        </w:tc>
        <w:tc>
          <w:tcPr>
            <w:tcW w:w="0" w:type="auto"/>
            <w:shd w:val="clear" w:color="auto" w:fill="auto"/>
            <w:tcMar>
              <w:top w:w="40" w:type="dxa"/>
              <w:left w:w="0" w:type="dxa"/>
              <w:bottom w:w="40" w:type="dxa"/>
              <w:right w:w="20" w:type="dxa"/>
            </w:tcMar>
            <w:vAlign w:val="bottom"/>
          </w:tcPr>
          <w:p w14:paraId="39D989A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AF"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9B0"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9B1"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9B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B3"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9B4"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9B5" w14:textId="77777777" w:rsidR="00996AD7" w:rsidRDefault="00D96458">
            <w:pPr>
              <w:jc w:val="right"/>
              <w:textAlignment w:val="bottom"/>
            </w:pPr>
            <w:r>
              <w:rPr>
                <w:rFonts w:ascii="Arial" w:eastAsia="宋体" w:hAnsi="Arial" w:cs="Arial"/>
                <w:color w:val="262626"/>
                <w:sz w:val="18"/>
                <w:szCs w:val="18"/>
              </w:rPr>
              <w:t>810 </w:t>
            </w:r>
          </w:p>
        </w:tc>
        <w:tc>
          <w:tcPr>
            <w:tcW w:w="0" w:type="auto"/>
            <w:shd w:val="clear" w:color="auto" w:fill="auto"/>
            <w:tcMar>
              <w:top w:w="40" w:type="dxa"/>
              <w:left w:w="0" w:type="dxa"/>
              <w:bottom w:w="40" w:type="dxa"/>
              <w:right w:w="20" w:type="dxa"/>
            </w:tcMar>
            <w:vAlign w:val="bottom"/>
          </w:tcPr>
          <w:p w14:paraId="39D989B6" w14:textId="77777777" w:rsidR="00996AD7" w:rsidRDefault="00996AD7">
            <w:pPr>
              <w:jc w:val="right"/>
              <w:rPr>
                <w:rFonts w:ascii="宋体"/>
              </w:rPr>
            </w:pPr>
          </w:p>
        </w:tc>
        <w:tc>
          <w:tcPr>
            <w:tcW w:w="0" w:type="auto"/>
            <w:shd w:val="clear" w:color="auto" w:fill="auto"/>
            <w:vAlign w:val="bottom"/>
          </w:tcPr>
          <w:p w14:paraId="39D989B7" w14:textId="77777777" w:rsidR="00996AD7" w:rsidRDefault="00996AD7">
            <w:pPr>
              <w:rPr>
                <w:rFonts w:ascii="宋体"/>
                <w:vanish/>
              </w:rPr>
            </w:pPr>
          </w:p>
        </w:tc>
        <w:tc>
          <w:tcPr>
            <w:tcW w:w="0" w:type="auto"/>
            <w:shd w:val="clear" w:color="auto" w:fill="auto"/>
            <w:vAlign w:val="bottom"/>
          </w:tcPr>
          <w:p w14:paraId="39D989B8" w14:textId="77777777" w:rsidR="00996AD7" w:rsidRDefault="00996AD7">
            <w:pPr>
              <w:rPr>
                <w:rFonts w:ascii="宋体"/>
                <w:vanish/>
              </w:rPr>
            </w:pPr>
          </w:p>
        </w:tc>
      </w:tr>
      <w:tr w:rsidR="00996AD7" w14:paraId="39D989CD" w14:textId="77777777">
        <w:trPr>
          <w:hidden/>
        </w:trPr>
        <w:tc>
          <w:tcPr>
            <w:tcW w:w="0" w:type="auto"/>
            <w:gridSpan w:val="3"/>
            <w:shd w:val="clear" w:color="auto" w:fill="auto"/>
            <w:vAlign w:val="bottom"/>
          </w:tcPr>
          <w:p w14:paraId="39D989BA" w14:textId="77777777" w:rsidR="00996AD7" w:rsidRDefault="00996AD7">
            <w:pPr>
              <w:rPr>
                <w:rFonts w:ascii="宋体"/>
                <w:vanish/>
              </w:rPr>
            </w:pPr>
          </w:p>
        </w:tc>
        <w:tc>
          <w:tcPr>
            <w:tcW w:w="0" w:type="auto"/>
            <w:gridSpan w:val="3"/>
            <w:shd w:val="clear" w:color="auto" w:fill="auto"/>
            <w:vAlign w:val="bottom"/>
          </w:tcPr>
          <w:p w14:paraId="39D989BB" w14:textId="77777777" w:rsidR="00996AD7" w:rsidRDefault="00996AD7">
            <w:pPr>
              <w:rPr>
                <w:rFonts w:ascii="宋体"/>
                <w:vanish/>
              </w:rPr>
            </w:pPr>
          </w:p>
        </w:tc>
        <w:tc>
          <w:tcPr>
            <w:tcW w:w="0" w:type="auto"/>
            <w:gridSpan w:val="3"/>
            <w:shd w:val="clear" w:color="auto" w:fill="auto"/>
            <w:vAlign w:val="bottom"/>
          </w:tcPr>
          <w:p w14:paraId="39D989BC" w14:textId="77777777" w:rsidR="00996AD7" w:rsidRDefault="00996AD7">
            <w:pPr>
              <w:rPr>
                <w:rFonts w:ascii="宋体"/>
                <w:vanish/>
              </w:rPr>
            </w:pPr>
          </w:p>
        </w:tc>
        <w:tc>
          <w:tcPr>
            <w:tcW w:w="0" w:type="auto"/>
            <w:gridSpan w:val="3"/>
            <w:shd w:val="clear" w:color="auto" w:fill="auto"/>
            <w:vAlign w:val="bottom"/>
          </w:tcPr>
          <w:p w14:paraId="39D989BD" w14:textId="77777777" w:rsidR="00996AD7" w:rsidRDefault="00996AD7">
            <w:pPr>
              <w:rPr>
                <w:rFonts w:ascii="宋体"/>
                <w:vanish/>
              </w:rPr>
            </w:pPr>
          </w:p>
        </w:tc>
        <w:tc>
          <w:tcPr>
            <w:tcW w:w="0" w:type="auto"/>
            <w:gridSpan w:val="3"/>
            <w:shd w:val="clear" w:color="auto" w:fill="auto"/>
            <w:vAlign w:val="bottom"/>
          </w:tcPr>
          <w:p w14:paraId="39D989BE" w14:textId="77777777" w:rsidR="00996AD7" w:rsidRDefault="00996AD7">
            <w:pPr>
              <w:rPr>
                <w:rFonts w:ascii="宋体"/>
                <w:vanish/>
              </w:rPr>
            </w:pPr>
          </w:p>
        </w:tc>
        <w:tc>
          <w:tcPr>
            <w:tcW w:w="0" w:type="auto"/>
            <w:gridSpan w:val="3"/>
            <w:shd w:val="clear" w:color="auto" w:fill="auto"/>
            <w:vAlign w:val="bottom"/>
          </w:tcPr>
          <w:p w14:paraId="39D989BF" w14:textId="77777777" w:rsidR="00996AD7" w:rsidRDefault="00996AD7">
            <w:pPr>
              <w:rPr>
                <w:rFonts w:ascii="宋体"/>
                <w:vanish/>
              </w:rPr>
            </w:pPr>
          </w:p>
        </w:tc>
        <w:tc>
          <w:tcPr>
            <w:tcW w:w="0" w:type="auto"/>
            <w:gridSpan w:val="3"/>
            <w:shd w:val="clear" w:color="auto" w:fill="auto"/>
            <w:vAlign w:val="bottom"/>
          </w:tcPr>
          <w:p w14:paraId="39D989C0" w14:textId="77777777" w:rsidR="00996AD7" w:rsidRDefault="00996AD7">
            <w:pPr>
              <w:rPr>
                <w:rFonts w:ascii="宋体"/>
                <w:vanish/>
              </w:rPr>
            </w:pPr>
          </w:p>
        </w:tc>
        <w:tc>
          <w:tcPr>
            <w:tcW w:w="0" w:type="auto"/>
            <w:gridSpan w:val="3"/>
            <w:shd w:val="clear" w:color="auto" w:fill="auto"/>
            <w:vAlign w:val="bottom"/>
          </w:tcPr>
          <w:p w14:paraId="39D989C1" w14:textId="77777777" w:rsidR="00996AD7" w:rsidRDefault="00996AD7">
            <w:pPr>
              <w:rPr>
                <w:rFonts w:ascii="宋体"/>
                <w:vanish/>
              </w:rPr>
            </w:pPr>
          </w:p>
        </w:tc>
        <w:tc>
          <w:tcPr>
            <w:tcW w:w="0" w:type="auto"/>
            <w:gridSpan w:val="3"/>
            <w:shd w:val="clear" w:color="auto" w:fill="auto"/>
            <w:vAlign w:val="bottom"/>
          </w:tcPr>
          <w:p w14:paraId="39D989C2" w14:textId="77777777" w:rsidR="00996AD7" w:rsidRDefault="00996AD7">
            <w:pPr>
              <w:rPr>
                <w:rFonts w:ascii="宋体"/>
                <w:vanish/>
              </w:rPr>
            </w:pPr>
          </w:p>
        </w:tc>
        <w:tc>
          <w:tcPr>
            <w:tcW w:w="0" w:type="auto"/>
            <w:gridSpan w:val="3"/>
            <w:shd w:val="clear" w:color="auto" w:fill="auto"/>
            <w:vAlign w:val="bottom"/>
          </w:tcPr>
          <w:p w14:paraId="39D989C3" w14:textId="77777777" w:rsidR="00996AD7" w:rsidRDefault="00996AD7">
            <w:pPr>
              <w:rPr>
                <w:rFonts w:ascii="宋体"/>
                <w:vanish/>
              </w:rPr>
            </w:pPr>
          </w:p>
        </w:tc>
        <w:tc>
          <w:tcPr>
            <w:tcW w:w="0" w:type="auto"/>
            <w:gridSpan w:val="3"/>
            <w:shd w:val="clear" w:color="auto" w:fill="auto"/>
            <w:vAlign w:val="bottom"/>
          </w:tcPr>
          <w:p w14:paraId="39D989C4" w14:textId="77777777" w:rsidR="00996AD7" w:rsidRDefault="00996AD7">
            <w:pPr>
              <w:rPr>
                <w:rFonts w:ascii="宋体"/>
                <w:vanish/>
              </w:rPr>
            </w:pPr>
          </w:p>
        </w:tc>
        <w:tc>
          <w:tcPr>
            <w:tcW w:w="0" w:type="auto"/>
            <w:gridSpan w:val="3"/>
            <w:shd w:val="clear" w:color="auto" w:fill="auto"/>
            <w:vAlign w:val="bottom"/>
          </w:tcPr>
          <w:p w14:paraId="39D989C5" w14:textId="77777777" w:rsidR="00996AD7" w:rsidRDefault="00996AD7">
            <w:pPr>
              <w:rPr>
                <w:rFonts w:ascii="宋体"/>
                <w:vanish/>
              </w:rPr>
            </w:pPr>
          </w:p>
        </w:tc>
        <w:tc>
          <w:tcPr>
            <w:tcW w:w="0" w:type="auto"/>
            <w:gridSpan w:val="3"/>
            <w:shd w:val="clear" w:color="auto" w:fill="auto"/>
            <w:vAlign w:val="bottom"/>
          </w:tcPr>
          <w:p w14:paraId="39D989C6" w14:textId="77777777" w:rsidR="00996AD7" w:rsidRDefault="00996AD7">
            <w:pPr>
              <w:rPr>
                <w:rFonts w:ascii="宋体"/>
                <w:vanish/>
              </w:rPr>
            </w:pPr>
          </w:p>
        </w:tc>
        <w:tc>
          <w:tcPr>
            <w:tcW w:w="0" w:type="auto"/>
            <w:gridSpan w:val="3"/>
            <w:shd w:val="clear" w:color="auto" w:fill="auto"/>
            <w:vAlign w:val="bottom"/>
          </w:tcPr>
          <w:p w14:paraId="39D989C7" w14:textId="77777777" w:rsidR="00996AD7" w:rsidRDefault="00996AD7">
            <w:pPr>
              <w:rPr>
                <w:rFonts w:ascii="宋体"/>
                <w:vanish/>
              </w:rPr>
            </w:pPr>
          </w:p>
        </w:tc>
        <w:tc>
          <w:tcPr>
            <w:tcW w:w="0" w:type="auto"/>
            <w:gridSpan w:val="3"/>
            <w:shd w:val="clear" w:color="auto" w:fill="auto"/>
            <w:vAlign w:val="bottom"/>
          </w:tcPr>
          <w:p w14:paraId="39D989C8" w14:textId="77777777" w:rsidR="00996AD7" w:rsidRDefault="00996AD7">
            <w:pPr>
              <w:rPr>
                <w:rFonts w:ascii="宋体"/>
                <w:vanish/>
              </w:rPr>
            </w:pPr>
          </w:p>
        </w:tc>
        <w:tc>
          <w:tcPr>
            <w:tcW w:w="0" w:type="auto"/>
            <w:gridSpan w:val="3"/>
            <w:shd w:val="clear" w:color="auto" w:fill="auto"/>
            <w:vAlign w:val="bottom"/>
          </w:tcPr>
          <w:p w14:paraId="39D989C9" w14:textId="77777777" w:rsidR="00996AD7" w:rsidRDefault="00996AD7">
            <w:pPr>
              <w:rPr>
                <w:rFonts w:ascii="宋体"/>
                <w:vanish/>
              </w:rPr>
            </w:pPr>
          </w:p>
        </w:tc>
        <w:tc>
          <w:tcPr>
            <w:tcW w:w="0" w:type="auto"/>
            <w:gridSpan w:val="3"/>
            <w:shd w:val="clear" w:color="auto" w:fill="auto"/>
            <w:vAlign w:val="bottom"/>
          </w:tcPr>
          <w:p w14:paraId="39D989CA" w14:textId="77777777" w:rsidR="00996AD7" w:rsidRDefault="00996AD7">
            <w:pPr>
              <w:rPr>
                <w:rFonts w:ascii="宋体"/>
                <w:vanish/>
              </w:rPr>
            </w:pPr>
          </w:p>
        </w:tc>
        <w:tc>
          <w:tcPr>
            <w:tcW w:w="0" w:type="auto"/>
            <w:shd w:val="clear" w:color="auto" w:fill="auto"/>
            <w:vAlign w:val="bottom"/>
          </w:tcPr>
          <w:p w14:paraId="39D989CB" w14:textId="77777777" w:rsidR="00996AD7" w:rsidRDefault="00996AD7">
            <w:pPr>
              <w:rPr>
                <w:rFonts w:ascii="宋体"/>
                <w:vanish/>
              </w:rPr>
            </w:pPr>
          </w:p>
        </w:tc>
        <w:tc>
          <w:tcPr>
            <w:tcW w:w="0" w:type="auto"/>
            <w:shd w:val="clear" w:color="auto" w:fill="auto"/>
            <w:vAlign w:val="bottom"/>
          </w:tcPr>
          <w:p w14:paraId="39D989CC" w14:textId="77777777" w:rsidR="00996AD7" w:rsidRDefault="00996AD7">
            <w:pPr>
              <w:rPr>
                <w:rFonts w:ascii="宋体"/>
                <w:vanish/>
              </w:rPr>
            </w:pPr>
          </w:p>
        </w:tc>
      </w:tr>
      <w:tr w:rsidR="00996AD7" w14:paraId="39D989E1" w14:textId="77777777">
        <w:tc>
          <w:tcPr>
            <w:tcW w:w="0" w:type="auto"/>
            <w:gridSpan w:val="3"/>
            <w:shd w:val="clear" w:color="auto" w:fill="auto"/>
            <w:tcMar>
              <w:top w:w="40" w:type="dxa"/>
              <w:left w:w="20" w:type="dxa"/>
              <w:bottom w:w="40" w:type="dxa"/>
              <w:right w:w="20" w:type="dxa"/>
            </w:tcMar>
          </w:tcPr>
          <w:p w14:paraId="39D989CE" w14:textId="77777777" w:rsidR="00996AD7" w:rsidRDefault="00D96458">
            <w:pPr>
              <w:textAlignment w:val="top"/>
            </w:pPr>
            <w:r>
              <w:rPr>
                <w:rFonts w:ascii="Arial" w:eastAsia="宋体" w:hAnsi="Arial" w:cs="Arial"/>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39D989C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9DE" w14:textId="77777777" w:rsidR="00996AD7" w:rsidRDefault="00996AD7">
            <w:pPr>
              <w:rPr>
                <w:rFonts w:ascii="宋体"/>
              </w:rPr>
            </w:pPr>
          </w:p>
        </w:tc>
        <w:tc>
          <w:tcPr>
            <w:tcW w:w="0" w:type="auto"/>
            <w:shd w:val="clear" w:color="auto" w:fill="auto"/>
            <w:vAlign w:val="bottom"/>
          </w:tcPr>
          <w:p w14:paraId="39D989DF" w14:textId="77777777" w:rsidR="00996AD7" w:rsidRDefault="00996AD7">
            <w:pPr>
              <w:rPr>
                <w:rFonts w:ascii="宋体"/>
                <w:vanish/>
              </w:rPr>
            </w:pPr>
          </w:p>
        </w:tc>
        <w:tc>
          <w:tcPr>
            <w:tcW w:w="0" w:type="auto"/>
            <w:shd w:val="clear" w:color="auto" w:fill="auto"/>
            <w:vAlign w:val="bottom"/>
          </w:tcPr>
          <w:p w14:paraId="39D989E0" w14:textId="77777777" w:rsidR="00996AD7" w:rsidRDefault="00996AD7">
            <w:pPr>
              <w:rPr>
                <w:rFonts w:ascii="宋体"/>
                <w:vanish/>
              </w:rPr>
            </w:pPr>
          </w:p>
        </w:tc>
      </w:tr>
      <w:tr w:rsidR="00996AD7" w14:paraId="39D989FD" w14:textId="77777777">
        <w:tc>
          <w:tcPr>
            <w:tcW w:w="0" w:type="auto"/>
            <w:gridSpan w:val="3"/>
            <w:shd w:val="clear" w:color="auto" w:fill="auto"/>
            <w:tcMar>
              <w:top w:w="40" w:type="dxa"/>
              <w:left w:w="155" w:type="dxa"/>
              <w:bottom w:w="40" w:type="dxa"/>
              <w:right w:w="20" w:type="dxa"/>
            </w:tcMar>
          </w:tcPr>
          <w:p w14:paraId="39D989E2" w14:textId="77777777" w:rsidR="00996AD7" w:rsidRDefault="00D96458">
            <w:pPr>
              <w:textAlignment w:val="top"/>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39D989E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E4"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9E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E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E7" w14:textId="77777777" w:rsidR="00996AD7" w:rsidRDefault="00D96458">
            <w:pPr>
              <w:jc w:val="right"/>
              <w:textAlignment w:val="bottom"/>
            </w:pPr>
            <w:r>
              <w:rPr>
                <w:rFonts w:ascii="Arial" w:eastAsia="宋体" w:hAnsi="Arial" w:cs="Arial"/>
                <w:color w:val="0068B5"/>
                <w:sz w:val="18"/>
                <w:szCs w:val="18"/>
              </w:rPr>
              <w:t>9 </w:t>
            </w:r>
          </w:p>
        </w:tc>
        <w:tc>
          <w:tcPr>
            <w:tcW w:w="0" w:type="auto"/>
            <w:shd w:val="clear" w:color="auto" w:fill="auto"/>
            <w:tcMar>
              <w:top w:w="40" w:type="dxa"/>
              <w:left w:w="0" w:type="dxa"/>
              <w:bottom w:w="40" w:type="dxa"/>
              <w:right w:w="20" w:type="dxa"/>
            </w:tcMar>
            <w:vAlign w:val="bottom"/>
          </w:tcPr>
          <w:p w14:paraId="39D989E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E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EA"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9E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E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ED" w14:textId="77777777" w:rsidR="00996AD7" w:rsidRDefault="00D96458">
            <w:pPr>
              <w:jc w:val="right"/>
              <w:textAlignment w:val="bottom"/>
            </w:pPr>
            <w:r>
              <w:rPr>
                <w:rFonts w:ascii="Arial" w:eastAsia="宋体" w:hAnsi="Arial" w:cs="Arial"/>
                <w:color w:val="0068B5"/>
                <w:sz w:val="18"/>
                <w:szCs w:val="18"/>
              </w:rPr>
              <w:t>9 </w:t>
            </w:r>
          </w:p>
        </w:tc>
        <w:tc>
          <w:tcPr>
            <w:tcW w:w="0" w:type="auto"/>
            <w:shd w:val="clear" w:color="auto" w:fill="auto"/>
            <w:tcMar>
              <w:top w:w="40" w:type="dxa"/>
              <w:left w:w="0" w:type="dxa"/>
              <w:bottom w:w="40" w:type="dxa"/>
              <w:right w:w="20" w:type="dxa"/>
            </w:tcMar>
            <w:vAlign w:val="bottom"/>
          </w:tcPr>
          <w:p w14:paraId="39D989E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E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F0"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9F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F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F3" w14:textId="77777777" w:rsidR="00996AD7" w:rsidRDefault="00D96458">
            <w:pPr>
              <w:jc w:val="right"/>
              <w:textAlignment w:val="bottom"/>
            </w:pPr>
            <w:r>
              <w:rPr>
                <w:rFonts w:ascii="Arial" w:eastAsia="宋体" w:hAnsi="Arial" w:cs="Arial"/>
                <w:color w:val="262626"/>
                <w:sz w:val="18"/>
                <w:szCs w:val="18"/>
              </w:rPr>
              <w:t>5 </w:t>
            </w:r>
          </w:p>
        </w:tc>
        <w:tc>
          <w:tcPr>
            <w:tcW w:w="0" w:type="auto"/>
            <w:shd w:val="clear" w:color="auto" w:fill="auto"/>
            <w:tcMar>
              <w:top w:w="40" w:type="dxa"/>
              <w:left w:w="0" w:type="dxa"/>
              <w:bottom w:w="40" w:type="dxa"/>
              <w:right w:w="20" w:type="dxa"/>
            </w:tcMar>
            <w:vAlign w:val="bottom"/>
          </w:tcPr>
          <w:p w14:paraId="39D989F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F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F6"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9F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9F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9F9" w14:textId="77777777" w:rsidR="00996AD7" w:rsidRDefault="00D96458">
            <w:pPr>
              <w:jc w:val="right"/>
              <w:textAlignment w:val="bottom"/>
            </w:pPr>
            <w:r>
              <w:rPr>
                <w:rFonts w:ascii="Arial" w:eastAsia="宋体" w:hAnsi="Arial" w:cs="Arial"/>
                <w:color w:val="262626"/>
                <w:sz w:val="18"/>
                <w:szCs w:val="18"/>
              </w:rPr>
              <w:t>5 </w:t>
            </w:r>
          </w:p>
        </w:tc>
        <w:tc>
          <w:tcPr>
            <w:tcW w:w="0" w:type="auto"/>
            <w:shd w:val="clear" w:color="auto" w:fill="auto"/>
            <w:tcMar>
              <w:top w:w="40" w:type="dxa"/>
              <w:left w:w="0" w:type="dxa"/>
              <w:bottom w:w="40" w:type="dxa"/>
              <w:right w:w="20" w:type="dxa"/>
            </w:tcMar>
            <w:vAlign w:val="bottom"/>
          </w:tcPr>
          <w:p w14:paraId="39D989FA" w14:textId="77777777" w:rsidR="00996AD7" w:rsidRDefault="00996AD7">
            <w:pPr>
              <w:jc w:val="right"/>
              <w:rPr>
                <w:rFonts w:ascii="宋体"/>
              </w:rPr>
            </w:pPr>
          </w:p>
        </w:tc>
        <w:tc>
          <w:tcPr>
            <w:tcW w:w="0" w:type="auto"/>
            <w:shd w:val="clear" w:color="auto" w:fill="auto"/>
            <w:vAlign w:val="bottom"/>
          </w:tcPr>
          <w:p w14:paraId="39D989FB" w14:textId="77777777" w:rsidR="00996AD7" w:rsidRDefault="00996AD7">
            <w:pPr>
              <w:rPr>
                <w:rFonts w:ascii="宋体"/>
                <w:vanish/>
              </w:rPr>
            </w:pPr>
          </w:p>
        </w:tc>
        <w:tc>
          <w:tcPr>
            <w:tcW w:w="0" w:type="auto"/>
            <w:shd w:val="clear" w:color="auto" w:fill="auto"/>
            <w:vAlign w:val="bottom"/>
          </w:tcPr>
          <w:p w14:paraId="39D989FC" w14:textId="77777777" w:rsidR="00996AD7" w:rsidRDefault="00996AD7">
            <w:pPr>
              <w:rPr>
                <w:rFonts w:ascii="宋体"/>
                <w:vanish/>
              </w:rPr>
            </w:pPr>
          </w:p>
        </w:tc>
      </w:tr>
      <w:tr w:rsidR="00996AD7" w14:paraId="39D98A21" w14:textId="77777777">
        <w:tc>
          <w:tcPr>
            <w:tcW w:w="0" w:type="auto"/>
            <w:gridSpan w:val="3"/>
            <w:shd w:val="clear" w:color="auto" w:fill="auto"/>
            <w:tcMar>
              <w:top w:w="40" w:type="dxa"/>
              <w:left w:w="20" w:type="dxa"/>
              <w:bottom w:w="40" w:type="dxa"/>
              <w:right w:w="20" w:type="dxa"/>
            </w:tcMar>
          </w:tcPr>
          <w:p w14:paraId="39D989FE" w14:textId="77777777" w:rsidR="00996AD7" w:rsidRDefault="00D96458">
            <w:pPr>
              <w:textAlignment w:val="top"/>
            </w:pPr>
            <w:r>
              <w:rPr>
                <w:rFonts w:ascii="Arial" w:eastAsia="宋体" w:hAnsi="Arial" w:cs="Arial"/>
                <w:b/>
                <w:bCs/>
                <w:color w:val="262626"/>
                <w:sz w:val="18"/>
                <w:szCs w:val="18"/>
              </w:rPr>
              <w:t>Total liabilities measured and recorded at fair value</w:t>
            </w:r>
          </w:p>
        </w:tc>
        <w:tc>
          <w:tcPr>
            <w:tcW w:w="0" w:type="auto"/>
            <w:gridSpan w:val="3"/>
            <w:shd w:val="clear" w:color="auto" w:fill="auto"/>
            <w:tcMar>
              <w:top w:w="0" w:type="dxa"/>
              <w:left w:w="20" w:type="dxa"/>
              <w:bottom w:w="0" w:type="dxa"/>
              <w:right w:w="20" w:type="dxa"/>
            </w:tcMar>
            <w:vAlign w:val="bottom"/>
          </w:tcPr>
          <w:p w14:paraId="39D989FF"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A00"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A01" w14:textId="77777777" w:rsidR="00996AD7" w:rsidRDefault="00D96458">
            <w:pPr>
              <w:jc w:val="right"/>
              <w:textAlignment w:val="bottom"/>
            </w:pPr>
            <w:r>
              <w:rPr>
                <w:rFonts w:ascii="Arial" w:eastAsia="宋体" w:hAnsi="Arial" w:cs="Arial"/>
                <w:b/>
                <w:bCs/>
                <w:color w:val="0068B5"/>
                <w:sz w:val="18"/>
                <w:szCs w:val="18"/>
              </w:rPr>
              <w:t>29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A0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03"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A04"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A05" w14:textId="77777777" w:rsidR="00996AD7" w:rsidRDefault="00D96458">
            <w:pPr>
              <w:jc w:val="right"/>
              <w:textAlignment w:val="bottom"/>
            </w:pPr>
            <w:r>
              <w:rPr>
                <w:rFonts w:ascii="Arial" w:eastAsia="宋体" w:hAnsi="Arial" w:cs="Arial"/>
                <w:b/>
                <w:bCs/>
                <w:color w:val="0068B5"/>
                <w:sz w:val="18"/>
                <w:szCs w:val="18"/>
              </w:rPr>
              <w:t>536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A0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07"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A08"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A09" w14:textId="77777777" w:rsidR="00996AD7" w:rsidRDefault="00D9645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A0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0B"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A0C"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A0D" w14:textId="77777777" w:rsidR="00996AD7" w:rsidRDefault="00D96458">
            <w:pPr>
              <w:jc w:val="right"/>
              <w:textAlignment w:val="bottom"/>
            </w:pPr>
            <w:r>
              <w:rPr>
                <w:rFonts w:ascii="Arial" w:eastAsia="宋体" w:hAnsi="Arial" w:cs="Arial"/>
                <w:b/>
                <w:bCs/>
                <w:color w:val="0068B5"/>
                <w:sz w:val="18"/>
                <w:szCs w:val="18"/>
              </w:rPr>
              <w:t>565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A0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0F"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A10"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A11" w14:textId="77777777" w:rsidR="00996AD7" w:rsidRDefault="00D9645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A1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13"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A14"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A15" w14:textId="77777777" w:rsidR="00996AD7" w:rsidRDefault="00D96458">
            <w:pPr>
              <w:jc w:val="right"/>
              <w:textAlignment w:val="bottom"/>
            </w:pPr>
            <w:r>
              <w:rPr>
                <w:rFonts w:ascii="Arial" w:eastAsia="宋体" w:hAnsi="Arial" w:cs="Arial"/>
                <w:b/>
                <w:bCs/>
                <w:color w:val="262626"/>
                <w:sz w:val="18"/>
                <w:szCs w:val="18"/>
              </w:rPr>
              <w:t>815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A1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17"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A18"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A19" w14:textId="77777777" w:rsidR="00996AD7" w:rsidRDefault="00D9645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A1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1B"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A1C"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A1D" w14:textId="77777777" w:rsidR="00996AD7" w:rsidRDefault="00D96458">
            <w:pPr>
              <w:jc w:val="right"/>
              <w:textAlignment w:val="bottom"/>
            </w:pPr>
            <w:r>
              <w:rPr>
                <w:rFonts w:ascii="Arial" w:eastAsia="宋体" w:hAnsi="Arial" w:cs="Arial"/>
                <w:b/>
                <w:bCs/>
                <w:color w:val="262626"/>
                <w:sz w:val="18"/>
                <w:szCs w:val="18"/>
              </w:rPr>
              <w:t>815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A1E" w14:textId="77777777" w:rsidR="00996AD7" w:rsidRDefault="00996AD7">
            <w:pPr>
              <w:jc w:val="right"/>
              <w:rPr>
                <w:rFonts w:ascii="宋体"/>
              </w:rPr>
            </w:pPr>
          </w:p>
        </w:tc>
        <w:tc>
          <w:tcPr>
            <w:tcW w:w="0" w:type="auto"/>
            <w:shd w:val="clear" w:color="auto" w:fill="auto"/>
            <w:vAlign w:val="bottom"/>
          </w:tcPr>
          <w:p w14:paraId="39D98A1F" w14:textId="77777777" w:rsidR="00996AD7" w:rsidRDefault="00996AD7">
            <w:pPr>
              <w:rPr>
                <w:rFonts w:ascii="宋体"/>
                <w:vanish/>
              </w:rPr>
            </w:pPr>
          </w:p>
        </w:tc>
        <w:tc>
          <w:tcPr>
            <w:tcW w:w="0" w:type="auto"/>
            <w:shd w:val="clear" w:color="auto" w:fill="auto"/>
            <w:vAlign w:val="bottom"/>
          </w:tcPr>
          <w:p w14:paraId="39D98A20" w14:textId="77777777" w:rsidR="00996AD7" w:rsidRDefault="00996AD7">
            <w:pPr>
              <w:rPr>
                <w:rFonts w:ascii="宋体"/>
                <w:vanish/>
              </w:rPr>
            </w:pPr>
          </w:p>
        </w:tc>
      </w:tr>
    </w:tbl>
    <w:p w14:paraId="39D98A22" w14:textId="77777777" w:rsidR="00996AD7" w:rsidRDefault="00D96458">
      <w:pPr>
        <w:ind w:hanging="180"/>
      </w:pPr>
      <w:r>
        <w:rPr>
          <w:rFonts w:ascii="Arial" w:eastAsia="宋体" w:hAnsi="Arial" w:cs="Arial"/>
          <w:i/>
          <w:iCs/>
          <w:color w:val="262626"/>
          <w:sz w:val="10"/>
          <w:szCs w:val="10"/>
        </w:rPr>
        <w:t>1</w:t>
      </w:r>
      <w:r>
        <w:rPr>
          <w:rFonts w:ascii="Arial" w:eastAsia="宋体" w:hAnsi="Arial" w:cs="Arial"/>
          <w:i/>
          <w:iCs/>
          <w:color w:val="262626"/>
          <w:sz w:val="16"/>
          <w:szCs w:val="16"/>
        </w:rPr>
        <w:t>Level 1 investments consist of money market funds. Level 2 investments consist primarily of commercial paper, certificates of deposit, time deposits, and notes and bonds issued by financial institutions.</w:t>
      </w:r>
    </w:p>
    <w:p w14:paraId="39D98A23" w14:textId="77777777" w:rsidR="00996AD7" w:rsidRDefault="00D96458">
      <w:pPr>
        <w:ind w:hanging="180"/>
      </w:pPr>
      <w:r>
        <w:rPr>
          <w:rFonts w:ascii="Arial" w:eastAsia="宋体" w:hAnsi="Arial" w:cs="Arial"/>
          <w:i/>
          <w:iCs/>
          <w:color w:val="262626"/>
          <w:sz w:val="10"/>
          <w:szCs w:val="10"/>
        </w:rPr>
        <w:t>2</w:t>
      </w:r>
      <w:r>
        <w:rPr>
          <w:rFonts w:ascii="Arial" w:eastAsia="宋体" w:hAnsi="Arial" w:cs="Arial"/>
          <w:i/>
          <w:iCs/>
          <w:color w:val="262626"/>
          <w:sz w:val="16"/>
          <w:szCs w:val="16"/>
        </w:rPr>
        <w:t xml:space="preserve">Level 1 </w:t>
      </w:r>
      <w:r>
        <w:rPr>
          <w:rFonts w:ascii="Arial" w:eastAsia="宋体" w:hAnsi="Arial" w:cs="Arial"/>
          <w:i/>
          <w:iCs/>
          <w:color w:val="262626"/>
          <w:sz w:val="16"/>
          <w:szCs w:val="16"/>
        </w:rPr>
        <w:t>investments consist primarily of U.S. Treasury securities. Level 2 investments consist primarily of U.S. agency notes and non-U.S. government debt.</w:t>
      </w:r>
    </w:p>
    <w:p w14:paraId="39D98A24" w14:textId="77777777" w:rsidR="00996AD7" w:rsidRDefault="00D96458">
      <w:pPr>
        <w:spacing w:after="180"/>
        <w:ind w:hanging="180"/>
      </w:pPr>
      <w:r>
        <w:rPr>
          <w:rFonts w:ascii="Arial" w:eastAsia="宋体" w:hAnsi="Arial" w:cs="Arial"/>
          <w:i/>
          <w:iCs/>
          <w:color w:val="262626"/>
          <w:sz w:val="10"/>
          <w:szCs w:val="10"/>
        </w:rPr>
        <w:t>3</w:t>
      </w:r>
      <w:r>
        <w:rPr>
          <w:rFonts w:ascii="Arial" w:eastAsia="宋体" w:hAnsi="Arial" w:cs="Arial"/>
          <w:i/>
          <w:iCs/>
          <w:color w:val="262626"/>
          <w:sz w:val="16"/>
          <w:szCs w:val="16"/>
        </w:rPr>
        <w:t>The fair value of our loans receivable for which we elected the fair value option did not significantly dif</w:t>
      </w:r>
      <w:r>
        <w:rPr>
          <w:rFonts w:ascii="Arial" w:eastAsia="宋体" w:hAnsi="Arial" w:cs="Arial"/>
          <w:i/>
          <w:iCs/>
          <w:color w:val="262626"/>
          <w:sz w:val="16"/>
          <w:szCs w:val="16"/>
        </w:rPr>
        <w:t>fer from the contractual principal balance.</w:t>
      </w:r>
    </w:p>
    <w:p w14:paraId="39D98A25" w14:textId="77777777" w:rsidR="00996AD7" w:rsidRDefault="00D96458">
      <w:pPr>
        <w:spacing w:after="180"/>
      </w:pPr>
      <w:r>
        <w:rPr>
          <w:rFonts w:ascii="Arial" w:eastAsia="宋体" w:hAnsi="Arial" w:cs="Arial"/>
          <w:color w:val="0068B5"/>
        </w:rPr>
        <w:t>Assets Measured and Recorded at Fair Value on a Non-Recurring Basis</w:t>
      </w:r>
    </w:p>
    <w:p w14:paraId="39D98A26" w14:textId="77777777" w:rsidR="00996AD7" w:rsidRDefault="00D96458">
      <w:pPr>
        <w:spacing w:after="180"/>
      </w:pPr>
      <w:r>
        <w:rPr>
          <w:rFonts w:ascii="Arial" w:eastAsia="宋体" w:hAnsi="Arial" w:cs="Arial"/>
          <w:color w:val="262626"/>
          <w:sz w:val="18"/>
          <w:szCs w:val="18"/>
        </w:rPr>
        <w:t>Our non-marketable equity securities, equity method investments, and certain non-financial assets, such as intangible assets and property, plant and equipment, are recorded at fair value only if an impairment or observable price adjustment is recognized in</w:t>
      </w:r>
      <w:r>
        <w:rPr>
          <w:rFonts w:ascii="Arial" w:eastAsia="宋体" w:hAnsi="Arial" w:cs="Arial"/>
          <w:color w:val="262626"/>
          <w:sz w:val="18"/>
          <w:szCs w:val="18"/>
        </w:rPr>
        <w:t xml:space="preserve"> the current period. If an observable price adjustment or impairment is recognized on our non-marketable equity securities during the period, we classify these assets as Level 3. </w:t>
      </w:r>
    </w:p>
    <w:p w14:paraId="39D98A27" w14:textId="77777777" w:rsidR="00996AD7" w:rsidRDefault="00996AD7">
      <w:pPr>
        <w:spacing w:after="180"/>
      </w:pPr>
    </w:p>
    <w:p w14:paraId="39D98A28" w14:textId="77777777" w:rsidR="00996AD7" w:rsidRDefault="00996AD7">
      <w:pPr>
        <w:spacing w:after="180"/>
      </w:pPr>
    </w:p>
    <w:p w14:paraId="39D98A29" w14:textId="77777777" w:rsidR="00996AD7" w:rsidRDefault="00996AD7">
      <w:pPr>
        <w:spacing w:after="180"/>
      </w:pPr>
    </w:p>
    <w:p w14:paraId="39D98A2A" w14:textId="77777777" w:rsidR="00996AD7" w:rsidRDefault="00996AD7">
      <w:pPr>
        <w:spacing w:after="180"/>
      </w:pPr>
    </w:p>
    <w:p w14:paraId="39D98A2B" w14:textId="77777777" w:rsidR="00996AD7" w:rsidRDefault="00996AD7">
      <w:pPr>
        <w:spacing w:after="180"/>
      </w:pPr>
    </w:p>
    <w:p w14:paraId="39D98A2C" w14:textId="77777777" w:rsidR="00996AD7" w:rsidRDefault="00996AD7">
      <w:pPr>
        <w:spacing w:after="180"/>
      </w:pPr>
    </w:p>
    <w:p w14:paraId="39D98A2D"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8A3A" w14:textId="77777777">
        <w:tc>
          <w:tcPr>
            <w:tcW w:w="50" w:type="pct"/>
            <w:shd w:val="clear" w:color="auto" w:fill="auto"/>
            <w:vAlign w:val="bottom"/>
          </w:tcPr>
          <w:p w14:paraId="39D98A2E" w14:textId="77777777" w:rsidR="00996AD7" w:rsidRDefault="00996AD7">
            <w:pPr>
              <w:rPr>
                <w:rFonts w:ascii="宋体"/>
              </w:rPr>
            </w:pPr>
          </w:p>
        </w:tc>
        <w:tc>
          <w:tcPr>
            <w:tcW w:w="238" w:type="pct"/>
            <w:shd w:val="clear" w:color="auto" w:fill="auto"/>
            <w:vAlign w:val="bottom"/>
          </w:tcPr>
          <w:p w14:paraId="39D98A2F" w14:textId="77777777" w:rsidR="00996AD7" w:rsidRDefault="00996AD7">
            <w:pPr>
              <w:rPr>
                <w:rFonts w:ascii="宋体"/>
              </w:rPr>
            </w:pPr>
          </w:p>
        </w:tc>
        <w:tc>
          <w:tcPr>
            <w:tcW w:w="5" w:type="pct"/>
            <w:shd w:val="clear" w:color="auto" w:fill="auto"/>
            <w:vAlign w:val="bottom"/>
          </w:tcPr>
          <w:p w14:paraId="39D98A30" w14:textId="77777777" w:rsidR="00996AD7" w:rsidRDefault="00996AD7">
            <w:pPr>
              <w:rPr>
                <w:rFonts w:ascii="宋体"/>
              </w:rPr>
            </w:pPr>
          </w:p>
        </w:tc>
        <w:tc>
          <w:tcPr>
            <w:tcW w:w="50" w:type="pct"/>
            <w:shd w:val="clear" w:color="auto" w:fill="auto"/>
            <w:vAlign w:val="bottom"/>
          </w:tcPr>
          <w:p w14:paraId="39D98A31" w14:textId="77777777" w:rsidR="00996AD7" w:rsidRDefault="00996AD7">
            <w:pPr>
              <w:rPr>
                <w:rFonts w:ascii="宋体"/>
              </w:rPr>
            </w:pPr>
          </w:p>
        </w:tc>
        <w:tc>
          <w:tcPr>
            <w:tcW w:w="983" w:type="pct"/>
            <w:shd w:val="clear" w:color="auto" w:fill="auto"/>
            <w:vAlign w:val="bottom"/>
          </w:tcPr>
          <w:p w14:paraId="39D98A32" w14:textId="77777777" w:rsidR="00996AD7" w:rsidRDefault="00996AD7">
            <w:pPr>
              <w:rPr>
                <w:rFonts w:ascii="宋体"/>
              </w:rPr>
            </w:pPr>
          </w:p>
        </w:tc>
        <w:tc>
          <w:tcPr>
            <w:tcW w:w="5" w:type="pct"/>
            <w:shd w:val="clear" w:color="auto" w:fill="auto"/>
            <w:vAlign w:val="bottom"/>
          </w:tcPr>
          <w:p w14:paraId="39D98A33" w14:textId="77777777" w:rsidR="00996AD7" w:rsidRDefault="00996AD7">
            <w:pPr>
              <w:rPr>
                <w:rFonts w:ascii="宋体"/>
              </w:rPr>
            </w:pPr>
          </w:p>
        </w:tc>
        <w:tc>
          <w:tcPr>
            <w:tcW w:w="50" w:type="pct"/>
            <w:shd w:val="clear" w:color="auto" w:fill="auto"/>
            <w:vAlign w:val="bottom"/>
          </w:tcPr>
          <w:p w14:paraId="39D98A34" w14:textId="77777777" w:rsidR="00996AD7" w:rsidRDefault="00996AD7">
            <w:pPr>
              <w:rPr>
                <w:rFonts w:ascii="宋体"/>
              </w:rPr>
            </w:pPr>
          </w:p>
        </w:tc>
        <w:tc>
          <w:tcPr>
            <w:tcW w:w="2035" w:type="pct"/>
            <w:shd w:val="clear" w:color="auto" w:fill="auto"/>
            <w:vAlign w:val="bottom"/>
          </w:tcPr>
          <w:p w14:paraId="39D98A35" w14:textId="77777777" w:rsidR="00996AD7" w:rsidRDefault="00996AD7">
            <w:pPr>
              <w:rPr>
                <w:rFonts w:ascii="宋体"/>
              </w:rPr>
            </w:pPr>
          </w:p>
        </w:tc>
        <w:tc>
          <w:tcPr>
            <w:tcW w:w="5" w:type="pct"/>
            <w:shd w:val="clear" w:color="auto" w:fill="auto"/>
            <w:vAlign w:val="bottom"/>
          </w:tcPr>
          <w:p w14:paraId="39D98A36" w14:textId="77777777" w:rsidR="00996AD7" w:rsidRDefault="00996AD7">
            <w:pPr>
              <w:rPr>
                <w:rFonts w:ascii="宋体"/>
              </w:rPr>
            </w:pPr>
          </w:p>
        </w:tc>
        <w:tc>
          <w:tcPr>
            <w:tcW w:w="50" w:type="pct"/>
            <w:shd w:val="clear" w:color="auto" w:fill="auto"/>
            <w:vAlign w:val="bottom"/>
          </w:tcPr>
          <w:p w14:paraId="39D98A37" w14:textId="77777777" w:rsidR="00996AD7" w:rsidRDefault="00996AD7">
            <w:pPr>
              <w:rPr>
                <w:rFonts w:ascii="宋体"/>
              </w:rPr>
            </w:pPr>
          </w:p>
        </w:tc>
        <w:tc>
          <w:tcPr>
            <w:tcW w:w="1522" w:type="pct"/>
            <w:shd w:val="clear" w:color="auto" w:fill="auto"/>
            <w:vAlign w:val="bottom"/>
          </w:tcPr>
          <w:p w14:paraId="39D98A38" w14:textId="77777777" w:rsidR="00996AD7" w:rsidRDefault="00996AD7">
            <w:pPr>
              <w:rPr>
                <w:rFonts w:ascii="宋体"/>
              </w:rPr>
            </w:pPr>
          </w:p>
        </w:tc>
        <w:tc>
          <w:tcPr>
            <w:tcW w:w="5" w:type="pct"/>
            <w:shd w:val="clear" w:color="auto" w:fill="auto"/>
            <w:vAlign w:val="bottom"/>
          </w:tcPr>
          <w:p w14:paraId="39D98A39" w14:textId="77777777" w:rsidR="00996AD7" w:rsidRDefault="00996AD7">
            <w:pPr>
              <w:rPr>
                <w:rFonts w:ascii="宋体"/>
              </w:rPr>
            </w:pPr>
          </w:p>
        </w:tc>
      </w:tr>
      <w:tr w:rsidR="00996AD7" w14:paraId="39D98A3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A3B"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C0" wp14:editId="39D9A3C1">
                  <wp:extent cx="304800" cy="304800"/>
                  <wp:effectExtent l="0" t="0" r="0" b="0"/>
                  <wp:docPr id="17" name="图片 69"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9"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A3C"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8A3D"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A3E" w14:textId="77777777" w:rsidR="00996AD7" w:rsidRDefault="00D96458">
            <w:pPr>
              <w:jc w:val="right"/>
              <w:textAlignment w:val="center"/>
            </w:pPr>
            <w:r>
              <w:rPr>
                <w:rFonts w:ascii="Arial" w:eastAsia="宋体" w:hAnsi="Arial" w:cs="Arial"/>
                <w:color w:val="262626"/>
                <w:sz w:val="16"/>
                <w:szCs w:val="16"/>
              </w:rPr>
              <w:t>15</w:t>
            </w:r>
          </w:p>
        </w:tc>
      </w:tr>
    </w:tbl>
    <w:p w14:paraId="39D98A40" w14:textId="77777777" w:rsidR="00996AD7" w:rsidRDefault="00D96458">
      <w:r>
        <w:pict w14:anchorId="39D9A3C2">
          <v:rect id="_x0000_i1041" style="width:415.3pt;height:1.5pt" o:hralign="center" o:hrstd="t" o:hr="t" fillcolor="#a0a0a0" stroked="f"/>
        </w:pict>
      </w:r>
    </w:p>
    <w:p w14:paraId="39D98A41" w14:textId="77777777" w:rsidR="00996AD7" w:rsidRDefault="00D96458">
      <w:pPr>
        <w:spacing w:after="180"/>
        <w:jc w:val="right"/>
      </w:pPr>
      <w:hyperlink r:id="rId42" w:anchor="i94e6cc3aa83643b8b968bd5bab038338_7" w:history="1">
        <w:r>
          <w:rPr>
            <w:rStyle w:val="a5"/>
            <w:rFonts w:ascii="Arial" w:eastAsia="宋体" w:hAnsi="Arial" w:cs="Arial"/>
            <w:b/>
            <w:bCs/>
            <w:color w:val="0068B5"/>
            <w:sz w:val="16"/>
            <w:szCs w:val="16"/>
          </w:rPr>
          <w:t>Table of Contents</w:t>
        </w:r>
      </w:hyperlink>
    </w:p>
    <w:p w14:paraId="39D98A42" w14:textId="77777777" w:rsidR="00996AD7" w:rsidRDefault="00996AD7">
      <w:pPr>
        <w:spacing w:after="180"/>
        <w:jc w:val="right"/>
      </w:pPr>
    </w:p>
    <w:p w14:paraId="39D98A43" w14:textId="77777777" w:rsidR="00996AD7" w:rsidRDefault="00D96458">
      <w:pPr>
        <w:spacing w:after="180"/>
      </w:pPr>
      <w:r>
        <w:rPr>
          <w:rFonts w:ascii="Arial" w:eastAsia="宋体" w:hAnsi="Arial" w:cs="Arial"/>
          <w:color w:val="0068B5"/>
        </w:rPr>
        <w:t>Financial Instruments Not Recorded at Fair Value on a Recurring Basis</w:t>
      </w:r>
    </w:p>
    <w:p w14:paraId="39D98A44" w14:textId="77777777" w:rsidR="00996AD7" w:rsidRDefault="00D96458">
      <w:pPr>
        <w:spacing w:after="180"/>
      </w:pPr>
      <w:r>
        <w:rPr>
          <w:rFonts w:ascii="Arial" w:eastAsia="宋体" w:hAnsi="Arial" w:cs="Arial"/>
          <w:color w:val="262626"/>
          <w:sz w:val="18"/>
          <w:szCs w:val="18"/>
        </w:rPr>
        <w:t>Financial instruments not recorded at fair value on a recurring basis include non-marketable equity securities and equity method investments that have not been remeasured or impaired in the current period, grants receivable, and issued debt.</w:t>
      </w:r>
    </w:p>
    <w:p w14:paraId="39D98A45" w14:textId="77777777" w:rsidR="00996AD7" w:rsidRDefault="00D96458">
      <w:pPr>
        <w:spacing w:after="180"/>
      </w:pPr>
      <w:r>
        <w:rPr>
          <w:rFonts w:ascii="Arial" w:eastAsia="宋体" w:hAnsi="Arial" w:cs="Arial"/>
          <w:color w:val="262626"/>
          <w:sz w:val="18"/>
          <w:szCs w:val="18"/>
        </w:rPr>
        <w:t>We classify th</w:t>
      </w:r>
      <w:r>
        <w:rPr>
          <w:rFonts w:ascii="Arial" w:eastAsia="宋体" w:hAnsi="Arial" w:cs="Arial"/>
          <w:color w:val="262626"/>
          <w:sz w:val="18"/>
          <w:szCs w:val="18"/>
        </w:rPr>
        <w:t>e fair value of grants receivable as Level 2. The estimated fair value of these financial instruments approximates their carrying value. The aggregate carrying value of grants receivable as of September 25, 2021 was $399 million (the aggregate carrying val</w:t>
      </w:r>
      <w:r>
        <w:rPr>
          <w:rFonts w:ascii="Arial" w:eastAsia="宋体" w:hAnsi="Arial" w:cs="Arial"/>
          <w:color w:val="262626"/>
          <w:sz w:val="18"/>
          <w:szCs w:val="18"/>
        </w:rPr>
        <w:t>ue of grants receivable as of December 26, 2020 was $139 million).</w:t>
      </w:r>
    </w:p>
    <w:p w14:paraId="39D98A46" w14:textId="77777777" w:rsidR="00996AD7" w:rsidRDefault="00D96458">
      <w:pPr>
        <w:spacing w:after="180"/>
      </w:pPr>
      <w:r>
        <w:rPr>
          <w:rFonts w:ascii="Arial" w:eastAsia="宋体" w:hAnsi="Arial" w:cs="Arial"/>
          <w:color w:val="262626"/>
          <w:sz w:val="18"/>
          <w:szCs w:val="18"/>
        </w:rPr>
        <w:t>We classify the fair value of issued debt (excluding commercial paper and drafts payable) as Level 2. The fair value of these instruments was $44.6 billion as of September 25, 2021 ($40.9 b</w:t>
      </w:r>
      <w:r>
        <w:rPr>
          <w:rFonts w:ascii="Arial" w:eastAsia="宋体" w:hAnsi="Arial" w:cs="Arial"/>
          <w:color w:val="262626"/>
          <w:sz w:val="18"/>
          <w:szCs w:val="18"/>
        </w:rPr>
        <w:t xml:space="preserve">illion as of December 26, 2020).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996AD7" w14:paraId="39D98A4D" w14:textId="77777777">
        <w:tc>
          <w:tcPr>
            <w:tcW w:w="50" w:type="pct"/>
            <w:shd w:val="clear" w:color="auto" w:fill="auto"/>
            <w:vAlign w:val="bottom"/>
          </w:tcPr>
          <w:p w14:paraId="39D98A47" w14:textId="77777777" w:rsidR="00996AD7" w:rsidRDefault="00996AD7">
            <w:pPr>
              <w:rPr>
                <w:rFonts w:ascii="宋体"/>
              </w:rPr>
            </w:pPr>
          </w:p>
        </w:tc>
        <w:tc>
          <w:tcPr>
            <w:tcW w:w="511" w:type="pct"/>
            <w:shd w:val="clear" w:color="auto" w:fill="auto"/>
            <w:vAlign w:val="bottom"/>
          </w:tcPr>
          <w:p w14:paraId="39D98A48" w14:textId="77777777" w:rsidR="00996AD7" w:rsidRDefault="00996AD7">
            <w:pPr>
              <w:rPr>
                <w:rFonts w:ascii="宋体"/>
              </w:rPr>
            </w:pPr>
          </w:p>
        </w:tc>
        <w:tc>
          <w:tcPr>
            <w:tcW w:w="5" w:type="pct"/>
            <w:shd w:val="clear" w:color="auto" w:fill="auto"/>
            <w:vAlign w:val="bottom"/>
          </w:tcPr>
          <w:p w14:paraId="39D98A49" w14:textId="77777777" w:rsidR="00996AD7" w:rsidRDefault="00996AD7">
            <w:pPr>
              <w:rPr>
                <w:rFonts w:ascii="宋体"/>
              </w:rPr>
            </w:pPr>
          </w:p>
        </w:tc>
        <w:tc>
          <w:tcPr>
            <w:tcW w:w="50" w:type="pct"/>
            <w:shd w:val="clear" w:color="auto" w:fill="auto"/>
            <w:vAlign w:val="bottom"/>
          </w:tcPr>
          <w:p w14:paraId="39D98A4A" w14:textId="77777777" w:rsidR="00996AD7" w:rsidRDefault="00996AD7">
            <w:pPr>
              <w:rPr>
                <w:rFonts w:ascii="宋体"/>
              </w:rPr>
            </w:pPr>
          </w:p>
        </w:tc>
        <w:tc>
          <w:tcPr>
            <w:tcW w:w="4378" w:type="pct"/>
            <w:shd w:val="clear" w:color="auto" w:fill="auto"/>
            <w:vAlign w:val="bottom"/>
          </w:tcPr>
          <w:p w14:paraId="39D98A4B" w14:textId="77777777" w:rsidR="00996AD7" w:rsidRDefault="00996AD7">
            <w:pPr>
              <w:rPr>
                <w:rFonts w:ascii="宋体"/>
              </w:rPr>
            </w:pPr>
          </w:p>
        </w:tc>
        <w:tc>
          <w:tcPr>
            <w:tcW w:w="5" w:type="pct"/>
            <w:shd w:val="clear" w:color="auto" w:fill="auto"/>
            <w:vAlign w:val="bottom"/>
          </w:tcPr>
          <w:p w14:paraId="39D98A4C" w14:textId="77777777" w:rsidR="00996AD7" w:rsidRDefault="00996AD7">
            <w:pPr>
              <w:rPr>
                <w:rFonts w:ascii="宋体"/>
              </w:rPr>
            </w:pPr>
          </w:p>
        </w:tc>
      </w:tr>
      <w:tr w:rsidR="00996AD7" w14:paraId="39D98A50"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39D98A4E" w14:textId="77777777" w:rsidR="00996AD7" w:rsidRDefault="00D96458">
            <w:pPr>
              <w:textAlignment w:val="bottom"/>
            </w:pPr>
            <w:r>
              <w:rPr>
                <w:rFonts w:ascii="Arial" w:eastAsia="宋体" w:hAnsi="Arial" w:cs="Arial"/>
                <w:color w:val="FFFFFF"/>
                <w:sz w:val="28"/>
                <w:szCs w:val="28"/>
              </w:rPr>
              <w:t xml:space="preserve">Note 11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8A4F" w14:textId="77777777" w:rsidR="00996AD7" w:rsidRDefault="00D96458">
            <w:pPr>
              <w:textAlignment w:val="bottom"/>
            </w:pPr>
            <w:r>
              <w:rPr>
                <w:rFonts w:ascii="Arial" w:eastAsia="宋体" w:hAnsi="Arial" w:cs="Arial"/>
                <w:color w:val="0068B5"/>
                <w:sz w:val="28"/>
                <w:szCs w:val="28"/>
              </w:rPr>
              <w:t>Other Comprehensive Income (Loss)</w:t>
            </w:r>
          </w:p>
        </w:tc>
      </w:tr>
    </w:tbl>
    <w:p w14:paraId="39D98A51" w14:textId="77777777" w:rsidR="00996AD7" w:rsidRDefault="00D96458">
      <w:pPr>
        <w:spacing w:after="120"/>
      </w:pPr>
      <w:r>
        <w:rPr>
          <w:rFonts w:ascii="Arial" w:eastAsia="宋体" w:hAnsi="Arial" w:cs="Arial"/>
          <w:color w:val="262626"/>
          <w:sz w:val="18"/>
          <w:szCs w:val="18"/>
        </w:rPr>
        <w:t>The changes in accumulated other comprehensive income (loss) by component and related tax effects in the first nine months of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749"/>
        <w:gridCol w:w="39"/>
        <w:gridCol w:w="36"/>
        <w:gridCol w:w="36"/>
        <w:gridCol w:w="36"/>
        <w:gridCol w:w="36"/>
        <w:gridCol w:w="36"/>
        <w:gridCol w:w="36"/>
        <w:gridCol w:w="36"/>
        <w:gridCol w:w="122"/>
        <w:gridCol w:w="907"/>
        <w:gridCol w:w="36"/>
        <w:gridCol w:w="36"/>
        <w:gridCol w:w="36"/>
        <w:gridCol w:w="36"/>
        <w:gridCol w:w="122"/>
        <w:gridCol w:w="798"/>
        <w:gridCol w:w="36"/>
        <w:gridCol w:w="36"/>
        <w:gridCol w:w="36"/>
        <w:gridCol w:w="36"/>
        <w:gridCol w:w="122"/>
        <w:gridCol w:w="1025"/>
        <w:gridCol w:w="36"/>
        <w:gridCol w:w="36"/>
        <w:gridCol w:w="36"/>
        <w:gridCol w:w="36"/>
        <w:gridCol w:w="121"/>
        <w:gridCol w:w="571"/>
        <w:gridCol w:w="36"/>
      </w:tblGrid>
      <w:tr w:rsidR="00996AD7" w14:paraId="39D98A71" w14:textId="77777777">
        <w:tc>
          <w:tcPr>
            <w:tcW w:w="50" w:type="pct"/>
            <w:shd w:val="clear" w:color="auto" w:fill="auto"/>
            <w:vAlign w:val="bottom"/>
          </w:tcPr>
          <w:p w14:paraId="39D98A52" w14:textId="77777777" w:rsidR="00996AD7" w:rsidRDefault="00996AD7">
            <w:pPr>
              <w:rPr>
                <w:rFonts w:ascii="宋体"/>
              </w:rPr>
            </w:pPr>
          </w:p>
        </w:tc>
        <w:tc>
          <w:tcPr>
            <w:tcW w:w="2458" w:type="pct"/>
            <w:shd w:val="clear" w:color="auto" w:fill="auto"/>
            <w:vAlign w:val="bottom"/>
          </w:tcPr>
          <w:p w14:paraId="39D98A53" w14:textId="77777777" w:rsidR="00996AD7" w:rsidRDefault="00996AD7">
            <w:pPr>
              <w:rPr>
                <w:rFonts w:ascii="宋体"/>
              </w:rPr>
            </w:pPr>
          </w:p>
        </w:tc>
        <w:tc>
          <w:tcPr>
            <w:tcW w:w="5" w:type="pct"/>
            <w:shd w:val="clear" w:color="auto" w:fill="auto"/>
            <w:vAlign w:val="bottom"/>
          </w:tcPr>
          <w:p w14:paraId="39D98A54" w14:textId="77777777" w:rsidR="00996AD7" w:rsidRDefault="00996AD7">
            <w:pPr>
              <w:rPr>
                <w:rFonts w:ascii="宋体"/>
              </w:rPr>
            </w:pPr>
          </w:p>
        </w:tc>
        <w:tc>
          <w:tcPr>
            <w:tcW w:w="0" w:type="auto"/>
            <w:shd w:val="clear" w:color="auto" w:fill="auto"/>
            <w:vAlign w:val="bottom"/>
          </w:tcPr>
          <w:p w14:paraId="39D98A55" w14:textId="77777777" w:rsidR="00996AD7" w:rsidRDefault="00996AD7">
            <w:pPr>
              <w:rPr>
                <w:rFonts w:ascii="宋体"/>
                <w:vanish/>
              </w:rPr>
            </w:pPr>
          </w:p>
        </w:tc>
        <w:tc>
          <w:tcPr>
            <w:tcW w:w="0" w:type="auto"/>
            <w:shd w:val="clear" w:color="auto" w:fill="auto"/>
            <w:vAlign w:val="bottom"/>
          </w:tcPr>
          <w:p w14:paraId="39D98A56" w14:textId="77777777" w:rsidR="00996AD7" w:rsidRDefault="00996AD7">
            <w:pPr>
              <w:rPr>
                <w:rFonts w:ascii="宋体"/>
                <w:vanish/>
              </w:rPr>
            </w:pPr>
          </w:p>
        </w:tc>
        <w:tc>
          <w:tcPr>
            <w:tcW w:w="0" w:type="auto"/>
            <w:shd w:val="clear" w:color="auto" w:fill="auto"/>
            <w:vAlign w:val="bottom"/>
          </w:tcPr>
          <w:p w14:paraId="39D98A57" w14:textId="77777777" w:rsidR="00996AD7" w:rsidRDefault="00996AD7">
            <w:pPr>
              <w:rPr>
                <w:rFonts w:ascii="宋体"/>
                <w:vanish/>
              </w:rPr>
            </w:pPr>
          </w:p>
        </w:tc>
        <w:tc>
          <w:tcPr>
            <w:tcW w:w="0" w:type="auto"/>
            <w:shd w:val="clear" w:color="auto" w:fill="auto"/>
            <w:vAlign w:val="bottom"/>
          </w:tcPr>
          <w:p w14:paraId="39D98A58" w14:textId="77777777" w:rsidR="00996AD7" w:rsidRDefault="00996AD7">
            <w:pPr>
              <w:rPr>
                <w:rFonts w:ascii="宋体"/>
                <w:vanish/>
              </w:rPr>
            </w:pPr>
          </w:p>
        </w:tc>
        <w:tc>
          <w:tcPr>
            <w:tcW w:w="5" w:type="pct"/>
            <w:shd w:val="clear" w:color="auto" w:fill="auto"/>
            <w:vAlign w:val="bottom"/>
          </w:tcPr>
          <w:p w14:paraId="39D98A59" w14:textId="77777777" w:rsidR="00996AD7" w:rsidRDefault="00996AD7">
            <w:pPr>
              <w:rPr>
                <w:rFonts w:ascii="宋体"/>
              </w:rPr>
            </w:pPr>
          </w:p>
        </w:tc>
        <w:tc>
          <w:tcPr>
            <w:tcW w:w="24" w:type="pct"/>
            <w:shd w:val="clear" w:color="auto" w:fill="auto"/>
            <w:vAlign w:val="bottom"/>
          </w:tcPr>
          <w:p w14:paraId="39D98A5A" w14:textId="77777777" w:rsidR="00996AD7" w:rsidRDefault="00996AD7">
            <w:pPr>
              <w:rPr>
                <w:rFonts w:ascii="宋体"/>
              </w:rPr>
            </w:pPr>
          </w:p>
        </w:tc>
        <w:tc>
          <w:tcPr>
            <w:tcW w:w="5" w:type="pct"/>
            <w:shd w:val="clear" w:color="auto" w:fill="auto"/>
            <w:vAlign w:val="bottom"/>
          </w:tcPr>
          <w:p w14:paraId="39D98A5B" w14:textId="77777777" w:rsidR="00996AD7" w:rsidRDefault="00996AD7">
            <w:pPr>
              <w:rPr>
                <w:rFonts w:ascii="宋体"/>
              </w:rPr>
            </w:pPr>
          </w:p>
        </w:tc>
        <w:tc>
          <w:tcPr>
            <w:tcW w:w="50" w:type="pct"/>
            <w:shd w:val="clear" w:color="auto" w:fill="auto"/>
            <w:vAlign w:val="bottom"/>
          </w:tcPr>
          <w:p w14:paraId="39D98A5C" w14:textId="77777777" w:rsidR="00996AD7" w:rsidRDefault="00996AD7">
            <w:pPr>
              <w:rPr>
                <w:rFonts w:ascii="宋体"/>
              </w:rPr>
            </w:pPr>
          </w:p>
        </w:tc>
        <w:tc>
          <w:tcPr>
            <w:tcW w:w="532" w:type="pct"/>
            <w:shd w:val="clear" w:color="auto" w:fill="auto"/>
            <w:vAlign w:val="bottom"/>
          </w:tcPr>
          <w:p w14:paraId="39D98A5D" w14:textId="77777777" w:rsidR="00996AD7" w:rsidRDefault="00996AD7">
            <w:pPr>
              <w:rPr>
                <w:rFonts w:ascii="宋体"/>
              </w:rPr>
            </w:pPr>
          </w:p>
        </w:tc>
        <w:tc>
          <w:tcPr>
            <w:tcW w:w="5" w:type="pct"/>
            <w:shd w:val="clear" w:color="auto" w:fill="auto"/>
            <w:vAlign w:val="bottom"/>
          </w:tcPr>
          <w:p w14:paraId="39D98A5E" w14:textId="77777777" w:rsidR="00996AD7" w:rsidRDefault="00996AD7">
            <w:pPr>
              <w:rPr>
                <w:rFonts w:ascii="宋体"/>
              </w:rPr>
            </w:pPr>
          </w:p>
        </w:tc>
        <w:tc>
          <w:tcPr>
            <w:tcW w:w="5" w:type="pct"/>
            <w:shd w:val="clear" w:color="auto" w:fill="auto"/>
            <w:vAlign w:val="bottom"/>
          </w:tcPr>
          <w:p w14:paraId="39D98A5F" w14:textId="77777777" w:rsidR="00996AD7" w:rsidRDefault="00996AD7">
            <w:pPr>
              <w:rPr>
                <w:rFonts w:ascii="宋体"/>
              </w:rPr>
            </w:pPr>
          </w:p>
        </w:tc>
        <w:tc>
          <w:tcPr>
            <w:tcW w:w="24" w:type="pct"/>
            <w:shd w:val="clear" w:color="auto" w:fill="auto"/>
            <w:vAlign w:val="bottom"/>
          </w:tcPr>
          <w:p w14:paraId="39D98A60" w14:textId="77777777" w:rsidR="00996AD7" w:rsidRDefault="00996AD7">
            <w:pPr>
              <w:rPr>
                <w:rFonts w:ascii="宋体"/>
              </w:rPr>
            </w:pPr>
          </w:p>
        </w:tc>
        <w:tc>
          <w:tcPr>
            <w:tcW w:w="5" w:type="pct"/>
            <w:shd w:val="clear" w:color="auto" w:fill="auto"/>
            <w:vAlign w:val="bottom"/>
          </w:tcPr>
          <w:p w14:paraId="39D98A61" w14:textId="77777777" w:rsidR="00996AD7" w:rsidRDefault="00996AD7">
            <w:pPr>
              <w:rPr>
                <w:rFonts w:ascii="宋体"/>
              </w:rPr>
            </w:pPr>
          </w:p>
        </w:tc>
        <w:tc>
          <w:tcPr>
            <w:tcW w:w="50" w:type="pct"/>
            <w:shd w:val="clear" w:color="auto" w:fill="auto"/>
            <w:vAlign w:val="bottom"/>
          </w:tcPr>
          <w:p w14:paraId="39D98A62" w14:textId="77777777" w:rsidR="00996AD7" w:rsidRDefault="00996AD7">
            <w:pPr>
              <w:rPr>
                <w:rFonts w:ascii="宋体"/>
              </w:rPr>
            </w:pPr>
          </w:p>
        </w:tc>
        <w:tc>
          <w:tcPr>
            <w:tcW w:w="532" w:type="pct"/>
            <w:shd w:val="clear" w:color="auto" w:fill="auto"/>
            <w:vAlign w:val="bottom"/>
          </w:tcPr>
          <w:p w14:paraId="39D98A63" w14:textId="77777777" w:rsidR="00996AD7" w:rsidRDefault="00996AD7">
            <w:pPr>
              <w:rPr>
                <w:rFonts w:ascii="宋体"/>
              </w:rPr>
            </w:pPr>
          </w:p>
        </w:tc>
        <w:tc>
          <w:tcPr>
            <w:tcW w:w="5" w:type="pct"/>
            <w:shd w:val="clear" w:color="auto" w:fill="auto"/>
            <w:vAlign w:val="bottom"/>
          </w:tcPr>
          <w:p w14:paraId="39D98A64" w14:textId="77777777" w:rsidR="00996AD7" w:rsidRDefault="00996AD7">
            <w:pPr>
              <w:rPr>
                <w:rFonts w:ascii="宋体"/>
              </w:rPr>
            </w:pPr>
          </w:p>
        </w:tc>
        <w:tc>
          <w:tcPr>
            <w:tcW w:w="5" w:type="pct"/>
            <w:shd w:val="clear" w:color="auto" w:fill="auto"/>
            <w:vAlign w:val="bottom"/>
          </w:tcPr>
          <w:p w14:paraId="39D98A65" w14:textId="77777777" w:rsidR="00996AD7" w:rsidRDefault="00996AD7">
            <w:pPr>
              <w:rPr>
                <w:rFonts w:ascii="宋体"/>
              </w:rPr>
            </w:pPr>
          </w:p>
        </w:tc>
        <w:tc>
          <w:tcPr>
            <w:tcW w:w="24" w:type="pct"/>
            <w:shd w:val="clear" w:color="auto" w:fill="auto"/>
            <w:vAlign w:val="bottom"/>
          </w:tcPr>
          <w:p w14:paraId="39D98A66" w14:textId="77777777" w:rsidR="00996AD7" w:rsidRDefault="00996AD7">
            <w:pPr>
              <w:rPr>
                <w:rFonts w:ascii="宋体"/>
              </w:rPr>
            </w:pPr>
          </w:p>
        </w:tc>
        <w:tc>
          <w:tcPr>
            <w:tcW w:w="5" w:type="pct"/>
            <w:shd w:val="clear" w:color="auto" w:fill="auto"/>
            <w:vAlign w:val="bottom"/>
          </w:tcPr>
          <w:p w14:paraId="39D98A67" w14:textId="77777777" w:rsidR="00996AD7" w:rsidRDefault="00996AD7">
            <w:pPr>
              <w:rPr>
                <w:rFonts w:ascii="宋体"/>
              </w:rPr>
            </w:pPr>
          </w:p>
        </w:tc>
        <w:tc>
          <w:tcPr>
            <w:tcW w:w="50" w:type="pct"/>
            <w:shd w:val="clear" w:color="auto" w:fill="auto"/>
            <w:vAlign w:val="bottom"/>
          </w:tcPr>
          <w:p w14:paraId="39D98A68" w14:textId="77777777" w:rsidR="00996AD7" w:rsidRDefault="00996AD7">
            <w:pPr>
              <w:rPr>
                <w:rFonts w:ascii="宋体"/>
              </w:rPr>
            </w:pPr>
          </w:p>
        </w:tc>
        <w:tc>
          <w:tcPr>
            <w:tcW w:w="532" w:type="pct"/>
            <w:shd w:val="clear" w:color="auto" w:fill="auto"/>
            <w:vAlign w:val="bottom"/>
          </w:tcPr>
          <w:p w14:paraId="39D98A69" w14:textId="77777777" w:rsidR="00996AD7" w:rsidRDefault="00996AD7">
            <w:pPr>
              <w:rPr>
                <w:rFonts w:ascii="宋体"/>
              </w:rPr>
            </w:pPr>
          </w:p>
        </w:tc>
        <w:tc>
          <w:tcPr>
            <w:tcW w:w="5" w:type="pct"/>
            <w:shd w:val="clear" w:color="auto" w:fill="auto"/>
            <w:vAlign w:val="bottom"/>
          </w:tcPr>
          <w:p w14:paraId="39D98A6A" w14:textId="77777777" w:rsidR="00996AD7" w:rsidRDefault="00996AD7">
            <w:pPr>
              <w:rPr>
                <w:rFonts w:ascii="宋体"/>
              </w:rPr>
            </w:pPr>
          </w:p>
        </w:tc>
        <w:tc>
          <w:tcPr>
            <w:tcW w:w="5" w:type="pct"/>
            <w:shd w:val="clear" w:color="auto" w:fill="auto"/>
            <w:vAlign w:val="bottom"/>
          </w:tcPr>
          <w:p w14:paraId="39D98A6B" w14:textId="77777777" w:rsidR="00996AD7" w:rsidRDefault="00996AD7">
            <w:pPr>
              <w:rPr>
                <w:rFonts w:ascii="宋体"/>
              </w:rPr>
            </w:pPr>
          </w:p>
        </w:tc>
        <w:tc>
          <w:tcPr>
            <w:tcW w:w="24" w:type="pct"/>
            <w:shd w:val="clear" w:color="auto" w:fill="auto"/>
            <w:vAlign w:val="bottom"/>
          </w:tcPr>
          <w:p w14:paraId="39D98A6C" w14:textId="77777777" w:rsidR="00996AD7" w:rsidRDefault="00996AD7">
            <w:pPr>
              <w:rPr>
                <w:rFonts w:ascii="宋体"/>
              </w:rPr>
            </w:pPr>
          </w:p>
        </w:tc>
        <w:tc>
          <w:tcPr>
            <w:tcW w:w="5" w:type="pct"/>
            <w:shd w:val="clear" w:color="auto" w:fill="auto"/>
            <w:vAlign w:val="bottom"/>
          </w:tcPr>
          <w:p w14:paraId="39D98A6D" w14:textId="77777777" w:rsidR="00996AD7" w:rsidRDefault="00996AD7">
            <w:pPr>
              <w:rPr>
                <w:rFonts w:ascii="宋体"/>
              </w:rPr>
            </w:pPr>
          </w:p>
        </w:tc>
        <w:tc>
          <w:tcPr>
            <w:tcW w:w="50" w:type="pct"/>
            <w:shd w:val="clear" w:color="auto" w:fill="auto"/>
            <w:vAlign w:val="bottom"/>
          </w:tcPr>
          <w:p w14:paraId="39D98A6E" w14:textId="77777777" w:rsidR="00996AD7" w:rsidRDefault="00996AD7">
            <w:pPr>
              <w:rPr>
                <w:rFonts w:ascii="宋体"/>
              </w:rPr>
            </w:pPr>
          </w:p>
        </w:tc>
        <w:tc>
          <w:tcPr>
            <w:tcW w:w="532" w:type="pct"/>
            <w:shd w:val="clear" w:color="auto" w:fill="auto"/>
            <w:vAlign w:val="bottom"/>
          </w:tcPr>
          <w:p w14:paraId="39D98A6F" w14:textId="77777777" w:rsidR="00996AD7" w:rsidRDefault="00996AD7">
            <w:pPr>
              <w:rPr>
                <w:rFonts w:ascii="宋体"/>
              </w:rPr>
            </w:pPr>
          </w:p>
        </w:tc>
        <w:tc>
          <w:tcPr>
            <w:tcW w:w="5" w:type="pct"/>
            <w:shd w:val="clear" w:color="auto" w:fill="auto"/>
            <w:vAlign w:val="bottom"/>
          </w:tcPr>
          <w:p w14:paraId="39D98A70" w14:textId="77777777" w:rsidR="00996AD7" w:rsidRDefault="00996AD7">
            <w:pPr>
              <w:rPr>
                <w:rFonts w:ascii="宋体"/>
              </w:rPr>
            </w:pPr>
          </w:p>
        </w:tc>
      </w:tr>
      <w:tr w:rsidR="00996AD7" w14:paraId="39D98A7F" w14:textId="77777777">
        <w:tc>
          <w:tcPr>
            <w:tcW w:w="0" w:type="auto"/>
            <w:gridSpan w:val="3"/>
            <w:shd w:val="clear" w:color="auto" w:fill="auto"/>
            <w:tcMar>
              <w:top w:w="40" w:type="dxa"/>
              <w:left w:w="20" w:type="dxa"/>
              <w:bottom w:w="40" w:type="dxa"/>
              <w:right w:w="20" w:type="dxa"/>
            </w:tcMar>
            <w:vAlign w:val="bottom"/>
          </w:tcPr>
          <w:p w14:paraId="39D98A72" w14:textId="77777777" w:rsidR="00996AD7" w:rsidRDefault="00D96458">
            <w:pPr>
              <w:textAlignment w:val="bottom"/>
            </w:pPr>
            <w:r>
              <w:rPr>
                <w:rFonts w:ascii="Arial" w:eastAsia="宋体" w:hAnsi="Arial" w:cs="Arial"/>
                <w:b/>
                <w:bCs/>
                <w:color w:val="262626"/>
                <w:sz w:val="18"/>
                <w:szCs w:val="18"/>
              </w:rPr>
              <w:t>(In Millions)</w:t>
            </w:r>
          </w:p>
        </w:tc>
        <w:tc>
          <w:tcPr>
            <w:tcW w:w="0" w:type="auto"/>
            <w:shd w:val="clear" w:color="auto" w:fill="auto"/>
            <w:vAlign w:val="bottom"/>
          </w:tcPr>
          <w:p w14:paraId="39D98A73" w14:textId="77777777" w:rsidR="00996AD7" w:rsidRDefault="00996AD7">
            <w:pPr>
              <w:rPr>
                <w:rFonts w:ascii="宋体"/>
                <w:vanish/>
              </w:rPr>
            </w:pPr>
          </w:p>
        </w:tc>
        <w:tc>
          <w:tcPr>
            <w:tcW w:w="0" w:type="auto"/>
            <w:shd w:val="clear" w:color="auto" w:fill="auto"/>
            <w:vAlign w:val="bottom"/>
          </w:tcPr>
          <w:p w14:paraId="39D98A74" w14:textId="77777777" w:rsidR="00996AD7" w:rsidRDefault="00996AD7">
            <w:pPr>
              <w:rPr>
                <w:rFonts w:ascii="宋体"/>
                <w:vanish/>
              </w:rPr>
            </w:pPr>
          </w:p>
        </w:tc>
        <w:tc>
          <w:tcPr>
            <w:tcW w:w="0" w:type="auto"/>
            <w:shd w:val="clear" w:color="auto" w:fill="auto"/>
            <w:vAlign w:val="bottom"/>
          </w:tcPr>
          <w:p w14:paraId="39D98A75" w14:textId="77777777" w:rsidR="00996AD7" w:rsidRDefault="00996AD7">
            <w:pPr>
              <w:rPr>
                <w:rFonts w:ascii="宋体"/>
                <w:vanish/>
              </w:rPr>
            </w:pPr>
          </w:p>
        </w:tc>
        <w:tc>
          <w:tcPr>
            <w:tcW w:w="0" w:type="auto"/>
            <w:shd w:val="clear" w:color="auto" w:fill="auto"/>
            <w:vAlign w:val="bottom"/>
          </w:tcPr>
          <w:p w14:paraId="39D98A76" w14:textId="77777777" w:rsidR="00996AD7" w:rsidRDefault="00996AD7">
            <w:pPr>
              <w:rPr>
                <w:rFonts w:ascii="宋体"/>
                <w:vanish/>
              </w:rPr>
            </w:pPr>
          </w:p>
        </w:tc>
        <w:tc>
          <w:tcPr>
            <w:tcW w:w="0" w:type="auto"/>
            <w:gridSpan w:val="3"/>
            <w:shd w:val="clear" w:color="auto" w:fill="auto"/>
            <w:tcMar>
              <w:top w:w="0" w:type="dxa"/>
              <w:left w:w="20" w:type="dxa"/>
              <w:bottom w:w="0" w:type="dxa"/>
              <w:right w:w="20" w:type="dxa"/>
            </w:tcMar>
            <w:vAlign w:val="bottom"/>
          </w:tcPr>
          <w:p w14:paraId="39D98A77"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A78" w14:textId="77777777" w:rsidR="00996AD7" w:rsidRDefault="00D96458">
            <w:pPr>
              <w:jc w:val="center"/>
              <w:textAlignment w:val="bottom"/>
            </w:pPr>
            <w:r>
              <w:rPr>
                <w:rFonts w:ascii="Arial" w:eastAsia="宋体" w:hAnsi="Arial" w:cs="Arial"/>
                <w:b/>
                <w:bCs/>
                <w:color w:val="262626"/>
                <w:sz w:val="18"/>
                <w:szCs w:val="18"/>
              </w:rPr>
              <w:t>Unrealized Holding Gains (Losses) on Derivatives</w:t>
            </w:r>
          </w:p>
        </w:tc>
        <w:tc>
          <w:tcPr>
            <w:tcW w:w="0" w:type="auto"/>
            <w:gridSpan w:val="3"/>
            <w:shd w:val="clear" w:color="auto" w:fill="auto"/>
            <w:tcMar>
              <w:top w:w="0" w:type="dxa"/>
              <w:left w:w="20" w:type="dxa"/>
              <w:bottom w:w="0" w:type="dxa"/>
              <w:right w:w="20" w:type="dxa"/>
            </w:tcMar>
            <w:vAlign w:val="bottom"/>
          </w:tcPr>
          <w:p w14:paraId="39D98A79"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A7A" w14:textId="77777777" w:rsidR="00996AD7" w:rsidRDefault="00D96458">
            <w:pPr>
              <w:jc w:val="center"/>
              <w:textAlignment w:val="bottom"/>
            </w:pPr>
            <w:r>
              <w:rPr>
                <w:rFonts w:ascii="Arial" w:eastAsia="宋体" w:hAnsi="Arial" w:cs="Arial"/>
                <w:b/>
                <w:bCs/>
                <w:color w:val="262626"/>
                <w:sz w:val="18"/>
                <w:szCs w:val="18"/>
              </w:rPr>
              <w:t>Actuarial Valuation and Other Pension Expenses</w:t>
            </w:r>
          </w:p>
        </w:tc>
        <w:tc>
          <w:tcPr>
            <w:tcW w:w="0" w:type="auto"/>
            <w:gridSpan w:val="3"/>
            <w:shd w:val="clear" w:color="auto" w:fill="auto"/>
            <w:tcMar>
              <w:top w:w="0" w:type="dxa"/>
              <w:left w:w="20" w:type="dxa"/>
              <w:bottom w:w="0" w:type="dxa"/>
              <w:right w:w="20" w:type="dxa"/>
            </w:tcMar>
            <w:vAlign w:val="bottom"/>
          </w:tcPr>
          <w:p w14:paraId="39D98A7B"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A7C" w14:textId="77777777" w:rsidR="00996AD7" w:rsidRDefault="00D96458">
            <w:pPr>
              <w:jc w:val="center"/>
              <w:textAlignment w:val="bottom"/>
            </w:pPr>
            <w:r>
              <w:rPr>
                <w:rFonts w:ascii="Arial" w:eastAsia="宋体" w:hAnsi="Arial" w:cs="Arial"/>
                <w:b/>
                <w:bCs/>
                <w:color w:val="262626"/>
                <w:sz w:val="18"/>
                <w:szCs w:val="18"/>
              </w:rPr>
              <w:t>Translation Adjustments and Other</w:t>
            </w:r>
          </w:p>
        </w:tc>
        <w:tc>
          <w:tcPr>
            <w:tcW w:w="0" w:type="auto"/>
            <w:gridSpan w:val="3"/>
            <w:shd w:val="clear" w:color="auto" w:fill="auto"/>
            <w:tcMar>
              <w:top w:w="0" w:type="dxa"/>
              <w:left w:w="20" w:type="dxa"/>
              <w:bottom w:w="0" w:type="dxa"/>
              <w:right w:w="20" w:type="dxa"/>
            </w:tcMar>
            <w:vAlign w:val="bottom"/>
          </w:tcPr>
          <w:p w14:paraId="39D98A7D"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A7E" w14:textId="77777777" w:rsidR="00996AD7" w:rsidRDefault="00D96458">
            <w:pPr>
              <w:jc w:val="center"/>
              <w:textAlignment w:val="bottom"/>
            </w:pPr>
            <w:r>
              <w:rPr>
                <w:rFonts w:ascii="Arial" w:eastAsia="宋体" w:hAnsi="Arial" w:cs="Arial"/>
                <w:b/>
                <w:bCs/>
                <w:color w:val="262626"/>
                <w:sz w:val="18"/>
                <w:szCs w:val="18"/>
              </w:rPr>
              <w:t>Total</w:t>
            </w:r>
          </w:p>
        </w:tc>
      </w:tr>
      <w:tr w:rsidR="00996AD7" w14:paraId="39D98A9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A80" w14:textId="77777777" w:rsidR="00996AD7" w:rsidRDefault="00D96458">
            <w:pPr>
              <w:textAlignment w:val="bottom"/>
            </w:pPr>
            <w:r>
              <w:rPr>
                <w:rFonts w:ascii="Arial" w:eastAsia="宋体" w:hAnsi="Arial" w:cs="Arial"/>
                <w:b/>
                <w:bCs/>
                <w:color w:val="262626"/>
                <w:sz w:val="18"/>
                <w:szCs w:val="18"/>
              </w:rPr>
              <w:t>Balance as of December 26, 2020</w:t>
            </w:r>
          </w:p>
        </w:tc>
        <w:tc>
          <w:tcPr>
            <w:tcW w:w="0" w:type="auto"/>
            <w:shd w:val="clear" w:color="auto" w:fill="auto"/>
            <w:vAlign w:val="bottom"/>
          </w:tcPr>
          <w:p w14:paraId="39D98A81" w14:textId="77777777" w:rsidR="00996AD7" w:rsidRDefault="00996AD7">
            <w:pPr>
              <w:rPr>
                <w:rFonts w:ascii="宋体"/>
                <w:vanish/>
              </w:rPr>
            </w:pPr>
          </w:p>
        </w:tc>
        <w:tc>
          <w:tcPr>
            <w:tcW w:w="0" w:type="auto"/>
            <w:shd w:val="clear" w:color="auto" w:fill="auto"/>
            <w:vAlign w:val="bottom"/>
          </w:tcPr>
          <w:p w14:paraId="39D98A82" w14:textId="77777777" w:rsidR="00996AD7" w:rsidRDefault="00996AD7">
            <w:pPr>
              <w:rPr>
                <w:rFonts w:ascii="宋体"/>
                <w:vanish/>
              </w:rPr>
            </w:pPr>
          </w:p>
        </w:tc>
        <w:tc>
          <w:tcPr>
            <w:tcW w:w="0" w:type="auto"/>
            <w:shd w:val="clear" w:color="auto" w:fill="auto"/>
            <w:vAlign w:val="bottom"/>
          </w:tcPr>
          <w:p w14:paraId="39D98A83" w14:textId="77777777" w:rsidR="00996AD7" w:rsidRDefault="00996AD7">
            <w:pPr>
              <w:rPr>
                <w:rFonts w:ascii="宋体"/>
                <w:vanish/>
              </w:rPr>
            </w:pPr>
          </w:p>
        </w:tc>
        <w:tc>
          <w:tcPr>
            <w:tcW w:w="0" w:type="auto"/>
            <w:shd w:val="clear" w:color="auto" w:fill="auto"/>
            <w:vAlign w:val="bottom"/>
          </w:tcPr>
          <w:p w14:paraId="39D98A84" w14:textId="77777777" w:rsidR="00996AD7" w:rsidRDefault="00996AD7">
            <w:pPr>
              <w:rPr>
                <w:rFonts w:ascii="宋体"/>
                <w:vanish/>
              </w:rPr>
            </w:pPr>
          </w:p>
        </w:tc>
        <w:tc>
          <w:tcPr>
            <w:tcW w:w="0" w:type="auto"/>
            <w:gridSpan w:val="3"/>
            <w:shd w:val="clear" w:color="auto" w:fill="auto"/>
            <w:tcMar>
              <w:top w:w="0" w:type="dxa"/>
              <w:left w:w="20" w:type="dxa"/>
              <w:bottom w:w="0" w:type="dxa"/>
              <w:right w:w="20" w:type="dxa"/>
            </w:tcMar>
            <w:vAlign w:val="bottom"/>
          </w:tcPr>
          <w:p w14:paraId="39D98A85"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A86"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A87" w14:textId="77777777" w:rsidR="00996AD7" w:rsidRDefault="00D96458">
            <w:pPr>
              <w:jc w:val="right"/>
              <w:textAlignment w:val="bottom"/>
            </w:pPr>
            <w:r>
              <w:rPr>
                <w:rFonts w:ascii="Arial" w:eastAsia="宋体" w:hAnsi="Arial" w:cs="Arial"/>
                <w:b/>
                <w:bCs/>
                <w:color w:val="262626"/>
                <w:sz w:val="18"/>
                <w:szCs w:val="18"/>
              </w:rPr>
              <w:t>731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A8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89"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A8A"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A8B" w14:textId="77777777" w:rsidR="00996AD7" w:rsidRDefault="00D96458">
            <w:pPr>
              <w:jc w:val="right"/>
              <w:textAlignment w:val="bottom"/>
            </w:pPr>
            <w:r>
              <w:rPr>
                <w:rFonts w:ascii="Arial" w:eastAsia="宋体" w:hAnsi="Arial" w:cs="Arial"/>
                <w:b/>
                <w:bCs/>
                <w:color w:val="262626"/>
                <w:sz w:val="18"/>
                <w:szCs w:val="18"/>
              </w:rPr>
              <w:t>(1,565)</w:t>
            </w:r>
          </w:p>
        </w:tc>
        <w:tc>
          <w:tcPr>
            <w:tcW w:w="0" w:type="auto"/>
            <w:tcBorders>
              <w:top w:val="single" w:sz="8" w:space="0" w:color="0068B5"/>
            </w:tcBorders>
            <w:shd w:val="clear" w:color="auto" w:fill="auto"/>
            <w:tcMar>
              <w:top w:w="40" w:type="dxa"/>
              <w:left w:w="0" w:type="dxa"/>
              <w:bottom w:w="40" w:type="dxa"/>
              <w:right w:w="20" w:type="dxa"/>
            </w:tcMar>
            <w:vAlign w:val="bottom"/>
          </w:tcPr>
          <w:p w14:paraId="39D98A8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8D"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A8E"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A8F" w14:textId="77777777" w:rsidR="00996AD7" w:rsidRDefault="00D96458">
            <w:pPr>
              <w:jc w:val="right"/>
              <w:textAlignment w:val="bottom"/>
            </w:pPr>
            <w:r>
              <w:rPr>
                <w:rFonts w:ascii="Arial" w:eastAsia="宋体" w:hAnsi="Arial" w:cs="Arial"/>
                <w:b/>
                <w:bCs/>
                <w:color w:val="262626"/>
                <w:sz w:val="18"/>
                <w:szCs w:val="18"/>
              </w:rPr>
              <w:t>83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A9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91"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A92"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A93" w14:textId="77777777" w:rsidR="00996AD7" w:rsidRDefault="00D96458">
            <w:pPr>
              <w:jc w:val="right"/>
              <w:textAlignment w:val="bottom"/>
            </w:pPr>
            <w:r>
              <w:rPr>
                <w:rFonts w:ascii="Arial" w:eastAsia="宋体" w:hAnsi="Arial" w:cs="Arial"/>
                <w:b/>
                <w:bCs/>
                <w:color w:val="262626"/>
                <w:sz w:val="18"/>
                <w:szCs w:val="18"/>
              </w:rPr>
              <w:t>(751)</w:t>
            </w:r>
          </w:p>
        </w:tc>
        <w:tc>
          <w:tcPr>
            <w:tcW w:w="0" w:type="auto"/>
            <w:tcBorders>
              <w:top w:val="single" w:sz="8" w:space="0" w:color="0068B5"/>
            </w:tcBorders>
            <w:shd w:val="clear" w:color="auto" w:fill="auto"/>
            <w:tcMar>
              <w:top w:w="40" w:type="dxa"/>
              <w:left w:w="0" w:type="dxa"/>
              <w:bottom w:w="40" w:type="dxa"/>
              <w:right w:w="20" w:type="dxa"/>
            </w:tcMar>
            <w:vAlign w:val="bottom"/>
          </w:tcPr>
          <w:p w14:paraId="39D98A94" w14:textId="77777777" w:rsidR="00996AD7" w:rsidRDefault="00996AD7">
            <w:pPr>
              <w:jc w:val="right"/>
              <w:rPr>
                <w:rFonts w:ascii="宋体"/>
              </w:rPr>
            </w:pPr>
          </w:p>
        </w:tc>
      </w:tr>
      <w:tr w:rsidR="00996AD7" w14:paraId="39D98AA7" w14:textId="77777777">
        <w:tc>
          <w:tcPr>
            <w:tcW w:w="0" w:type="auto"/>
            <w:gridSpan w:val="3"/>
            <w:shd w:val="clear" w:color="auto" w:fill="auto"/>
            <w:tcMar>
              <w:top w:w="40" w:type="dxa"/>
              <w:left w:w="20" w:type="dxa"/>
              <w:bottom w:w="40" w:type="dxa"/>
              <w:right w:w="20" w:type="dxa"/>
            </w:tcMar>
            <w:vAlign w:val="bottom"/>
          </w:tcPr>
          <w:p w14:paraId="39D98A96" w14:textId="77777777" w:rsidR="00996AD7" w:rsidRDefault="00D96458">
            <w:pPr>
              <w:textAlignment w:val="bottom"/>
            </w:pPr>
            <w:r>
              <w:rPr>
                <w:rFonts w:ascii="Arial" w:eastAsia="宋体" w:hAnsi="Arial" w:cs="Arial"/>
                <w:color w:val="262626"/>
                <w:sz w:val="18"/>
                <w:szCs w:val="18"/>
              </w:rPr>
              <w:t>Other comprehensive income (loss) before reclassifications</w:t>
            </w:r>
          </w:p>
        </w:tc>
        <w:tc>
          <w:tcPr>
            <w:tcW w:w="0" w:type="auto"/>
            <w:shd w:val="clear" w:color="auto" w:fill="auto"/>
            <w:vAlign w:val="bottom"/>
          </w:tcPr>
          <w:p w14:paraId="39D98A97" w14:textId="77777777" w:rsidR="00996AD7" w:rsidRDefault="00996AD7">
            <w:pPr>
              <w:rPr>
                <w:rFonts w:ascii="宋体"/>
                <w:vanish/>
              </w:rPr>
            </w:pPr>
          </w:p>
        </w:tc>
        <w:tc>
          <w:tcPr>
            <w:tcW w:w="0" w:type="auto"/>
            <w:shd w:val="clear" w:color="auto" w:fill="auto"/>
            <w:vAlign w:val="bottom"/>
          </w:tcPr>
          <w:p w14:paraId="39D98A98" w14:textId="77777777" w:rsidR="00996AD7" w:rsidRDefault="00996AD7">
            <w:pPr>
              <w:rPr>
                <w:rFonts w:ascii="宋体"/>
                <w:vanish/>
              </w:rPr>
            </w:pPr>
          </w:p>
        </w:tc>
        <w:tc>
          <w:tcPr>
            <w:tcW w:w="0" w:type="auto"/>
            <w:shd w:val="clear" w:color="auto" w:fill="auto"/>
            <w:vAlign w:val="bottom"/>
          </w:tcPr>
          <w:p w14:paraId="39D98A99" w14:textId="77777777" w:rsidR="00996AD7" w:rsidRDefault="00996AD7">
            <w:pPr>
              <w:rPr>
                <w:rFonts w:ascii="宋体"/>
                <w:vanish/>
              </w:rPr>
            </w:pPr>
          </w:p>
        </w:tc>
        <w:tc>
          <w:tcPr>
            <w:tcW w:w="0" w:type="auto"/>
            <w:shd w:val="clear" w:color="auto" w:fill="auto"/>
            <w:vAlign w:val="bottom"/>
          </w:tcPr>
          <w:p w14:paraId="39D98A9A" w14:textId="77777777" w:rsidR="00996AD7" w:rsidRDefault="00996AD7">
            <w:pPr>
              <w:rPr>
                <w:rFonts w:ascii="宋体"/>
                <w:vanish/>
              </w:rPr>
            </w:pPr>
          </w:p>
        </w:tc>
        <w:tc>
          <w:tcPr>
            <w:tcW w:w="0" w:type="auto"/>
            <w:gridSpan w:val="3"/>
            <w:shd w:val="clear" w:color="auto" w:fill="auto"/>
            <w:tcMar>
              <w:top w:w="0" w:type="dxa"/>
              <w:left w:w="20" w:type="dxa"/>
              <w:bottom w:w="0" w:type="dxa"/>
              <w:right w:w="20" w:type="dxa"/>
            </w:tcMar>
            <w:vAlign w:val="bottom"/>
          </w:tcPr>
          <w:p w14:paraId="39D98A9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A9C" w14:textId="77777777" w:rsidR="00996AD7" w:rsidRDefault="00D96458">
            <w:pPr>
              <w:jc w:val="right"/>
              <w:textAlignment w:val="bottom"/>
            </w:pPr>
            <w:r>
              <w:rPr>
                <w:rFonts w:ascii="Arial" w:eastAsia="宋体" w:hAnsi="Arial" w:cs="Arial"/>
                <w:color w:val="0068B5"/>
                <w:sz w:val="18"/>
                <w:szCs w:val="18"/>
              </w:rPr>
              <w:t>(313)</w:t>
            </w:r>
          </w:p>
        </w:tc>
        <w:tc>
          <w:tcPr>
            <w:tcW w:w="0" w:type="auto"/>
            <w:shd w:val="clear" w:color="auto" w:fill="auto"/>
            <w:tcMar>
              <w:top w:w="40" w:type="dxa"/>
              <w:left w:w="0" w:type="dxa"/>
              <w:bottom w:w="40" w:type="dxa"/>
              <w:right w:w="20" w:type="dxa"/>
            </w:tcMar>
            <w:vAlign w:val="bottom"/>
          </w:tcPr>
          <w:p w14:paraId="39D98A9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9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A9F" w14:textId="77777777" w:rsidR="00996AD7" w:rsidRDefault="00D96458">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39D98AA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A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AA2" w14:textId="77777777" w:rsidR="00996AD7" w:rsidRDefault="00D96458">
            <w:pPr>
              <w:jc w:val="right"/>
              <w:textAlignment w:val="bottom"/>
            </w:pPr>
            <w:r>
              <w:rPr>
                <w:rFonts w:ascii="Arial" w:eastAsia="宋体" w:hAnsi="Arial" w:cs="Arial"/>
                <w:color w:val="0068B5"/>
                <w:sz w:val="18"/>
                <w:szCs w:val="18"/>
              </w:rPr>
              <w:t>(41)</w:t>
            </w:r>
          </w:p>
        </w:tc>
        <w:tc>
          <w:tcPr>
            <w:tcW w:w="0" w:type="auto"/>
            <w:shd w:val="clear" w:color="auto" w:fill="auto"/>
            <w:tcMar>
              <w:top w:w="40" w:type="dxa"/>
              <w:left w:w="0" w:type="dxa"/>
              <w:bottom w:w="40" w:type="dxa"/>
              <w:right w:w="20" w:type="dxa"/>
            </w:tcMar>
            <w:vAlign w:val="bottom"/>
          </w:tcPr>
          <w:p w14:paraId="39D98AA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A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AA5" w14:textId="77777777" w:rsidR="00996AD7" w:rsidRDefault="00D96458">
            <w:pPr>
              <w:jc w:val="right"/>
              <w:textAlignment w:val="bottom"/>
            </w:pPr>
            <w:r>
              <w:rPr>
                <w:rFonts w:ascii="Arial" w:eastAsia="宋体" w:hAnsi="Arial" w:cs="Arial"/>
                <w:color w:val="0068B5"/>
                <w:sz w:val="18"/>
                <w:szCs w:val="18"/>
              </w:rPr>
              <w:t>(349)</w:t>
            </w:r>
          </w:p>
        </w:tc>
        <w:tc>
          <w:tcPr>
            <w:tcW w:w="0" w:type="auto"/>
            <w:shd w:val="clear" w:color="auto" w:fill="auto"/>
            <w:tcMar>
              <w:top w:w="40" w:type="dxa"/>
              <w:left w:w="0" w:type="dxa"/>
              <w:bottom w:w="40" w:type="dxa"/>
              <w:right w:w="20" w:type="dxa"/>
            </w:tcMar>
            <w:vAlign w:val="bottom"/>
          </w:tcPr>
          <w:p w14:paraId="39D98AA6" w14:textId="77777777" w:rsidR="00996AD7" w:rsidRDefault="00996AD7">
            <w:pPr>
              <w:jc w:val="right"/>
              <w:rPr>
                <w:rFonts w:ascii="宋体"/>
              </w:rPr>
            </w:pPr>
          </w:p>
        </w:tc>
      </w:tr>
      <w:tr w:rsidR="00996AD7" w14:paraId="39D98AB9" w14:textId="77777777">
        <w:tc>
          <w:tcPr>
            <w:tcW w:w="0" w:type="auto"/>
            <w:gridSpan w:val="3"/>
            <w:shd w:val="clear" w:color="auto" w:fill="auto"/>
            <w:tcMar>
              <w:top w:w="40" w:type="dxa"/>
              <w:left w:w="20" w:type="dxa"/>
              <w:bottom w:w="40" w:type="dxa"/>
              <w:right w:w="20" w:type="dxa"/>
            </w:tcMar>
          </w:tcPr>
          <w:p w14:paraId="39D98AA8" w14:textId="77777777" w:rsidR="00996AD7" w:rsidRDefault="00D96458">
            <w:pPr>
              <w:textAlignment w:val="top"/>
            </w:pPr>
            <w:r>
              <w:rPr>
                <w:rFonts w:ascii="Arial" w:eastAsia="宋体" w:hAnsi="Arial" w:cs="Arial"/>
                <w:color w:val="262626"/>
                <w:sz w:val="18"/>
                <w:szCs w:val="18"/>
              </w:rPr>
              <w:t>Amounts reclassified out of accumulated other comprehensive income (loss)</w:t>
            </w:r>
          </w:p>
        </w:tc>
        <w:tc>
          <w:tcPr>
            <w:tcW w:w="0" w:type="auto"/>
            <w:shd w:val="clear" w:color="auto" w:fill="auto"/>
            <w:vAlign w:val="bottom"/>
          </w:tcPr>
          <w:p w14:paraId="39D98AA9" w14:textId="77777777" w:rsidR="00996AD7" w:rsidRDefault="00996AD7">
            <w:pPr>
              <w:rPr>
                <w:rFonts w:ascii="宋体"/>
                <w:vanish/>
              </w:rPr>
            </w:pPr>
          </w:p>
        </w:tc>
        <w:tc>
          <w:tcPr>
            <w:tcW w:w="0" w:type="auto"/>
            <w:shd w:val="clear" w:color="auto" w:fill="auto"/>
            <w:vAlign w:val="bottom"/>
          </w:tcPr>
          <w:p w14:paraId="39D98AAA" w14:textId="77777777" w:rsidR="00996AD7" w:rsidRDefault="00996AD7">
            <w:pPr>
              <w:rPr>
                <w:rFonts w:ascii="宋体"/>
                <w:vanish/>
              </w:rPr>
            </w:pPr>
          </w:p>
        </w:tc>
        <w:tc>
          <w:tcPr>
            <w:tcW w:w="0" w:type="auto"/>
            <w:shd w:val="clear" w:color="auto" w:fill="auto"/>
            <w:vAlign w:val="bottom"/>
          </w:tcPr>
          <w:p w14:paraId="39D98AAB" w14:textId="77777777" w:rsidR="00996AD7" w:rsidRDefault="00996AD7">
            <w:pPr>
              <w:rPr>
                <w:rFonts w:ascii="宋体"/>
                <w:vanish/>
              </w:rPr>
            </w:pPr>
          </w:p>
        </w:tc>
        <w:tc>
          <w:tcPr>
            <w:tcW w:w="0" w:type="auto"/>
            <w:shd w:val="clear" w:color="auto" w:fill="auto"/>
            <w:vAlign w:val="bottom"/>
          </w:tcPr>
          <w:p w14:paraId="39D98AAC" w14:textId="77777777" w:rsidR="00996AD7" w:rsidRDefault="00996AD7">
            <w:pPr>
              <w:rPr>
                <w:rFonts w:ascii="宋体"/>
                <w:vanish/>
              </w:rPr>
            </w:pPr>
          </w:p>
        </w:tc>
        <w:tc>
          <w:tcPr>
            <w:tcW w:w="0" w:type="auto"/>
            <w:gridSpan w:val="3"/>
            <w:shd w:val="clear" w:color="auto" w:fill="auto"/>
            <w:tcMar>
              <w:top w:w="0" w:type="dxa"/>
              <w:left w:w="20" w:type="dxa"/>
              <w:bottom w:w="0" w:type="dxa"/>
              <w:right w:w="20" w:type="dxa"/>
            </w:tcMar>
            <w:vAlign w:val="bottom"/>
          </w:tcPr>
          <w:p w14:paraId="39D98AA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AAE" w14:textId="77777777" w:rsidR="00996AD7" w:rsidRDefault="00D96458">
            <w:pPr>
              <w:jc w:val="right"/>
              <w:textAlignment w:val="bottom"/>
            </w:pPr>
            <w:r>
              <w:rPr>
                <w:rFonts w:ascii="Arial" w:eastAsia="宋体" w:hAnsi="Arial" w:cs="Arial"/>
                <w:color w:val="0068B5"/>
                <w:sz w:val="18"/>
                <w:szCs w:val="18"/>
              </w:rPr>
              <w:t>(196)</w:t>
            </w:r>
          </w:p>
        </w:tc>
        <w:tc>
          <w:tcPr>
            <w:tcW w:w="0" w:type="auto"/>
            <w:shd w:val="clear" w:color="auto" w:fill="auto"/>
            <w:tcMar>
              <w:top w:w="40" w:type="dxa"/>
              <w:left w:w="0" w:type="dxa"/>
              <w:bottom w:w="40" w:type="dxa"/>
              <w:right w:w="20" w:type="dxa"/>
            </w:tcMar>
            <w:vAlign w:val="bottom"/>
          </w:tcPr>
          <w:p w14:paraId="39D98AA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B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AB1" w14:textId="77777777" w:rsidR="00996AD7" w:rsidRDefault="00D96458">
            <w:pPr>
              <w:jc w:val="right"/>
              <w:textAlignment w:val="bottom"/>
            </w:pPr>
            <w:r>
              <w:rPr>
                <w:rFonts w:ascii="Arial" w:eastAsia="宋体" w:hAnsi="Arial" w:cs="Arial"/>
                <w:color w:val="0068B5"/>
                <w:sz w:val="18"/>
                <w:szCs w:val="18"/>
              </w:rPr>
              <w:t>47 </w:t>
            </w:r>
          </w:p>
        </w:tc>
        <w:tc>
          <w:tcPr>
            <w:tcW w:w="0" w:type="auto"/>
            <w:shd w:val="clear" w:color="auto" w:fill="auto"/>
            <w:tcMar>
              <w:top w:w="40" w:type="dxa"/>
              <w:left w:w="0" w:type="dxa"/>
              <w:bottom w:w="40" w:type="dxa"/>
              <w:right w:w="20" w:type="dxa"/>
            </w:tcMar>
            <w:vAlign w:val="bottom"/>
          </w:tcPr>
          <w:p w14:paraId="39D98AB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B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AB4" w14:textId="77777777" w:rsidR="00996AD7" w:rsidRDefault="00D96458">
            <w:pPr>
              <w:jc w:val="right"/>
              <w:textAlignment w:val="bottom"/>
            </w:pPr>
            <w:r>
              <w:rPr>
                <w:rFonts w:ascii="Arial" w:eastAsia="宋体" w:hAnsi="Arial" w:cs="Arial"/>
                <w:color w:val="0068B5"/>
                <w:sz w:val="18"/>
                <w:szCs w:val="18"/>
              </w:rPr>
              <w:t>(14)</w:t>
            </w:r>
          </w:p>
        </w:tc>
        <w:tc>
          <w:tcPr>
            <w:tcW w:w="0" w:type="auto"/>
            <w:shd w:val="clear" w:color="auto" w:fill="auto"/>
            <w:tcMar>
              <w:top w:w="40" w:type="dxa"/>
              <w:left w:w="0" w:type="dxa"/>
              <w:bottom w:w="40" w:type="dxa"/>
              <w:right w:w="20" w:type="dxa"/>
            </w:tcMar>
            <w:vAlign w:val="bottom"/>
          </w:tcPr>
          <w:p w14:paraId="39D98AB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B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AB7" w14:textId="77777777" w:rsidR="00996AD7" w:rsidRDefault="00D96458">
            <w:pPr>
              <w:jc w:val="right"/>
              <w:textAlignment w:val="bottom"/>
            </w:pPr>
            <w:r>
              <w:rPr>
                <w:rFonts w:ascii="Arial" w:eastAsia="宋体" w:hAnsi="Arial" w:cs="Arial"/>
                <w:color w:val="0068B5"/>
                <w:sz w:val="18"/>
                <w:szCs w:val="18"/>
              </w:rPr>
              <w:t>(163)</w:t>
            </w:r>
          </w:p>
        </w:tc>
        <w:tc>
          <w:tcPr>
            <w:tcW w:w="0" w:type="auto"/>
            <w:shd w:val="clear" w:color="auto" w:fill="auto"/>
            <w:tcMar>
              <w:top w:w="40" w:type="dxa"/>
              <w:left w:w="0" w:type="dxa"/>
              <w:bottom w:w="40" w:type="dxa"/>
              <w:right w:w="20" w:type="dxa"/>
            </w:tcMar>
            <w:vAlign w:val="bottom"/>
          </w:tcPr>
          <w:p w14:paraId="39D98AB8" w14:textId="77777777" w:rsidR="00996AD7" w:rsidRDefault="00996AD7">
            <w:pPr>
              <w:jc w:val="right"/>
              <w:rPr>
                <w:rFonts w:ascii="宋体"/>
              </w:rPr>
            </w:pPr>
          </w:p>
        </w:tc>
      </w:tr>
      <w:tr w:rsidR="00996AD7" w14:paraId="39D98ACB" w14:textId="77777777">
        <w:tc>
          <w:tcPr>
            <w:tcW w:w="0" w:type="auto"/>
            <w:gridSpan w:val="3"/>
            <w:shd w:val="clear" w:color="auto" w:fill="auto"/>
            <w:tcMar>
              <w:top w:w="40" w:type="dxa"/>
              <w:left w:w="20" w:type="dxa"/>
              <w:bottom w:w="40" w:type="dxa"/>
              <w:right w:w="20" w:type="dxa"/>
            </w:tcMar>
            <w:vAlign w:val="bottom"/>
          </w:tcPr>
          <w:p w14:paraId="39D98ABA" w14:textId="77777777" w:rsidR="00996AD7" w:rsidRDefault="00D96458">
            <w:pPr>
              <w:textAlignment w:val="bottom"/>
            </w:pPr>
            <w:r>
              <w:rPr>
                <w:rFonts w:ascii="Arial" w:eastAsia="宋体" w:hAnsi="Arial" w:cs="Arial"/>
                <w:color w:val="262626"/>
                <w:sz w:val="18"/>
                <w:szCs w:val="18"/>
              </w:rPr>
              <w:t>Tax effects</w:t>
            </w:r>
          </w:p>
        </w:tc>
        <w:tc>
          <w:tcPr>
            <w:tcW w:w="0" w:type="auto"/>
            <w:shd w:val="clear" w:color="auto" w:fill="auto"/>
            <w:vAlign w:val="bottom"/>
          </w:tcPr>
          <w:p w14:paraId="39D98ABB" w14:textId="77777777" w:rsidR="00996AD7" w:rsidRDefault="00996AD7">
            <w:pPr>
              <w:rPr>
                <w:rFonts w:ascii="宋体"/>
                <w:vanish/>
              </w:rPr>
            </w:pPr>
          </w:p>
        </w:tc>
        <w:tc>
          <w:tcPr>
            <w:tcW w:w="0" w:type="auto"/>
            <w:shd w:val="clear" w:color="auto" w:fill="auto"/>
            <w:vAlign w:val="bottom"/>
          </w:tcPr>
          <w:p w14:paraId="39D98ABC" w14:textId="77777777" w:rsidR="00996AD7" w:rsidRDefault="00996AD7">
            <w:pPr>
              <w:rPr>
                <w:rFonts w:ascii="宋体"/>
                <w:vanish/>
              </w:rPr>
            </w:pPr>
          </w:p>
        </w:tc>
        <w:tc>
          <w:tcPr>
            <w:tcW w:w="0" w:type="auto"/>
            <w:shd w:val="clear" w:color="auto" w:fill="auto"/>
            <w:vAlign w:val="bottom"/>
          </w:tcPr>
          <w:p w14:paraId="39D98ABD" w14:textId="77777777" w:rsidR="00996AD7" w:rsidRDefault="00996AD7">
            <w:pPr>
              <w:rPr>
                <w:rFonts w:ascii="宋体"/>
                <w:vanish/>
              </w:rPr>
            </w:pPr>
          </w:p>
        </w:tc>
        <w:tc>
          <w:tcPr>
            <w:tcW w:w="0" w:type="auto"/>
            <w:shd w:val="clear" w:color="auto" w:fill="auto"/>
            <w:vAlign w:val="bottom"/>
          </w:tcPr>
          <w:p w14:paraId="39D98ABE" w14:textId="77777777" w:rsidR="00996AD7" w:rsidRDefault="00996AD7">
            <w:pPr>
              <w:rPr>
                <w:rFonts w:ascii="宋体"/>
                <w:vanish/>
              </w:rPr>
            </w:pPr>
          </w:p>
        </w:tc>
        <w:tc>
          <w:tcPr>
            <w:tcW w:w="0" w:type="auto"/>
            <w:gridSpan w:val="3"/>
            <w:shd w:val="clear" w:color="auto" w:fill="auto"/>
            <w:tcMar>
              <w:top w:w="0" w:type="dxa"/>
              <w:left w:w="20" w:type="dxa"/>
              <w:bottom w:w="0" w:type="dxa"/>
              <w:right w:w="20" w:type="dxa"/>
            </w:tcMar>
            <w:vAlign w:val="bottom"/>
          </w:tcPr>
          <w:p w14:paraId="39D98AB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AC0" w14:textId="77777777" w:rsidR="00996AD7" w:rsidRDefault="00D96458">
            <w:pPr>
              <w:jc w:val="right"/>
              <w:textAlignment w:val="bottom"/>
            </w:pPr>
            <w:r>
              <w:rPr>
                <w:rFonts w:ascii="Arial" w:eastAsia="宋体" w:hAnsi="Arial" w:cs="Arial"/>
                <w:color w:val="0068B5"/>
                <w:sz w:val="18"/>
                <w:szCs w:val="18"/>
              </w:rPr>
              <w:t>119 </w:t>
            </w:r>
          </w:p>
        </w:tc>
        <w:tc>
          <w:tcPr>
            <w:tcW w:w="0" w:type="auto"/>
            <w:shd w:val="clear" w:color="auto" w:fill="auto"/>
            <w:tcMar>
              <w:top w:w="40" w:type="dxa"/>
              <w:left w:w="0" w:type="dxa"/>
              <w:bottom w:w="40" w:type="dxa"/>
              <w:right w:w="20" w:type="dxa"/>
            </w:tcMar>
            <w:vAlign w:val="bottom"/>
          </w:tcPr>
          <w:p w14:paraId="39D98AC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C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AC3" w14:textId="77777777" w:rsidR="00996AD7" w:rsidRDefault="00D96458">
            <w:pPr>
              <w:jc w:val="right"/>
              <w:textAlignment w:val="bottom"/>
            </w:pPr>
            <w:r>
              <w:rPr>
                <w:rFonts w:ascii="Arial" w:eastAsia="宋体" w:hAnsi="Arial" w:cs="Arial"/>
                <w:color w:val="0068B5"/>
                <w:sz w:val="18"/>
                <w:szCs w:val="18"/>
              </w:rPr>
              <w:t>(14)</w:t>
            </w:r>
          </w:p>
        </w:tc>
        <w:tc>
          <w:tcPr>
            <w:tcW w:w="0" w:type="auto"/>
            <w:shd w:val="clear" w:color="auto" w:fill="auto"/>
            <w:tcMar>
              <w:top w:w="40" w:type="dxa"/>
              <w:left w:w="0" w:type="dxa"/>
              <w:bottom w:w="40" w:type="dxa"/>
              <w:right w:w="20" w:type="dxa"/>
            </w:tcMar>
            <w:vAlign w:val="bottom"/>
          </w:tcPr>
          <w:p w14:paraId="39D98AC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C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AC6" w14:textId="77777777" w:rsidR="00996AD7" w:rsidRDefault="00D96458">
            <w:pPr>
              <w:jc w:val="right"/>
              <w:textAlignment w:val="bottom"/>
            </w:pPr>
            <w:r>
              <w:rPr>
                <w:rFonts w:ascii="Arial" w:eastAsia="宋体" w:hAnsi="Arial" w:cs="Arial"/>
                <w:color w:val="0068B5"/>
                <w:sz w:val="18"/>
                <w:szCs w:val="18"/>
              </w:rPr>
              <w:t>11 </w:t>
            </w:r>
          </w:p>
        </w:tc>
        <w:tc>
          <w:tcPr>
            <w:tcW w:w="0" w:type="auto"/>
            <w:shd w:val="clear" w:color="auto" w:fill="auto"/>
            <w:tcMar>
              <w:top w:w="40" w:type="dxa"/>
              <w:left w:w="0" w:type="dxa"/>
              <w:bottom w:w="40" w:type="dxa"/>
              <w:right w:w="20" w:type="dxa"/>
            </w:tcMar>
            <w:vAlign w:val="bottom"/>
          </w:tcPr>
          <w:p w14:paraId="39D98AC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C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AC9" w14:textId="77777777" w:rsidR="00996AD7" w:rsidRDefault="00D96458">
            <w:pPr>
              <w:jc w:val="right"/>
              <w:textAlignment w:val="bottom"/>
            </w:pPr>
            <w:r>
              <w:rPr>
                <w:rFonts w:ascii="Arial" w:eastAsia="宋体" w:hAnsi="Arial" w:cs="Arial"/>
                <w:color w:val="0068B5"/>
                <w:sz w:val="18"/>
                <w:szCs w:val="18"/>
              </w:rPr>
              <w:t>116 </w:t>
            </w:r>
          </w:p>
        </w:tc>
        <w:tc>
          <w:tcPr>
            <w:tcW w:w="0" w:type="auto"/>
            <w:shd w:val="clear" w:color="auto" w:fill="auto"/>
            <w:tcMar>
              <w:top w:w="40" w:type="dxa"/>
              <w:left w:w="0" w:type="dxa"/>
              <w:bottom w:w="40" w:type="dxa"/>
              <w:right w:w="20" w:type="dxa"/>
            </w:tcMar>
            <w:vAlign w:val="bottom"/>
          </w:tcPr>
          <w:p w14:paraId="39D98ACA" w14:textId="77777777" w:rsidR="00996AD7" w:rsidRDefault="00996AD7">
            <w:pPr>
              <w:jc w:val="right"/>
              <w:rPr>
                <w:rFonts w:ascii="宋体"/>
              </w:rPr>
            </w:pPr>
          </w:p>
        </w:tc>
      </w:tr>
      <w:tr w:rsidR="00996AD7" w14:paraId="39D98ADD" w14:textId="77777777">
        <w:tc>
          <w:tcPr>
            <w:tcW w:w="0" w:type="auto"/>
            <w:gridSpan w:val="3"/>
            <w:shd w:val="clear" w:color="auto" w:fill="auto"/>
            <w:tcMar>
              <w:top w:w="40" w:type="dxa"/>
              <w:left w:w="20" w:type="dxa"/>
              <w:bottom w:w="40" w:type="dxa"/>
              <w:right w:w="20" w:type="dxa"/>
            </w:tcMar>
            <w:vAlign w:val="bottom"/>
          </w:tcPr>
          <w:p w14:paraId="39D98ACC" w14:textId="77777777" w:rsidR="00996AD7" w:rsidRDefault="00D96458">
            <w:pPr>
              <w:textAlignment w:val="bottom"/>
            </w:pPr>
            <w:r>
              <w:rPr>
                <w:rFonts w:ascii="Arial" w:eastAsia="宋体" w:hAnsi="Arial" w:cs="Arial"/>
                <w:b/>
                <w:bCs/>
                <w:color w:val="262626"/>
                <w:sz w:val="18"/>
                <w:szCs w:val="18"/>
              </w:rPr>
              <w:t>Other comprehensive income (loss)</w:t>
            </w:r>
          </w:p>
        </w:tc>
        <w:tc>
          <w:tcPr>
            <w:tcW w:w="0" w:type="auto"/>
            <w:shd w:val="clear" w:color="auto" w:fill="auto"/>
            <w:vAlign w:val="bottom"/>
          </w:tcPr>
          <w:p w14:paraId="39D98ACD" w14:textId="77777777" w:rsidR="00996AD7" w:rsidRDefault="00996AD7">
            <w:pPr>
              <w:rPr>
                <w:rFonts w:ascii="宋体"/>
                <w:vanish/>
              </w:rPr>
            </w:pPr>
          </w:p>
        </w:tc>
        <w:tc>
          <w:tcPr>
            <w:tcW w:w="0" w:type="auto"/>
            <w:shd w:val="clear" w:color="auto" w:fill="auto"/>
            <w:vAlign w:val="bottom"/>
          </w:tcPr>
          <w:p w14:paraId="39D98ACE" w14:textId="77777777" w:rsidR="00996AD7" w:rsidRDefault="00996AD7">
            <w:pPr>
              <w:rPr>
                <w:rFonts w:ascii="宋体"/>
                <w:vanish/>
              </w:rPr>
            </w:pPr>
          </w:p>
        </w:tc>
        <w:tc>
          <w:tcPr>
            <w:tcW w:w="0" w:type="auto"/>
            <w:shd w:val="clear" w:color="auto" w:fill="auto"/>
            <w:vAlign w:val="bottom"/>
          </w:tcPr>
          <w:p w14:paraId="39D98ACF" w14:textId="77777777" w:rsidR="00996AD7" w:rsidRDefault="00996AD7">
            <w:pPr>
              <w:rPr>
                <w:rFonts w:ascii="宋体"/>
                <w:vanish/>
              </w:rPr>
            </w:pPr>
          </w:p>
        </w:tc>
        <w:tc>
          <w:tcPr>
            <w:tcW w:w="0" w:type="auto"/>
            <w:shd w:val="clear" w:color="auto" w:fill="auto"/>
            <w:vAlign w:val="bottom"/>
          </w:tcPr>
          <w:p w14:paraId="39D98AD0" w14:textId="77777777" w:rsidR="00996AD7" w:rsidRDefault="00996AD7">
            <w:pPr>
              <w:rPr>
                <w:rFonts w:ascii="宋体"/>
                <w:vanish/>
              </w:rPr>
            </w:pPr>
          </w:p>
        </w:tc>
        <w:tc>
          <w:tcPr>
            <w:tcW w:w="0" w:type="auto"/>
            <w:gridSpan w:val="3"/>
            <w:shd w:val="clear" w:color="auto" w:fill="auto"/>
            <w:tcMar>
              <w:top w:w="0" w:type="dxa"/>
              <w:left w:w="20" w:type="dxa"/>
              <w:bottom w:w="0" w:type="dxa"/>
              <w:right w:w="20" w:type="dxa"/>
            </w:tcMar>
            <w:vAlign w:val="bottom"/>
          </w:tcPr>
          <w:p w14:paraId="39D98AD1"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AD2" w14:textId="77777777" w:rsidR="00996AD7" w:rsidRDefault="00D96458">
            <w:pPr>
              <w:jc w:val="right"/>
              <w:textAlignment w:val="bottom"/>
            </w:pPr>
            <w:r>
              <w:rPr>
                <w:rFonts w:ascii="Arial" w:eastAsia="宋体" w:hAnsi="Arial" w:cs="Arial"/>
                <w:b/>
                <w:bCs/>
                <w:color w:val="0068B5"/>
                <w:sz w:val="18"/>
                <w:szCs w:val="18"/>
              </w:rPr>
              <w:t>(390)</w:t>
            </w:r>
          </w:p>
        </w:tc>
        <w:tc>
          <w:tcPr>
            <w:tcW w:w="0" w:type="auto"/>
            <w:tcBorders>
              <w:top w:val="single" w:sz="4" w:space="0" w:color="262626"/>
            </w:tcBorders>
            <w:shd w:val="clear" w:color="auto" w:fill="auto"/>
            <w:tcMar>
              <w:top w:w="40" w:type="dxa"/>
              <w:left w:w="0" w:type="dxa"/>
              <w:bottom w:w="40" w:type="dxa"/>
              <w:right w:w="20" w:type="dxa"/>
            </w:tcMar>
            <w:vAlign w:val="bottom"/>
          </w:tcPr>
          <w:p w14:paraId="39D98AD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D4"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AD5" w14:textId="77777777" w:rsidR="00996AD7" w:rsidRDefault="00D96458">
            <w:pPr>
              <w:jc w:val="right"/>
              <w:textAlignment w:val="bottom"/>
            </w:pPr>
            <w:r>
              <w:rPr>
                <w:rFonts w:ascii="Arial" w:eastAsia="宋体" w:hAnsi="Arial" w:cs="Arial"/>
                <w:b/>
                <w:bCs/>
                <w:color w:val="0068B5"/>
                <w:sz w:val="18"/>
                <w:szCs w:val="18"/>
              </w:rPr>
              <w:t>38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AD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D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AD8" w14:textId="77777777" w:rsidR="00996AD7" w:rsidRDefault="00D96458">
            <w:pPr>
              <w:jc w:val="right"/>
              <w:textAlignment w:val="bottom"/>
            </w:pPr>
            <w:r>
              <w:rPr>
                <w:rFonts w:ascii="Arial" w:eastAsia="宋体" w:hAnsi="Arial" w:cs="Arial"/>
                <w:b/>
                <w:bCs/>
                <w:color w:val="0068B5"/>
                <w:sz w:val="18"/>
                <w:szCs w:val="18"/>
              </w:rPr>
              <w:t>(44)</w:t>
            </w:r>
          </w:p>
        </w:tc>
        <w:tc>
          <w:tcPr>
            <w:tcW w:w="0" w:type="auto"/>
            <w:tcBorders>
              <w:top w:val="single" w:sz="4" w:space="0" w:color="262626"/>
            </w:tcBorders>
            <w:shd w:val="clear" w:color="auto" w:fill="auto"/>
            <w:tcMar>
              <w:top w:w="40" w:type="dxa"/>
              <w:left w:w="0" w:type="dxa"/>
              <w:bottom w:w="40" w:type="dxa"/>
              <w:right w:w="20" w:type="dxa"/>
            </w:tcMar>
            <w:vAlign w:val="bottom"/>
          </w:tcPr>
          <w:p w14:paraId="39D98AD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DA"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ADB" w14:textId="77777777" w:rsidR="00996AD7" w:rsidRDefault="00D96458">
            <w:pPr>
              <w:jc w:val="right"/>
              <w:textAlignment w:val="bottom"/>
            </w:pPr>
            <w:r>
              <w:rPr>
                <w:rFonts w:ascii="Arial" w:eastAsia="宋体" w:hAnsi="Arial" w:cs="Arial"/>
                <w:b/>
                <w:bCs/>
                <w:color w:val="0068B5"/>
                <w:sz w:val="18"/>
                <w:szCs w:val="18"/>
              </w:rPr>
              <w:t>(396)</w:t>
            </w:r>
          </w:p>
        </w:tc>
        <w:tc>
          <w:tcPr>
            <w:tcW w:w="0" w:type="auto"/>
            <w:tcBorders>
              <w:top w:val="single" w:sz="4" w:space="0" w:color="262626"/>
            </w:tcBorders>
            <w:shd w:val="clear" w:color="auto" w:fill="auto"/>
            <w:tcMar>
              <w:top w:w="40" w:type="dxa"/>
              <w:left w:w="0" w:type="dxa"/>
              <w:bottom w:w="40" w:type="dxa"/>
              <w:right w:w="20" w:type="dxa"/>
            </w:tcMar>
            <w:vAlign w:val="bottom"/>
          </w:tcPr>
          <w:p w14:paraId="39D98ADC" w14:textId="77777777" w:rsidR="00996AD7" w:rsidRDefault="00996AD7">
            <w:pPr>
              <w:jc w:val="right"/>
              <w:rPr>
                <w:rFonts w:ascii="宋体"/>
              </w:rPr>
            </w:pPr>
          </w:p>
        </w:tc>
      </w:tr>
      <w:tr w:rsidR="00996AD7" w14:paraId="39D98AF3" w14:textId="77777777">
        <w:tc>
          <w:tcPr>
            <w:tcW w:w="0" w:type="auto"/>
            <w:gridSpan w:val="3"/>
            <w:shd w:val="clear" w:color="auto" w:fill="auto"/>
            <w:tcMar>
              <w:top w:w="40" w:type="dxa"/>
              <w:left w:w="20" w:type="dxa"/>
              <w:bottom w:w="40" w:type="dxa"/>
              <w:right w:w="20" w:type="dxa"/>
            </w:tcMar>
            <w:vAlign w:val="bottom"/>
          </w:tcPr>
          <w:p w14:paraId="39D98ADE" w14:textId="77777777" w:rsidR="00996AD7" w:rsidRDefault="00D96458">
            <w:pPr>
              <w:textAlignment w:val="bottom"/>
            </w:pPr>
            <w:r>
              <w:rPr>
                <w:rFonts w:ascii="Arial" w:eastAsia="宋体" w:hAnsi="Arial" w:cs="Arial"/>
                <w:b/>
                <w:bCs/>
                <w:color w:val="262626"/>
                <w:sz w:val="18"/>
                <w:szCs w:val="18"/>
              </w:rPr>
              <w:t>Balance as of September 25, 2021</w:t>
            </w:r>
          </w:p>
        </w:tc>
        <w:tc>
          <w:tcPr>
            <w:tcW w:w="0" w:type="auto"/>
            <w:shd w:val="clear" w:color="auto" w:fill="auto"/>
            <w:vAlign w:val="bottom"/>
          </w:tcPr>
          <w:p w14:paraId="39D98ADF" w14:textId="77777777" w:rsidR="00996AD7" w:rsidRDefault="00996AD7">
            <w:pPr>
              <w:rPr>
                <w:rFonts w:ascii="宋体"/>
                <w:vanish/>
              </w:rPr>
            </w:pPr>
          </w:p>
        </w:tc>
        <w:tc>
          <w:tcPr>
            <w:tcW w:w="0" w:type="auto"/>
            <w:shd w:val="clear" w:color="auto" w:fill="auto"/>
            <w:vAlign w:val="bottom"/>
          </w:tcPr>
          <w:p w14:paraId="39D98AE0" w14:textId="77777777" w:rsidR="00996AD7" w:rsidRDefault="00996AD7">
            <w:pPr>
              <w:rPr>
                <w:rFonts w:ascii="宋体"/>
                <w:vanish/>
              </w:rPr>
            </w:pPr>
          </w:p>
        </w:tc>
        <w:tc>
          <w:tcPr>
            <w:tcW w:w="0" w:type="auto"/>
            <w:shd w:val="clear" w:color="auto" w:fill="auto"/>
            <w:vAlign w:val="bottom"/>
          </w:tcPr>
          <w:p w14:paraId="39D98AE1" w14:textId="77777777" w:rsidR="00996AD7" w:rsidRDefault="00996AD7">
            <w:pPr>
              <w:rPr>
                <w:rFonts w:ascii="宋体"/>
                <w:vanish/>
              </w:rPr>
            </w:pPr>
          </w:p>
        </w:tc>
        <w:tc>
          <w:tcPr>
            <w:tcW w:w="0" w:type="auto"/>
            <w:shd w:val="clear" w:color="auto" w:fill="auto"/>
            <w:vAlign w:val="bottom"/>
          </w:tcPr>
          <w:p w14:paraId="39D98AE2" w14:textId="77777777" w:rsidR="00996AD7" w:rsidRDefault="00996AD7">
            <w:pPr>
              <w:rPr>
                <w:rFonts w:ascii="宋体"/>
                <w:vanish/>
              </w:rPr>
            </w:pPr>
          </w:p>
        </w:tc>
        <w:tc>
          <w:tcPr>
            <w:tcW w:w="0" w:type="auto"/>
            <w:gridSpan w:val="3"/>
            <w:shd w:val="clear" w:color="auto" w:fill="auto"/>
            <w:tcMar>
              <w:top w:w="0" w:type="dxa"/>
              <w:left w:w="20" w:type="dxa"/>
              <w:bottom w:w="0" w:type="dxa"/>
              <w:right w:w="20" w:type="dxa"/>
            </w:tcMar>
            <w:vAlign w:val="bottom"/>
          </w:tcPr>
          <w:p w14:paraId="39D98AE3"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AE4"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AE5" w14:textId="77777777" w:rsidR="00996AD7" w:rsidRDefault="00D96458">
            <w:pPr>
              <w:jc w:val="right"/>
              <w:textAlignment w:val="bottom"/>
            </w:pPr>
            <w:r>
              <w:rPr>
                <w:rFonts w:ascii="Arial" w:eastAsia="宋体" w:hAnsi="Arial" w:cs="Arial"/>
                <w:b/>
                <w:bCs/>
                <w:color w:val="0068B5"/>
                <w:sz w:val="18"/>
                <w:szCs w:val="18"/>
              </w:rPr>
              <w:t>341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AE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E7"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AE8"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AE9" w14:textId="77777777" w:rsidR="00996AD7" w:rsidRDefault="00D96458">
            <w:pPr>
              <w:jc w:val="right"/>
              <w:textAlignment w:val="bottom"/>
            </w:pPr>
            <w:r>
              <w:rPr>
                <w:rFonts w:ascii="Arial" w:eastAsia="宋体" w:hAnsi="Arial" w:cs="Arial"/>
                <w:b/>
                <w:bCs/>
                <w:color w:val="0068B5"/>
                <w:sz w:val="18"/>
                <w:szCs w:val="18"/>
              </w:rPr>
              <w:t>(1,527)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AE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EB"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AEC"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AED" w14:textId="77777777" w:rsidR="00996AD7" w:rsidRDefault="00D96458">
            <w:pPr>
              <w:jc w:val="right"/>
              <w:textAlignment w:val="bottom"/>
            </w:pPr>
            <w:r>
              <w:rPr>
                <w:rFonts w:ascii="Arial" w:eastAsia="宋体" w:hAnsi="Arial" w:cs="Arial"/>
                <w:b/>
                <w:bCs/>
                <w:color w:val="0068B5"/>
                <w:sz w:val="18"/>
                <w:szCs w:val="18"/>
              </w:rPr>
              <w:t>39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AE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AEF"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AF0"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AF1" w14:textId="77777777" w:rsidR="00996AD7" w:rsidRDefault="00D96458">
            <w:pPr>
              <w:jc w:val="right"/>
              <w:textAlignment w:val="bottom"/>
            </w:pPr>
            <w:r>
              <w:rPr>
                <w:rFonts w:ascii="Arial" w:eastAsia="宋体" w:hAnsi="Arial" w:cs="Arial"/>
                <w:b/>
                <w:bCs/>
                <w:color w:val="0068B5"/>
                <w:sz w:val="18"/>
                <w:szCs w:val="18"/>
              </w:rPr>
              <w:t>(1,147)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AF2" w14:textId="77777777" w:rsidR="00996AD7" w:rsidRDefault="00996AD7">
            <w:pPr>
              <w:jc w:val="right"/>
              <w:rPr>
                <w:rFonts w:ascii="宋体"/>
              </w:rPr>
            </w:pPr>
          </w:p>
        </w:tc>
      </w:tr>
    </w:tbl>
    <w:p w14:paraId="39D98AF4" w14:textId="77777777" w:rsidR="00996AD7" w:rsidRDefault="00D96458">
      <w:pPr>
        <w:spacing w:after="180"/>
      </w:pPr>
      <w:r>
        <w:rPr>
          <w:rFonts w:ascii="Arial" w:eastAsia="宋体" w:hAnsi="Arial" w:cs="Arial"/>
          <w:color w:val="262626"/>
          <w:sz w:val="18"/>
          <w:szCs w:val="18"/>
        </w:rPr>
        <w:t>We estimate that we will reclassify approximately $90 million (before t</w:t>
      </w:r>
      <w:r>
        <w:rPr>
          <w:rFonts w:ascii="Arial" w:eastAsia="宋体" w:hAnsi="Arial" w:cs="Arial"/>
          <w:color w:val="262626"/>
          <w:sz w:val="18"/>
          <w:szCs w:val="18"/>
        </w:rPr>
        <w:t xml:space="preserve">axes) of net derivative gains included in accumulated other comprehensive income (loss) into earnings within the next 12 months.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996AD7" w14:paraId="39D98AFB" w14:textId="77777777">
        <w:tc>
          <w:tcPr>
            <w:tcW w:w="50" w:type="pct"/>
            <w:shd w:val="clear" w:color="auto" w:fill="auto"/>
            <w:vAlign w:val="bottom"/>
          </w:tcPr>
          <w:p w14:paraId="39D98AF5" w14:textId="77777777" w:rsidR="00996AD7" w:rsidRDefault="00996AD7">
            <w:pPr>
              <w:rPr>
                <w:rFonts w:ascii="宋体"/>
              </w:rPr>
            </w:pPr>
          </w:p>
        </w:tc>
        <w:tc>
          <w:tcPr>
            <w:tcW w:w="511" w:type="pct"/>
            <w:shd w:val="clear" w:color="auto" w:fill="auto"/>
            <w:vAlign w:val="bottom"/>
          </w:tcPr>
          <w:p w14:paraId="39D98AF6" w14:textId="77777777" w:rsidR="00996AD7" w:rsidRDefault="00996AD7">
            <w:pPr>
              <w:rPr>
                <w:rFonts w:ascii="宋体"/>
              </w:rPr>
            </w:pPr>
          </w:p>
        </w:tc>
        <w:tc>
          <w:tcPr>
            <w:tcW w:w="5" w:type="pct"/>
            <w:shd w:val="clear" w:color="auto" w:fill="auto"/>
            <w:vAlign w:val="bottom"/>
          </w:tcPr>
          <w:p w14:paraId="39D98AF7" w14:textId="77777777" w:rsidR="00996AD7" w:rsidRDefault="00996AD7">
            <w:pPr>
              <w:rPr>
                <w:rFonts w:ascii="宋体"/>
              </w:rPr>
            </w:pPr>
          </w:p>
        </w:tc>
        <w:tc>
          <w:tcPr>
            <w:tcW w:w="50" w:type="pct"/>
            <w:shd w:val="clear" w:color="auto" w:fill="auto"/>
            <w:vAlign w:val="bottom"/>
          </w:tcPr>
          <w:p w14:paraId="39D98AF8" w14:textId="77777777" w:rsidR="00996AD7" w:rsidRDefault="00996AD7">
            <w:pPr>
              <w:rPr>
                <w:rFonts w:ascii="宋体"/>
              </w:rPr>
            </w:pPr>
          </w:p>
        </w:tc>
        <w:tc>
          <w:tcPr>
            <w:tcW w:w="4378" w:type="pct"/>
            <w:shd w:val="clear" w:color="auto" w:fill="auto"/>
            <w:vAlign w:val="bottom"/>
          </w:tcPr>
          <w:p w14:paraId="39D98AF9" w14:textId="77777777" w:rsidR="00996AD7" w:rsidRDefault="00996AD7">
            <w:pPr>
              <w:rPr>
                <w:rFonts w:ascii="宋体"/>
              </w:rPr>
            </w:pPr>
          </w:p>
        </w:tc>
        <w:tc>
          <w:tcPr>
            <w:tcW w:w="5" w:type="pct"/>
            <w:shd w:val="clear" w:color="auto" w:fill="auto"/>
            <w:vAlign w:val="bottom"/>
          </w:tcPr>
          <w:p w14:paraId="39D98AFA" w14:textId="77777777" w:rsidR="00996AD7" w:rsidRDefault="00996AD7">
            <w:pPr>
              <w:rPr>
                <w:rFonts w:ascii="宋体"/>
              </w:rPr>
            </w:pPr>
          </w:p>
        </w:tc>
      </w:tr>
      <w:tr w:rsidR="00996AD7" w14:paraId="39D98AFE"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39D98AFC" w14:textId="77777777" w:rsidR="00996AD7" w:rsidRDefault="00D96458">
            <w:pPr>
              <w:textAlignment w:val="bottom"/>
            </w:pPr>
            <w:r>
              <w:rPr>
                <w:rFonts w:ascii="Arial" w:eastAsia="宋体" w:hAnsi="Arial" w:cs="Arial"/>
                <w:color w:val="FFFFFF"/>
                <w:sz w:val="28"/>
                <w:szCs w:val="28"/>
              </w:rPr>
              <w:t xml:space="preserve">Note 12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8AFD" w14:textId="77777777" w:rsidR="00996AD7" w:rsidRDefault="00D96458">
            <w:pPr>
              <w:textAlignment w:val="bottom"/>
            </w:pPr>
            <w:r>
              <w:rPr>
                <w:rFonts w:ascii="Arial" w:eastAsia="宋体" w:hAnsi="Arial" w:cs="Arial"/>
                <w:color w:val="0068B5"/>
                <w:sz w:val="28"/>
                <w:szCs w:val="28"/>
              </w:rPr>
              <w:t>Derivative Financial Instruments</w:t>
            </w:r>
          </w:p>
        </w:tc>
      </w:tr>
    </w:tbl>
    <w:p w14:paraId="39D98AFF" w14:textId="77777777" w:rsidR="00996AD7" w:rsidRDefault="00D96458">
      <w:pPr>
        <w:spacing w:after="180"/>
      </w:pPr>
      <w:r>
        <w:rPr>
          <w:rFonts w:ascii="Arial" w:eastAsia="宋体" w:hAnsi="Arial" w:cs="Arial"/>
          <w:color w:val="0068B5"/>
        </w:rPr>
        <w:t>Volume of Derivative Activity</w:t>
      </w:r>
    </w:p>
    <w:p w14:paraId="39D98B00" w14:textId="77777777" w:rsidR="00996AD7" w:rsidRDefault="00D96458">
      <w:pPr>
        <w:spacing w:after="180"/>
      </w:pPr>
      <w:r>
        <w:rPr>
          <w:rFonts w:ascii="Arial" w:eastAsia="宋体" w:hAnsi="Arial" w:cs="Arial"/>
          <w:color w:val="262626"/>
          <w:sz w:val="18"/>
          <w:szCs w:val="18"/>
        </w:rPr>
        <w:t xml:space="preserve">Total gross notional amounts for </w:t>
      </w:r>
      <w:r>
        <w:rPr>
          <w:rFonts w:ascii="Arial" w:eastAsia="宋体" w:hAnsi="Arial" w:cs="Arial"/>
          <w:color w:val="262626"/>
          <w:sz w:val="18"/>
          <w:szCs w:val="18"/>
        </w:rPr>
        <w:t>outstanding derivatives at the end of each period were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6052"/>
        <w:gridCol w:w="36"/>
        <w:gridCol w:w="36"/>
        <w:gridCol w:w="36"/>
        <w:gridCol w:w="36"/>
        <w:gridCol w:w="121"/>
        <w:gridCol w:w="804"/>
        <w:gridCol w:w="36"/>
        <w:gridCol w:w="36"/>
        <w:gridCol w:w="36"/>
        <w:gridCol w:w="36"/>
        <w:gridCol w:w="121"/>
        <w:gridCol w:w="804"/>
        <w:gridCol w:w="36"/>
        <w:gridCol w:w="36"/>
        <w:gridCol w:w="36"/>
      </w:tblGrid>
      <w:tr w:rsidR="00996AD7" w14:paraId="39D98B12" w14:textId="77777777">
        <w:tc>
          <w:tcPr>
            <w:tcW w:w="50" w:type="pct"/>
            <w:shd w:val="clear" w:color="auto" w:fill="auto"/>
            <w:vAlign w:val="bottom"/>
          </w:tcPr>
          <w:p w14:paraId="39D98B01" w14:textId="77777777" w:rsidR="00996AD7" w:rsidRDefault="00996AD7">
            <w:pPr>
              <w:rPr>
                <w:rFonts w:ascii="宋体"/>
              </w:rPr>
            </w:pPr>
          </w:p>
        </w:tc>
        <w:tc>
          <w:tcPr>
            <w:tcW w:w="3688" w:type="pct"/>
            <w:shd w:val="clear" w:color="auto" w:fill="auto"/>
            <w:vAlign w:val="bottom"/>
          </w:tcPr>
          <w:p w14:paraId="39D98B02" w14:textId="77777777" w:rsidR="00996AD7" w:rsidRDefault="00996AD7">
            <w:pPr>
              <w:rPr>
                <w:rFonts w:ascii="宋体"/>
              </w:rPr>
            </w:pPr>
          </w:p>
        </w:tc>
        <w:tc>
          <w:tcPr>
            <w:tcW w:w="5" w:type="pct"/>
            <w:shd w:val="clear" w:color="auto" w:fill="auto"/>
            <w:vAlign w:val="bottom"/>
          </w:tcPr>
          <w:p w14:paraId="39D98B03" w14:textId="77777777" w:rsidR="00996AD7" w:rsidRDefault="00996AD7">
            <w:pPr>
              <w:rPr>
                <w:rFonts w:ascii="宋体"/>
              </w:rPr>
            </w:pPr>
          </w:p>
        </w:tc>
        <w:tc>
          <w:tcPr>
            <w:tcW w:w="5" w:type="pct"/>
            <w:shd w:val="clear" w:color="auto" w:fill="auto"/>
            <w:vAlign w:val="bottom"/>
          </w:tcPr>
          <w:p w14:paraId="39D98B04" w14:textId="77777777" w:rsidR="00996AD7" w:rsidRDefault="00996AD7">
            <w:pPr>
              <w:rPr>
                <w:rFonts w:ascii="宋体"/>
              </w:rPr>
            </w:pPr>
          </w:p>
        </w:tc>
        <w:tc>
          <w:tcPr>
            <w:tcW w:w="24" w:type="pct"/>
            <w:shd w:val="clear" w:color="auto" w:fill="auto"/>
            <w:vAlign w:val="bottom"/>
          </w:tcPr>
          <w:p w14:paraId="39D98B05" w14:textId="77777777" w:rsidR="00996AD7" w:rsidRDefault="00996AD7">
            <w:pPr>
              <w:rPr>
                <w:rFonts w:ascii="宋体"/>
              </w:rPr>
            </w:pPr>
          </w:p>
        </w:tc>
        <w:tc>
          <w:tcPr>
            <w:tcW w:w="5" w:type="pct"/>
            <w:shd w:val="clear" w:color="auto" w:fill="auto"/>
            <w:vAlign w:val="bottom"/>
          </w:tcPr>
          <w:p w14:paraId="39D98B06" w14:textId="77777777" w:rsidR="00996AD7" w:rsidRDefault="00996AD7">
            <w:pPr>
              <w:rPr>
                <w:rFonts w:ascii="宋体"/>
              </w:rPr>
            </w:pPr>
          </w:p>
        </w:tc>
        <w:tc>
          <w:tcPr>
            <w:tcW w:w="50" w:type="pct"/>
            <w:shd w:val="clear" w:color="auto" w:fill="auto"/>
            <w:vAlign w:val="bottom"/>
          </w:tcPr>
          <w:p w14:paraId="39D98B07" w14:textId="77777777" w:rsidR="00996AD7" w:rsidRDefault="00996AD7">
            <w:pPr>
              <w:rPr>
                <w:rFonts w:ascii="宋体"/>
              </w:rPr>
            </w:pPr>
          </w:p>
        </w:tc>
        <w:tc>
          <w:tcPr>
            <w:tcW w:w="539" w:type="pct"/>
            <w:shd w:val="clear" w:color="auto" w:fill="auto"/>
            <w:vAlign w:val="bottom"/>
          </w:tcPr>
          <w:p w14:paraId="39D98B08" w14:textId="77777777" w:rsidR="00996AD7" w:rsidRDefault="00996AD7">
            <w:pPr>
              <w:rPr>
                <w:rFonts w:ascii="宋体"/>
              </w:rPr>
            </w:pPr>
          </w:p>
        </w:tc>
        <w:tc>
          <w:tcPr>
            <w:tcW w:w="5" w:type="pct"/>
            <w:shd w:val="clear" w:color="auto" w:fill="auto"/>
            <w:vAlign w:val="bottom"/>
          </w:tcPr>
          <w:p w14:paraId="39D98B09" w14:textId="77777777" w:rsidR="00996AD7" w:rsidRDefault="00996AD7">
            <w:pPr>
              <w:rPr>
                <w:rFonts w:ascii="宋体"/>
              </w:rPr>
            </w:pPr>
          </w:p>
        </w:tc>
        <w:tc>
          <w:tcPr>
            <w:tcW w:w="5" w:type="pct"/>
            <w:shd w:val="clear" w:color="auto" w:fill="auto"/>
            <w:vAlign w:val="bottom"/>
          </w:tcPr>
          <w:p w14:paraId="39D98B0A" w14:textId="77777777" w:rsidR="00996AD7" w:rsidRDefault="00996AD7">
            <w:pPr>
              <w:rPr>
                <w:rFonts w:ascii="宋体"/>
              </w:rPr>
            </w:pPr>
          </w:p>
        </w:tc>
        <w:tc>
          <w:tcPr>
            <w:tcW w:w="24" w:type="pct"/>
            <w:shd w:val="clear" w:color="auto" w:fill="auto"/>
            <w:vAlign w:val="bottom"/>
          </w:tcPr>
          <w:p w14:paraId="39D98B0B" w14:textId="77777777" w:rsidR="00996AD7" w:rsidRDefault="00996AD7">
            <w:pPr>
              <w:rPr>
                <w:rFonts w:ascii="宋体"/>
              </w:rPr>
            </w:pPr>
          </w:p>
        </w:tc>
        <w:tc>
          <w:tcPr>
            <w:tcW w:w="5" w:type="pct"/>
            <w:shd w:val="clear" w:color="auto" w:fill="auto"/>
            <w:vAlign w:val="bottom"/>
          </w:tcPr>
          <w:p w14:paraId="39D98B0C" w14:textId="77777777" w:rsidR="00996AD7" w:rsidRDefault="00996AD7">
            <w:pPr>
              <w:rPr>
                <w:rFonts w:ascii="宋体"/>
              </w:rPr>
            </w:pPr>
          </w:p>
        </w:tc>
        <w:tc>
          <w:tcPr>
            <w:tcW w:w="50" w:type="pct"/>
            <w:shd w:val="clear" w:color="auto" w:fill="auto"/>
            <w:vAlign w:val="bottom"/>
          </w:tcPr>
          <w:p w14:paraId="39D98B0D" w14:textId="77777777" w:rsidR="00996AD7" w:rsidRDefault="00996AD7">
            <w:pPr>
              <w:rPr>
                <w:rFonts w:ascii="宋体"/>
              </w:rPr>
            </w:pPr>
          </w:p>
        </w:tc>
        <w:tc>
          <w:tcPr>
            <w:tcW w:w="539" w:type="pct"/>
            <w:shd w:val="clear" w:color="auto" w:fill="auto"/>
            <w:vAlign w:val="bottom"/>
          </w:tcPr>
          <w:p w14:paraId="39D98B0E" w14:textId="77777777" w:rsidR="00996AD7" w:rsidRDefault="00996AD7">
            <w:pPr>
              <w:rPr>
                <w:rFonts w:ascii="宋体"/>
              </w:rPr>
            </w:pPr>
          </w:p>
        </w:tc>
        <w:tc>
          <w:tcPr>
            <w:tcW w:w="5" w:type="pct"/>
            <w:shd w:val="clear" w:color="auto" w:fill="auto"/>
            <w:vAlign w:val="bottom"/>
          </w:tcPr>
          <w:p w14:paraId="39D98B0F" w14:textId="77777777" w:rsidR="00996AD7" w:rsidRDefault="00996AD7">
            <w:pPr>
              <w:rPr>
                <w:rFonts w:ascii="宋体"/>
              </w:rPr>
            </w:pPr>
          </w:p>
        </w:tc>
        <w:tc>
          <w:tcPr>
            <w:tcW w:w="0" w:type="auto"/>
            <w:shd w:val="clear" w:color="auto" w:fill="auto"/>
            <w:vAlign w:val="bottom"/>
          </w:tcPr>
          <w:p w14:paraId="39D98B10" w14:textId="77777777" w:rsidR="00996AD7" w:rsidRDefault="00996AD7">
            <w:pPr>
              <w:rPr>
                <w:rFonts w:ascii="宋体"/>
                <w:vanish/>
              </w:rPr>
            </w:pPr>
          </w:p>
        </w:tc>
        <w:tc>
          <w:tcPr>
            <w:tcW w:w="0" w:type="auto"/>
            <w:shd w:val="clear" w:color="auto" w:fill="auto"/>
            <w:vAlign w:val="bottom"/>
          </w:tcPr>
          <w:p w14:paraId="39D98B11" w14:textId="77777777" w:rsidR="00996AD7" w:rsidRDefault="00996AD7">
            <w:pPr>
              <w:rPr>
                <w:rFonts w:ascii="宋体"/>
                <w:vanish/>
              </w:rPr>
            </w:pPr>
          </w:p>
        </w:tc>
      </w:tr>
      <w:tr w:rsidR="00996AD7" w14:paraId="39D98B1A" w14:textId="77777777">
        <w:tc>
          <w:tcPr>
            <w:tcW w:w="0" w:type="auto"/>
            <w:gridSpan w:val="3"/>
            <w:shd w:val="clear" w:color="auto" w:fill="auto"/>
            <w:tcMar>
              <w:top w:w="40" w:type="dxa"/>
              <w:left w:w="20" w:type="dxa"/>
              <w:bottom w:w="40" w:type="dxa"/>
              <w:right w:w="20" w:type="dxa"/>
            </w:tcMar>
            <w:vAlign w:val="bottom"/>
          </w:tcPr>
          <w:p w14:paraId="39D98B13" w14:textId="77777777" w:rsidR="00996AD7" w:rsidRDefault="00D964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B14"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B15"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39D98B16"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B17" w14:textId="77777777" w:rsidR="00996AD7" w:rsidRDefault="00D96458">
            <w:pPr>
              <w:jc w:val="center"/>
              <w:textAlignment w:val="bottom"/>
            </w:pPr>
            <w:r>
              <w:rPr>
                <w:rFonts w:ascii="Arial" w:eastAsia="宋体" w:hAnsi="Arial" w:cs="Arial"/>
                <w:b/>
                <w:bCs/>
                <w:color w:val="262626"/>
                <w:sz w:val="18"/>
                <w:szCs w:val="18"/>
              </w:rPr>
              <w:t>Dec 26, 2020</w:t>
            </w:r>
          </w:p>
        </w:tc>
        <w:tc>
          <w:tcPr>
            <w:tcW w:w="0" w:type="auto"/>
            <w:shd w:val="clear" w:color="auto" w:fill="auto"/>
            <w:vAlign w:val="bottom"/>
          </w:tcPr>
          <w:p w14:paraId="39D98B18" w14:textId="77777777" w:rsidR="00996AD7" w:rsidRDefault="00996AD7">
            <w:pPr>
              <w:rPr>
                <w:rFonts w:ascii="宋体"/>
                <w:vanish/>
              </w:rPr>
            </w:pPr>
          </w:p>
        </w:tc>
        <w:tc>
          <w:tcPr>
            <w:tcW w:w="0" w:type="auto"/>
            <w:shd w:val="clear" w:color="auto" w:fill="auto"/>
            <w:vAlign w:val="bottom"/>
          </w:tcPr>
          <w:p w14:paraId="39D98B19" w14:textId="77777777" w:rsidR="00996AD7" w:rsidRDefault="00996AD7">
            <w:pPr>
              <w:rPr>
                <w:rFonts w:ascii="宋体"/>
                <w:vanish/>
              </w:rPr>
            </w:pPr>
          </w:p>
        </w:tc>
      </w:tr>
      <w:tr w:rsidR="00996AD7" w14:paraId="39D98B26"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8B1B" w14:textId="77777777" w:rsidR="00996AD7" w:rsidRDefault="00D96458">
            <w:pPr>
              <w:ind w:hanging="180"/>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39D98B1C"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B1D"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B1E" w14:textId="77777777" w:rsidR="00996AD7" w:rsidRDefault="00D96458">
            <w:pPr>
              <w:jc w:val="right"/>
              <w:textAlignment w:val="bottom"/>
            </w:pPr>
            <w:r>
              <w:rPr>
                <w:rFonts w:ascii="Arial" w:eastAsia="宋体" w:hAnsi="Arial" w:cs="Arial"/>
                <w:color w:val="0068B5"/>
                <w:sz w:val="18"/>
                <w:szCs w:val="18"/>
              </w:rPr>
              <w:t>35,012 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B1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20"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B21"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B22" w14:textId="77777777" w:rsidR="00996AD7" w:rsidRDefault="00D96458">
            <w:pPr>
              <w:jc w:val="right"/>
              <w:textAlignment w:val="bottom"/>
            </w:pPr>
            <w:r>
              <w:rPr>
                <w:rFonts w:ascii="Arial" w:eastAsia="宋体" w:hAnsi="Arial" w:cs="Arial"/>
                <w:color w:val="262626"/>
                <w:sz w:val="18"/>
                <w:szCs w:val="18"/>
              </w:rPr>
              <w:t>31,209 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B23" w14:textId="77777777" w:rsidR="00996AD7" w:rsidRDefault="00996AD7">
            <w:pPr>
              <w:jc w:val="right"/>
              <w:rPr>
                <w:rFonts w:ascii="宋体"/>
              </w:rPr>
            </w:pPr>
          </w:p>
        </w:tc>
        <w:tc>
          <w:tcPr>
            <w:tcW w:w="0" w:type="auto"/>
            <w:shd w:val="clear" w:color="auto" w:fill="auto"/>
            <w:vAlign w:val="bottom"/>
          </w:tcPr>
          <w:p w14:paraId="39D98B24" w14:textId="77777777" w:rsidR="00996AD7" w:rsidRDefault="00996AD7">
            <w:pPr>
              <w:rPr>
                <w:rFonts w:ascii="宋体"/>
                <w:vanish/>
              </w:rPr>
            </w:pPr>
          </w:p>
        </w:tc>
        <w:tc>
          <w:tcPr>
            <w:tcW w:w="0" w:type="auto"/>
            <w:shd w:val="clear" w:color="auto" w:fill="auto"/>
            <w:vAlign w:val="bottom"/>
          </w:tcPr>
          <w:p w14:paraId="39D98B25" w14:textId="77777777" w:rsidR="00996AD7" w:rsidRDefault="00996AD7">
            <w:pPr>
              <w:rPr>
                <w:rFonts w:ascii="宋体"/>
                <w:vanish/>
              </w:rPr>
            </w:pPr>
          </w:p>
        </w:tc>
      </w:tr>
      <w:tr w:rsidR="00996AD7" w14:paraId="39D98B30" w14:textId="77777777">
        <w:tc>
          <w:tcPr>
            <w:tcW w:w="0" w:type="auto"/>
            <w:gridSpan w:val="3"/>
            <w:shd w:val="clear" w:color="auto" w:fill="auto"/>
            <w:tcMar>
              <w:top w:w="40" w:type="dxa"/>
              <w:left w:w="20" w:type="dxa"/>
              <w:bottom w:w="40" w:type="dxa"/>
              <w:right w:w="20" w:type="dxa"/>
            </w:tcMar>
          </w:tcPr>
          <w:p w14:paraId="39D98B27" w14:textId="77777777" w:rsidR="00996AD7" w:rsidRDefault="00D96458">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39D98B2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29" w14:textId="77777777" w:rsidR="00996AD7" w:rsidRDefault="00D96458">
            <w:pPr>
              <w:jc w:val="right"/>
              <w:textAlignment w:val="bottom"/>
            </w:pPr>
            <w:r>
              <w:rPr>
                <w:rFonts w:ascii="Arial" w:eastAsia="宋体" w:hAnsi="Arial" w:cs="Arial"/>
                <w:color w:val="0068B5"/>
                <w:sz w:val="18"/>
                <w:szCs w:val="18"/>
              </w:rPr>
              <w:t>14,960 </w:t>
            </w:r>
          </w:p>
        </w:tc>
        <w:tc>
          <w:tcPr>
            <w:tcW w:w="0" w:type="auto"/>
            <w:shd w:val="clear" w:color="auto" w:fill="auto"/>
            <w:tcMar>
              <w:top w:w="40" w:type="dxa"/>
              <w:left w:w="0" w:type="dxa"/>
              <w:bottom w:w="40" w:type="dxa"/>
              <w:right w:w="20" w:type="dxa"/>
            </w:tcMar>
            <w:vAlign w:val="bottom"/>
          </w:tcPr>
          <w:p w14:paraId="39D98B2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2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2C" w14:textId="77777777" w:rsidR="00996AD7" w:rsidRDefault="00D96458">
            <w:pPr>
              <w:jc w:val="right"/>
              <w:textAlignment w:val="bottom"/>
            </w:pPr>
            <w:r>
              <w:rPr>
                <w:rFonts w:ascii="Arial" w:eastAsia="宋体" w:hAnsi="Arial" w:cs="Arial"/>
                <w:color w:val="262626"/>
                <w:sz w:val="18"/>
                <w:szCs w:val="18"/>
              </w:rPr>
              <w:t>14,461 </w:t>
            </w:r>
          </w:p>
        </w:tc>
        <w:tc>
          <w:tcPr>
            <w:tcW w:w="0" w:type="auto"/>
            <w:shd w:val="clear" w:color="auto" w:fill="auto"/>
            <w:tcMar>
              <w:top w:w="40" w:type="dxa"/>
              <w:left w:w="0" w:type="dxa"/>
              <w:bottom w:w="40" w:type="dxa"/>
              <w:right w:w="20" w:type="dxa"/>
            </w:tcMar>
            <w:vAlign w:val="bottom"/>
          </w:tcPr>
          <w:p w14:paraId="39D98B2D" w14:textId="77777777" w:rsidR="00996AD7" w:rsidRDefault="00996AD7">
            <w:pPr>
              <w:jc w:val="right"/>
              <w:rPr>
                <w:rFonts w:ascii="宋体"/>
              </w:rPr>
            </w:pPr>
          </w:p>
        </w:tc>
        <w:tc>
          <w:tcPr>
            <w:tcW w:w="0" w:type="auto"/>
            <w:shd w:val="clear" w:color="auto" w:fill="auto"/>
            <w:vAlign w:val="bottom"/>
          </w:tcPr>
          <w:p w14:paraId="39D98B2E" w14:textId="77777777" w:rsidR="00996AD7" w:rsidRDefault="00996AD7">
            <w:pPr>
              <w:rPr>
                <w:rFonts w:ascii="宋体"/>
                <w:vanish/>
              </w:rPr>
            </w:pPr>
          </w:p>
        </w:tc>
        <w:tc>
          <w:tcPr>
            <w:tcW w:w="0" w:type="auto"/>
            <w:shd w:val="clear" w:color="auto" w:fill="auto"/>
            <w:vAlign w:val="bottom"/>
          </w:tcPr>
          <w:p w14:paraId="39D98B2F" w14:textId="77777777" w:rsidR="00996AD7" w:rsidRDefault="00996AD7">
            <w:pPr>
              <w:rPr>
                <w:rFonts w:ascii="宋体"/>
                <w:vanish/>
              </w:rPr>
            </w:pPr>
          </w:p>
        </w:tc>
      </w:tr>
      <w:tr w:rsidR="00996AD7" w14:paraId="39D98B3A" w14:textId="77777777">
        <w:tc>
          <w:tcPr>
            <w:tcW w:w="0" w:type="auto"/>
            <w:gridSpan w:val="3"/>
            <w:shd w:val="clear" w:color="auto" w:fill="auto"/>
            <w:tcMar>
              <w:top w:w="40" w:type="dxa"/>
              <w:left w:w="20" w:type="dxa"/>
              <w:bottom w:w="40" w:type="dxa"/>
              <w:right w:w="20" w:type="dxa"/>
            </w:tcMar>
          </w:tcPr>
          <w:p w14:paraId="39D98B31" w14:textId="77777777" w:rsidR="00996AD7" w:rsidRDefault="00D96458">
            <w:pPr>
              <w:ind w:hanging="180"/>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39D98B3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33" w14:textId="77777777" w:rsidR="00996AD7" w:rsidRDefault="00D96458">
            <w:pPr>
              <w:jc w:val="right"/>
              <w:textAlignment w:val="bottom"/>
            </w:pPr>
            <w:r>
              <w:rPr>
                <w:rFonts w:ascii="Arial" w:eastAsia="宋体" w:hAnsi="Arial" w:cs="Arial"/>
                <w:color w:val="0068B5"/>
                <w:sz w:val="18"/>
                <w:szCs w:val="18"/>
              </w:rPr>
              <w:t>2,419 </w:t>
            </w:r>
          </w:p>
        </w:tc>
        <w:tc>
          <w:tcPr>
            <w:tcW w:w="0" w:type="auto"/>
            <w:shd w:val="clear" w:color="auto" w:fill="auto"/>
            <w:tcMar>
              <w:top w:w="40" w:type="dxa"/>
              <w:left w:w="0" w:type="dxa"/>
              <w:bottom w:w="40" w:type="dxa"/>
              <w:right w:w="20" w:type="dxa"/>
            </w:tcMar>
            <w:vAlign w:val="bottom"/>
          </w:tcPr>
          <w:p w14:paraId="39D98B3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3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36" w14:textId="77777777" w:rsidR="00996AD7" w:rsidRDefault="00D96458">
            <w:pPr>
              <w:jc w:val="right"/>
              <w:textAlignment w:val="bottom"/>
            </w:pPr>
            <w:r>
              <w:rPr>
                <w:rFonts w:ascii="Arial" w:eastAsia="宋体" w:hAnsi="Arial" w:cs="Arial"/>
                <w:color w:val="262626"/>
                <w:sz w:val="18"/>
                <w:szCs w:val="18"/>
              </w:rPr>
              <w:t>2,026 </w:t>
            </w:r>
          </w:p>
        </w:tc>
        <w:tc>
          <w:tcPr>
            <w:tcW w:w="0" w:type="auto"/>
            <w:shd w:val="clear" w:color="auto" w:fill="auto"/>
            <w:tcMar>
              <w:top w:w="40" w:type="dxa"/>
              <w:left w:w="0" w:type="dxa"/>
              <w:bottom w:w="40" w:type="dxa"/>
              <w:right w:w="20" w:type="dxa"/>
            </w:tcMar>
            <w:vAlign w:val="bottom"/>
          </w:tcPr>
          <w:p w14:paraId="39D98B37" w14:textId="77777777" w:rsidR="00996AD7" w:rsidRDefault="00996AD7">
            <w:pPr>
              <w:jc w:val="right"/>
              <w:rPr>
                <w:rFonts w:ascii="宋体"/>
              </w:rPr>
            </w:pPr>
          </w:p>
        </w:tc>
        <w:tc>
          <w:tcPr>
            <w:tcW w:w="0" w:type="auto"/>
            <w:shd w:val="clear" w:color="auto" w:fill="auto"/>
            <w:vAlign w:val="bottom"/>
          </w:tcPr>
          <w:p w14:paraId="39D98B38" w14:textId="77777777" w:rsidR="00996AD7" w:rsidRDefault="00996AD7">
            <w:pPr>
              <w:rPr>
                <w:rFonts w:ascii="宋体"/>
                <w:vanish/>
              </w:rPr>
            </w:pPr>
          </w:p>
        </w:tc>
        <w:tc>
          <w:tcPr>
            <w:tcW w:w="0" w:type="auto"/>
            <w:shd w:val="clear" w:color="auto" w:fill="auto"/>
            <w:vAlign w:val="bottom"/>
          </w:tcPr>
          <w:p w14:paraId="39D98B39" w14:textId="77777777" w:rsidR="00996AD7" w:rsidRDefault="00996AD7">
            <w:pPr>
              <w:rPr>
                <w:rFonts w:ascii="宋体"/>
                <w:vanish/>
              </w:rPr>
            </w:pPr>
          </w:p>
        </w:tc>
      </w:tr>
      <w:tr w:rsidR="00996AD7" w14:paraId="39D98B46" w14:textId="77777777">
        <w:tc>
          <w:tcPr>
            <w:tcW w:w="0" w:type="auto"/>
            <w:gridSpan w:val="3"/>
            <w:shd w:val="clear" w:color="auto" w:fill="auto"/>
            <w:tcMar>
              <w:top w:w="40" w:type="dxa"/>
              <w:left w:w="20" w:type="dxa"/>
              <w:bottom w:w="40" w:type="dxa"/>
              <w:right w:w="20" w:type="dxa"/>
            </w:tcMar>
          </w:tcPr>
          <w:p w14:paraId="39D98B3B" w14:textId="77777777" w:rsidR="00996AD7" w:rsidRDefault="00D9645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39D98B3C"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B3D"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B3E" w14:textId="77777777" w:rsidR="00996AD7" w:rsidRDefault="00D96458">
            <w:pPr>
              <w:jc w:val="right"/>
              <w:textAlignment w:val="bottom"/>
            </w:pPr>
            <w:r>
              <w:rPr>
                <w:rFonts w:ascii="Arial" w:eastAsia="宋体" w:hAnsi="Arial" w:cs="Arial"/>
                <w:b/>
                <w:bCs/>
                <w:color w:val="0068B5"/>
                <w:sz w:val="18"/>
                <w:szCs w:val="18"/>
              </w:rPr>
              <w:t>52,391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B3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40"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B41"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B42" w14:textId="77777777" w:rsidR="00996AD7" w:rsidRDefault="00D96458">
            <w:pPr>
              <w:jc w:val="right"/>
              <w:textAlignment w:val="bottom"/>
            </w:pPr>
            <w:r>
              <w:rPr>
                <w:rFonts w:ascii="Arial" w:eastAsia="宋体" w:hAnsi="Arial" w:cs="Arial"/>
                <w:b/>
                <w:bCs/>
                <w:color w:val="262626"/>
                <w:sz w:val="18"/>
                <w:szCs w:val="18"/>
              </w:rPr>
              <w:t>47,696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B43" w14:textId="77777777" w:rsidR="00996AD7" w:rsidRDefault="00996AD7">
            <w:pPr>
              <w:jc w:val="right"/>
              <w:rPr>
                <w:rFonts w:ascii="宋体"/>
              </w:rPr>
            </w:pPr>
          </w:p>
        </w:tc>
        <w:tc>
          <w:tcPr>
            <w:tcW w:w="0" w:type="auto"/>
            <w:shd w:val="clear" w:color="auto" w:fill="auto"/>
            <w:vAlign w:val="bottom"/>
          </w:tcPr>
          <w:p w14:paraId="39D98B44" w14:textId="77777777" w:rsidR="00996AD7" w:rsidRDefault="00996AD7">
            <w:pPr>
              <w:rPr>
                <w:rFonts w:ascii="宋体"/>
                <w:vanish/>
              </w:rPr>
            </w:pPr>
          </w:p>
        </w:tc>
        <w:tc>
          <w:tcPr>
            <w:tcW w:w="0" w:type="auto"/>
            <w:shd w:val="clear" w:color="auto" w:fill="auto"/>
            <w:vAlign w:val="bottom"/>
          </w:tcPr>
          <w:p w14:paraId="39D98B45" w14:textId="77777777" w:rsidR="00996AD7" w:rsidRDefault="00996AD7">
            <w:pPr>
              <w:rPr>
                <w:rFonts w:ascii="宋体"/>
                <w:vanish/>
              </w:rPr>
            </w:pPr>
          </w:p>
        </w:tc>
      </w:tr>
    </w:tbl>
    <w:p w14:paraId="39D98B47" w14:textId="77777777" w:rsidR="00996AD7" w:rsidRDefault="00996AD7">
      <w:pPr>
        <w:spacing w:after="180"/>
      </w:pPr>
    </w:p>
    <w:p w14:paraId="39D98B48" w14:textId="77777777" w:rsidR="00996AD7" w:rsidRDefault="00996AD7">
      <w:pPr>
        <w:spacing w:after="180"/>
      </w:pPr>
    </w:p>
    <w:p w14:paraId="39D98B49" w14:textId="77777777" w:rsidR="00996AD7" w:rsidRDefault="00996AD7">
      <w:pPr>
        <w:spacing w:after="180"/>
      </w:pPr>
    </w:p>
    <w:p w14:paraId="39D98B4A" w14:textId="77777777" w:rsidR="00996AD7" w:rsidRDefault="00996AD7">
      <w:pPr>
        <w:spacing w:after="180"/>
      </w:pPr>
    </w:p>
    <w:p w14:paraId="39D98B4B" w14:textId="77777777" w:rsidR="00996AD7" w:rsidRDefault="00996AD7">
      <w:pPr>
        <w:spacing w:after="180"/>
      </w:pPr>
    </w:p>
    <w:p w14:paraId="39D98B4C" w14:textId="77777777" w:rsidR="00996AD7" w:rsidRDefault="00996AD7">
      <w:pPr>
        <w:spacing w:after="180"/>
      </w:pPr>
    </w:p>
    <w:p w14:paraId="39D98B4D"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8B5A" w14:textId="77777777">
        <w:tc>
          <w:tcPr>
            <w:tcW w:w="50" w:type="pct"/>
            <w:shd w:val="clear" w:color="auto" w:fill="auto"/>
            <w:vAlign w:val="bottom"/>
          </w:tcPr>
          <w:p w14:paraId="39D98B4E" w14:textId="77777777" w:rsidR="00996AD7" w:rsidRDefault="00996AD7">
            <w:pPr>
              <w:rPr>
                <w:rFonts w:ascii="宋体"/>
              </w:rPr>
            </w:pPr>
          </w:p>
        </w:tc>
        <w:tc>
          <w:tcPr>
            <w:tcW w:w="238" w:type="pct"/>
            <w:shd w:val="clear" w:color="auto" w:fill="auto"/>
            <w:vAlign w:val="bottom"/>
          </w:tcPr>
          <w:p w14:paraId="39D98B4F" w14:textId="77777777" w:rsidR="00996AD7" w:rsidRDefault="00996AD7">
            <w:pPr>
              <w:rPr>
                <w:rFonts w:ascii="宋体"/>
              </w:rPr>
            </w:pPr>
          </w:p>
        </w:tc>
        <w:tc>
          <w:tcPr>
            <w:tcW w:w="5" w:type="pct"/>
            <w:shd w:val="clear" w:color="auto" w:fill="auto"/>
            <w:vAlign w:val="bottom"/>
          </w:tcPr>
          <w:p w14:paraId="39D98B50" w14:textId="77777777" w:rsidR="00996AD7" w:rsidRDefault="00996AD7">
            <w:pPr>
              <w:rPr>
                <w:rFonts w:ascii="宋体"/>
              </w:rPr>
            </w:pPr>
          </w:p>
        </w:tc>
        <w:tc>
          <w:tcPr>
            <w:tcW w:w="50" w:type="pct"/>
            <w:shd w:val="clear" w:color="auto" w:fill="auto"/>
            <w:vAlign w:val="bottom"/>
          </w:tcPr>
          <w:p w14:paraId="39D98B51" w14:textId="77777777" w:rsidR="00996AD7" w:rsidRDefault="00996AD7">
            <w:pPr>
              <w:rPr>
                <w:rFonts w:ascii="宋体"/>
              </w:rPr>
            </w:pPr>
          </w:p>
        </w:tc>
        <w:tc>
          <w:tcPr>
            <w:tcW w:w="983" w:type="pct"/>
            <w:shd w:val="clear" w:color="auto" w:fill="auto"/>
            <w:vAlign w:val="bottom"/>
          </w:tcPr>
          <w:p w14:paraId="39D98B52" w14:textId="77777777" w:rsidR="00996AD7" w:rsidRDefault="00996AD7">
            <w:pPr>
              <w:rPr>
                <w:rFonts w:ascii="宋体"/>
              </w:rPr>
            </w:pPr>
          </w:p>
        </w:tc>
        <w:tc>
          <w:tcPr>
            <w:tcW w:w="5" w:type="pct"/>
            <w:shd w:val="clear" w:color="auto" w:fill="auto"/>
            <w:vAlign w:val="bottom"/>
          </w:tcPr>
          <w:p w14:paraId="39D98B53" w14:textId="77777777" w:rsidR="00996AD7" w:rsidRDefault="00996AD7">
            <w:pPr>
              <w:rPr>
                <w:rFonts w:ascii="宋体"/>
              </w:rPr>
            </w:pPr>
          </w:p>
        </w:tc>
        <w:tc>
          <w:tcPr>
            <w:tcW w:w="50" w:type="pct"/>
            <w:shd w:val="clear" w:color="auto" w:fill="auto"/>
            <w:vAlign w:val="bottom"/>
          </w:tcPr>
          <w:p w14:paraId="39D98B54" w14:textId="77777777" w:rsidR="00996AD7" w:rsidRDefault="00996AD7">
            <w:pPr>
              <w:rPr>
                <w:rFonts w:ascii="宋体"/>
              </w:rPr>
            </w:pPr>
          </w:p>
        </w:tc>
        <w:tc>
          <w:tcPr>
            <w:tcW w:w="2035" w:type="pct"/>
            <w:shd w:val="clear" w:color="auto" w:fill="auto"/>
            <w:vAlign w:val="bottom"/>
          </w:tcPr>
          <w:p w14:paraId="39D98B55" w14:textId="77777777" w:rsidR="00996AD7" w:rsidRDefault="00996AD7">
            <w:pPr>
              <w:rPr>
                <w:rFonts w:ascii="宋体"/>
              </w:rPr>
            </w:pPr>
          </w:p>
        </w:tc>
        <w:tc>
          <w:tcPr>
            <w:tcW w:w="5" w:type="pct"/>
            <w:shd w:val="clear" w:color="auto" w:fill="auto"/>
            <w:vAlign w:val="bottom"/>
          </w:tcPr>
          <w:p w14:paraId="39D98B56" w14:textId="77777777" w:rsidR="00996AD7" w:rsidRDefault="00996AD7">
            <w:pPr>
              <w:rPr>
                <w:rFonts w:ascii="宋体"/>
              </w:rPr>
            </w:pPr>
          </w:p>
        </w:tc>
        <w:tc>
          <w:tcPr>
            <w:tcW w:w="50" w:type="pct"/>
            <w:shd w:val="clear" w:color="auto" w:fill="auto"/>
            <w:vAlign w:val="bottom"/>
          </w:tcPr>
          <w:p w14:paraId="39D98B57" w14:textId="77777777" w:rsidR="00996AD7" w:rsidRDefault="00996AD7">
            <w:pPr>
              <w:rPr>
                <w:rFonts w:ascii="宋体"/>
              </w:rPr>
            </w:pPr>
          </w:p>
        </w:tc>
        <w:tc>
          <w:tcPr>
            <w:tcW w:w="1522" w:type="pct"/>
            <w:shd w:val="clear" w:color="auto" w:fill="auto"/>
            <w:vAlign w:val="bottom"/>
          </w:tcPr>
          <w:p w14:paraId="39D98B58" w14:textId="77777777" w:rsidR="00996AD7" w:rsidRDefault="00996AD7">
            <w:pPr>
              <w:rPr>
                <w:rFonts w:ascii="宋体"/>
              </w:rPr>
            </w:pPr>
          </w:p>
        </w:tc>
        <w:tc>
          <w:tcPr>
            <w:tcW w:w="5" w:type="pct"/>
            <w:shd w:val="clear" w:color="auto" w:fill="auto"/>
            <w:vAlign w:val="bottom"/>
          </w:tcPr>
          <w:p w14:paraId="39D98B59" w14:textId="77777777" w:rsidR="00996AD7" w:rsidRDefault="00996AD7">
            <w:pPr>
              <w:rPr>
                <w:rFonts w:ascii="宋体"/>
              </w:rPr>
            </w:pPr>
          </w:p>
        </w:tc>
      </w:tr>
      <w:tr w:rsidR="00996AD7" w14:paraId="39D98B5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B5B"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C3" wp14:editId="39D9A3C4">
                  <wp:extent cx="304800" cy="304800"/>
                  <wp:effectExtent l="0" t="0" r="0" b="0"/>
                  <wp:docPr id="18"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1"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B5C"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8B5D"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B5E" w14:textId="77777777" w:rsidR="00996AD7" w:rsidRDefault="00D96458">
            <w:pPr>
              <w:jc w:val="right"/>
              <w:textAlignment w:val="center"/>
            </w:pPr>
            <w:r>
              <w:rPr>
                <w:rFonts w:ascii="Arial" w:eastAsia="宋体" w:hAnsi="Arial" w:cs="Arial"/>
                <w:color w:val="262626"/>
                <w:sz w:val="16"/>
                <w:szCs w:val="16"/>
              </w:rPr>
              <w:t>16</w:t>
            </w:r>
          </w:p>
        </w:tc>
      </w:tr>
    </w:tbl>
    <w:p w14:paraId="39D98B60" w14:textId="77777777" w:rsidR="00996AD7" w:rsidRDefault="00D96458">
      <w:r>
        <w:pict w14:anchorId="39D9A3C5">
          <v:rect id="_x0000_i1042" style="width:415.3pt;height:1.5pt" o:hralign="center" o:hrstd="t" o:hr="t" fillcolor="#a0a0a0" stroked="f"/>
        </w:pict>
      </w:r>
    </w:p>
    <w:p w14:paraId="39D98B61" w14:textId="77777777" w:rsidR="00996AD7" w:rsidRDefault="00D96458">
      <w:pPr>
        <w:spacing w:after="180"/>
        <w:jc w:val="right"/>
      </w:pPr>
      <w:hyperlink r:id="rId43" w:anchor="i94e6cc3aa83643b8b968bd5bab038338_7" w:history="1">
        <w:r>
          <w:rPr>
            <w:rStyle w:val="a5"/>
            <w:rFonts w:ascii="Arial" w:eastAsia="宋体" w:hAnsi="Arial" w:cs="Arial"/>
            <w:b/>
            <w:bCs/>
            <w:color w:val="0068B5"/>
            <w:sz w:val="16"/>
            <w:szCs w:val="16"/>
          </w:rPr>
          <w:t>Table of Contents</w:t>
        </w:r>
      </w:hyperlink>
    </w:p>
    <w:p w14:paraId="39D98B62" w14:textId="77777777" w:rsidR="00996AD7" w:rsidRDefault="00996AD7">
      <w:pPr>
        <w:spacing w:after="180"/>
        <w:jc w:val="right"/>
      </w:pPr>
    </w:p>
    <w:p w14:paraId="39D98B63" w14:textId="77777777" w:rsidR="00996AD7" w:rsidRDefault="00D96458">
      <w:pPr>
        <w:spacing w:before="300" w:after="180"/>
      </w:pPr>
      <w:r>
        <w:rPr>
          <w:rFonts w:ascii="Arial" w:eastAsia="宋体" w:hAnsi="Arial" w:cs="Arial"/>
          <w:color w:val="0068B5"/>
        </w:rPr>
        <w:t>Fair Value of Derivative Instruments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980"/>
        <w:gridCol w:w="38"/>
        <w:gridCol w:w="36"/>
        <w:gridCol w:w="36"/>
        <w:gridCol w:w="36"/>
        <w:gridCol w:w="122"/>
        <w:gridCol w:w="784"/>
        <w:gridCol w:w="36"/>
        <w:gridCol w:w="36"/>
        <w:gridCol w:w="36"/>
        <w:gridCol w:w="36"/>
        <w:gridCol w:w="122"/>
        <w:gridCol w:w="846"/>
        <w:gridCol w:w="36"/>
        <w:gridCol w:w="36"/>
        <w:gridCol w:w="36"/>
        <w:gridCol w:w="36"/>
        <w:gridCol w:w="122"/>
        <w:gridCol w:w="739"/>
        <w:gridCol w:w="36"/>
        <w:gridCol w:w="36"/>
        <w:gridCol w:w="36"/>
        <w:gridCol w:w="36"/>
        <w:gridCol w:w="122"/>
        <w:gridCol w:w="846"/>
        <w:gridCol w:w="36"/>
      </w:tblGrid>
      <w:tr w:rsidR="00996AD7" w14:paraId="39D98B7F" w14:textId="77777777">
        <w:tc>
          <w:tcPr>
            <w:tcW w:w="50" w:type="pct"/>
            <w:shd w:val="clear" w:color="auto" w:fill="auto"/>
            <w:vAlign w:val="bottom"/>
          </w:tcPr>
          <w:p w14:paraId="39D98B64" w14:textId="77777777" w:rsidR="00996AD7" w:rsidRDefault="00996AD7">
            <w:pPr>
              <w:rPr>
                <w:rFonts w:ascii="宋体"/>
              </w:rPr>
            </w:pPr>
          </w:p>
        </w:tc>
        <w:tc>
          <w:tcPr>
            <w:tcW w:w="2431" w:type="pct"/>
            <w:shd w:val="clear" w:color="auto" w:fill="auto"/>
            <w:vAlign w:val="bottom"/>
          </w:tcPr>
          <w:p w14:paraId="39D98B65" w14:textId="77777777" w:rsidR="00996AD7" w:rsidRDefault="00996AD7">
            <w:pPr>
              <w:rPr>
                <w:rFonts w:ascii="宋体"/>
              </w:rPr>
            </w:pPr>
          </w:p>
        </w:tc>
        <w:tc>
          <w:tcPr>
            <w:tcW w:w="5" w:type="pct"/>
            <w:shd w:val="clear" w:color="auto" w:fill="auto"/>
            <w:vAlign w:val="bottom"/>
          </w:tcPr>
          <w:p w14:paraId="39D98B66" w14:textId="77777777" w:rsidR="00996AD7" w:rsidRDefault="00996AD7">
            <w:pPr>
              <w:rPr>
                <w:rFonts w:ascii="宋体"/>
              </w:rPr>
            </w:pPr>
          </w:p>
        </w:tc>
        <w:tc>
          <w:tcPr>
            <w:tcW w:w="5" w:type="pct"/>
            <w:shd w:val="clear" w:color="auto" w:fill="auto"/>
            <w:vAlign w:val="bottom"/>
          </w:tcPr>
          <w:p w14:paraId="39D98B67" w14:textId="77777777" w:rsidR="00996AD7" w:rsidRDefault="00996AD7">
            <w:pPr>
              <w:rPr>
                <w:rFonts w:ascii="宋体"/>
              </w:rPr>
            </w:pPr>
          </w:p>
        </w:tc>
        <w:tc>
          <w:tcPr>
            <w:tcW w:w="24" w:type="pct"/>
            <w:shd w:val="clear" w:color="auto" w:fill="auto"/>
            <w:vAlign w:val="bottom"/>
          </w:tcPr>
          <w:p w14:paraId="39D98B68" w14:textId="77777777" w:rsidR="00996AD7" w:rsidRDefault="00996AD7">
            <w:pPr>
              <w:rPr>
                <w:rFonts w:ascii="宋体"/>
              </w:rPr>
            </w:pPr>
          </w:p>
        </w:tc>
        <w:tc>
          <w:tcPr>
            <w:tcW w:w="5" w:type="pct"/>
            <w:shd w:val="clear" w:color="auto" w:fill="auto"/>
            <w:vAlign w:val="bottom"/>
          </w:tcPr>
          <w:p w14:paraId="39D98B69" w14:textId="77777777" w:rsidR="00996AD7" w:rsidRDefault="00996AD7">
            <w:pPr>
              <w:rPr>
                <w:rFonts w:ascii="宋体"/>
              </w:rPr>
            </w:pPr>
          </w:p>
        </w:tc>
        <w:tc>
          <w:tcPr>
            <w:tcW w:w="50" w:type="pct"/>
            <w:shd w:val="clear" w:color="auto" w:fill="auto"/>
            <w:vAlign w:val="bottom"/>
          </w:tcPr>
          <w:p w14:paraId="39D98B6A" w14:textId="77777777" w:rsidR="00996AD7" w:rsidRDefault="00996AD7">
            <w:pPr>
              <w:rPr>
                <w:rFonts w:ascii="宋体"/>
              </w:rPr>
            </w:pPr>
          </w:p>
        </w:tc>
        <w:tc>
          <w:tcPr>
            <w:tcW w:w="539" w:type="pct"/>
            <w:shd w:val="clear" w:color="auto" w:fill="auto"/>
            <w:vAlign w:val="bottom"/>
          </w:tcPr>
          <w:p w14:paraId="39D98B6B" w14:textId="77777777" w:rsidR="00996AD7" w:rsidRDefault="00996AD7">
            <w:pPr>
              <w:rPr>
                <w:rFonts w:ascii="宋体"/>
              </w:rPr>
            </w:pPr>
          </w:p>
        </w:tc>
        <w:tc>
          <w:tcPr>
            <w:tcW w:w="5" w:type="pct"/>
            <w:shd w:val="clear" w:color="auto" w:fill="auto"/>
            <w:vAlign w:val="bottom"/>
          </w:tcPr>
          <w:p w14:paraId="39D98B6C" w14:textId="77777777" w:rsidR="00996AD7" w:rsidRDefault="00996AD7">
            <w:pPr>
              <w:rPr>
                <w:rFonts w:ascii="宋体"/>
              </w:rPr>
            </w:pPr>
          </w:p>
        </w:tc>
        <w:tc>
          <w:tcPr>
            <w:tcW w:w="5" w:type="pct"/>
            <w:shd w:val="clear" w:color="auto" w:fill="auto"/>
            <w:vAlign w:val="bottom"/>
          </w:tcPr>
          <w:p w14:paraId="39D98B6D" w14:textId="77777777" w:rsidR="00996AD7" w:rsidRDefault="00996AD7">
            <w:pPr>
              <w:rPr>
                <w:rFonts w:ascii="宋体"/>
              </w:rPr>
            </w:pPr>
          </w:p>
        </w:tc>
        <w:tc>
          <w:tcPr>
            <w:tcW w:w="24" w:type="pct"/>
            <w:shd w:val="clear" w:color="auto" w:fill="auto"/>
            <w:vAlign w:val="bottom"/>
          </w:tcPr>
          <w:p w14:paraId="39D98B6E" w14:textId="77777777" w:rsidR="00996AD7" w:rsidRDefault="00996AD7">
            <w:pPr>
              <w:rPr>
                <w:rFonts w:ascii="宋体"/>
              </w:rPr>
            </w:pPr>
          </w:p>
        </w:tc>
        <w:tc>
          <w:tcPr>
            <w:tcW w:w="5" w:type="pct"/>
            <w:shd w:val="clear" w:color="auto" w:fill="auto"/>
            <w:vAlign w:val="bottom"/>
          </w:tcPr>
          <w:p w14:paraId="39D98B6F" w14:textId="77777777" w:rsidR="00996AD7" w:rsidRDefault="00996AD7">
            <w:pPr>
              <w:rPr>
                <w:rFonts w:ascii="宋体"/>
              </w:rPr>
            </w:pPr>
          </w:p>
        </w:tc>
        <w:tc>
          <w:tcPr>
            <w:tcW w:w="50" w:type="pct"/>
            <w:shd w:val="clear" w:color="auto" w:fill="auto"/>
            <w:vAlign w:val="bottom"/>
          </w:tcPr>
          <w:p w14:paraId="39D98B70" w14:textId="77777777" w:rsidR="00996AD7" w:rsidRDefault="00996AD7">
            <w:pPr>
              <w:rPr>
                <w:rFonts w:ascii="宋体"/>
              </w:rPr>
            </w:pPr>
          </w:p>
        </w:tc>
        <w:tc>
          <w:tcPr>
            <w:tcW w:w="539" w:type="pct"/>
            <w:shd w:val="clear" w:color="auto" w:fill="auto"/>
            <w:vAlign w:val="bottom"/>
          </w:tcPr>
          <w:p w14:paraId="39D98B71" w14:textId="77777777" w:rsidR="00996AD7" w:rsidRDefault="00996AD7">
            <w:pPr>
              <w:rPr>
                <w:rFonts w:ascii="宋体"/>
              </w:rPr>
            </w:pPr>
          </w:p>
        </w:tc>
        <w:tc>
          <w:tcPr>
            <w:tcW w:w="5" w:type="pct"/>
            <w:shd w:val="clear" w:color="auto" w:fill="auto"/>
            <w:vAlign w:val="bottom"/>
          </w:tcPr>
          <w:p w14:paraId="39D98B72" w14:textId="77777777" w:rsidR="00996AD7" w:rsidRDefault="00996AD7">
            <w:pPr>
              <w:rPr>
                <w:rFonts w:ascii="宋体"/>
              </w:rPr>
            </w:pPr>
          </w:p>
        </w:tc>
        <w:tc>
          <w:tcPr>
            <w:tcW w:w="5" w:type="pct"/>
            <w:shd w:val="clear" w:color="auto" w:fill="auto"/>
            <w:vAlign w:val="bottom"/>
          </w:tcPr>
          <w:p w14:paraId="39D98B73" w14:textId="77777777" w:rsidR="00996AD7" w:rsidRDefault="00996AD7">
            <w:pPr>
              <w:rPr>
                <w:rFonts w:ascii="宋体"/>
              </w:rPr>
            </w:pPr>
          </w:p>
        </w:tc>
        <w:tc>
          <w:tcPr>
            <w:tcW w:w="24" w:type="pct"/>
            <w:shd w:val="clear" w:color="auto" w:fill="auto"/>
            <w:vAlign w:val="bottom"/>
          </w:tcPr>
          <w:p w14:paraId="39D98B74" w14:textId="77777777" w:rsidR="00996AD7" w:rsidRDefault="00996AD7">
            <w:pPr>
              <w:rPr>
                <w:rFonts w:ascii="宋体"/>
              </w:rPr>
            </w:pPr>
          </w:p>
        </w:tc>
        <w:tc>
          <w:tcPr>
            <w:tcW w:w="5" w:type="pct"/>
            <w:shd w:val="clear" w:color="auto" w:fill="auto"/>
            <w:vAlign w:val="bottom"/>
          </w:tcPr>
          <w:p w14:paraId="39D98B75" w14:textId="77777777" w:rsidR="00996AD7" w:rsidRDefault="00996AD7">
            <w:pPr>
              <w:rPr>
                <w:rFonts w:ascii="宋体"/>
              </w:rPr>
            </w:pPr>
          </w:p>
        </w:tc>
        <w:tc>
          <w:tcPr>
            <w:tcW w:w="50" w:type="pct"/>
            <w:shd w:val="clear" w:color="auto" w:fill="auto"/>
            <w:vAlign w:val="bottom"/>
          </w:tcPr>
          <w:p w14:paraId="39D98B76" w14:textId="77777777" w:rsidR="00996AD7" w:rsidRDefault="00996AD7">
            <w:pPr>
              <w:rPr>
                <w:rFonts w:ascii="宋体"/>
              </w:rPr>
            </w:pPr>
          </w:p>
        </w:tc>
        <w:tc>
          <w:tcPr>
            <w:tcW w:w="539" w:type="pct"/>
            <w:shd w:val="clear" w:color="auto" w:fill="auto"/>
            <w:vAlign w:val="bottom"/>
          </w:tcPr>
          <w:p w14:paraId="39D98B77" w14:textId="77777777" w:rsidR="00996AD7" w:rsidRDefault="00996AD7">
            <w:pPr>
              <w:rPr>
                <w:rFonts w:ascii="宋体"/>
              </w:rPr>
            </w:pPr>
          </w:p>
        </w:tc>
        <w:tc>
          <w:tcPr>
            <w:tcW w:w="5" w:type="pct"/>
            <w:shd w:val="clear" w:color="auto" w:fill="auto"/>
            <w:vAlign w:val="bottom"/>
          </w:tcPr>
          <w:p w14:paraId="39D98B78" w14:textId="77777777" w:rsidR="00996AD7" w:rsidRDefault="00996AD7">
            <w:pPr>
              <w:rPr>
                <w:rFonts w:ascii="宋体"/>
              </w:rPr>
            </w:pPr>
          </w:p>
        </w:tc>
        <w:tc>
          <w:tcPr>
            <w:tcW w:w="5" w:type="pct"/>
            <w:shd w:val="clear" w:color="auto" w:fill="auto"/>
            <w:vAlign w:val="bottom"/>
          </w:tcPr>
          <w:p w14:paraId="39D98B79" w14:textId="77777777" w:rsidR="00996AD7" w:rsidRDefault="00996AD7">
            <w:pPr>
              <w:rPr>
                <w:rFonts w:ascii="宋体"/>
              </w:rPr>
            </w:pPr>
          </w:p>
        </w:tc>
        <w:tc>
          <w:tcPr>
            <w:tcW w:w="24" w:type="pct"/>
            <w:shd w:val="clear" w:color="auto" w:fill="auto"/>
            <w:vAlign w:val="bottom"/>
          </w:tcPr>
          <w:p w14:paraId="39D98B7A" w14:textId="77777777" w:rsidR="00996AD7" w:rsidRDefault="00996AD7">
            <w:pPr>
              <w:rPr>
                <w:rFonts w:ascii="宋体"/>
              </w:rPr>
            </w:pPr>
          </w:p>
        </w:tc>
        <w:tc>
          <w:tcPr>
            <w:tcW w:w="5" w:type="pct"/>
            <w:shd w:val="clear" w:color="auto" w:fill="auto"/>
            <w:vAlign w:val="bottom"/>
          </w:tcPr>
          <w:p w14:paraId="39D98B7B" w14:textId="77777777" w:rsidR="00996AD7" w:rsidRDefault="00996AD7">
            <w:pPr>
              <w:rPr>
                <w:rFonts w:ascii="宋体"/>
              </w:rPr>
            </w:pPr>
          </w:p>
        </w:tc>
        <w:tc>
          <w:tcPr>
            <w:tcW w:w="50" w:type="pct"/>
            <w:shd w:val="clear" w:color="auto" w:fill="auto"/>
            <w:vAlign w:val="bottom"/>
          </w:tcPr>
          <w:p w14:paraId="39D98B7C" w14:textId="77777777" w:rsidR="00996AD7" w:rsidRDefault="00996AD7">
            <w:pPr>
              <w:rPr>
                <w:rFonts w:ascii="宋体"/>
              </w:rPr>
            </w:pPr>
          </w:p>
        </w:tc>
        <w:tc>
          <w:tcPr>
            <w:tcW w:w="539" w:type="pct"/>
            <w:shd w:val="clear" w:color="auto" w:fill="auto"/>
            <w:vAlign w:val="bottom"/>
          </w:tcPr>
          <w:p w14:paraId="39D98B7D" w14:textId="77777777" w:rsidR="00996AD7" w:rsidRDefault="00996AD7">
            <w:pPr>
              <w:rPr>
                <w:rFonts w:ascii="宋体"/>
              </w:rPr>
            </w:pPr>
          </w:p>
        </w:tc>
        <w:tc>
          <w:tcPr>
            <w:tcW w:w="5" w:type="pct"/>
            <w:shd w:val="clear" w:color="auto" w:fill="auto"/>
            <w:vAlign w:val="bottom"/>
          </w:tcPr>
          <w:p w14:paraId="39D98B7E" w14:textId="77777777" w:rsidR="00996AD7" w:rsidRDefault="00996AD7">
            <w:pPr>
              <w:rPr>
                <w:rFonts w:ascii="宋体"/>
              </w:rPr>
            </w:pPr>
          </w:p>
        </w:tc>
      </w:tr>
      <w:tr w:rsidR="00996AD7" w14:paraId="39D98B85" w14:textId="77777777">
        <w:tc>
          <w:tcPr>
            <w:tcW w:w="0" w:type="auto"/>
            <w:gridSpan w:val="3"/>
            <w:shd w:val="clear" w:color="auto" w:fill="auto"/>
            <w:tcMar>
              <w:top w:w="40" w:type="dxa"/>
              <w:left w:w="20" w:type="dxa"/>
              <w:bottom w:w="40" w:type="dxa"/>
              <w:right w:w="20" w:type="dxa"/>
            </w:tcMar>
            <w:vAlign w:val="bottom"/>
          </w:tcPr>
          <w:p w14:paraId="39D98B80" w14:textId="77777777" w:rsidR="00996AD7" w:rsidRDefault="00D96458">
            <w:pPr>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39D98B81"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B82"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39D98B83"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B84" w14:textId="77777777" w:rsidR="00996AD7" w:rsidRDefault="00D96458">
            <w:pPr>
              <w:jc w:val="center"/>
              <w:textAlignment w:val="bottom"/>
            </w:pPr>
            <w:r>
              <w:rPr>
                <w:rFonts w:ascii="Arial" w:eastAsia="宋体" w:hAnsi="Arial" w:cs="Arial"/>
                <w:b/>
                <w:bCs/>
                <w:color w:val="262626"/>
                <w:sz w:val="18"/>
                <w:szCs w:val="18"/>
              </w:rPr>
              <w:t>Dec 26, 2020</w:t>
            </w:r>
          </w:p>
        </w:tc>
      </w:tr>
      <w:tr w:rsidR="00996AD7" w14:paraId="39D98B8F" w14:textId="77777777">
        <w:tc>
          <w:tcPr>
            <w:tcW w:w="0" w:type="auto"/>
            <w:gridSpan w:val="3"/>
            <w:shd w:val="clear" w:color="auto" w:fill="auto"/>
            <w:tcMar>
              <w:top w:w="40" w:type="dxa"/>
              <w:left w:w="20" w:type="dxa"/>
              <w:bottom w:w="40" w:type="dxa"/>
              <w:right w:w="20" w:type="dxa"/>
            </w:tcMar>
            <w:vAlign w:val="bottom"/>
          </w:tcPr>
          <w:p w14:paraId="39D98B86"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B87"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B88" w14:textId="77777777" w:rsidR="00996AD7" w:rsidRDefault="00D96458">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B89"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B8A" w14:textId="77777777" w:rsidR="00996AD7" w:rsidRDefault="00D96458">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vAlign w:val="bottom"/>
          </w:tcPr>
          <w:p w14:paraId="39D98B8B"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B8C" w14:textId="77777777" w:rsidR="00996AD7" w:rsidRDefault="00D96458">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B8D"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B8E" w14:textId="77777777" w:rsidR="00996AD7" w:rsidRDefault="00D96458">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r>
      <w:tr w:rsidR="00996AD7" w14:paraId="39D98B99"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8B90" w14:textId="77777777" w:rsidR="00996AD7" w:rsidRDefault="00D96458">
            <w:pPr>
              <w:ind w:hanging="180"/>
              <w:textAlignment w:val="top"/>
            </w:pPr>
            <w:r>
              <w:rPr>
                <w:rFonts w:ascii="Arial" w:eastAsia="宋体" w:hAnsi="Arial" w:cs="Arial"/>
                <w:color w:val="262626"/>
                <w:sz w:val="18"/>
                <w:szCs w:val="18"/>
              </w:rPr>
              <w:t>Derivatives designated as hedging instruments:</w:t>
            </w:r>
          </w:p>
        </w:tc>
        <w:tc>
          <w:tcPr>
            <w:tcW w:w="0" w:type="auto"/>
            <w:gridSpan w:val="3"/>
            <w:shd w:val="clear" w:color="auto" w:fill="auto"/>
            <w:tcMar>
              <w:top w:w="0" w:type="dxa"/>
              <w:left w:w="20" w:type="dxa"/>
              <w:bottom w:w="0" w:type="dxa"/>
              <w:right w:w="20" w:type="dxa"/>
            </w:tcMar>
            <w:vAlign w:val="bottom"/>
          </w:tcPr>
          <w:p w14:paraId="39D98B91"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B9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B93"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B9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B95"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B9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B97"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B98" w14:textId="77777777" w:rsidR="00996AD7" w:rsidRDefault="00996AD7">
            <w:pPr>
              <w:rPr>
                <w:rFonts w:ascii="宋体"/>
              </w:rPr>
            </w:pPr>
          </w:p>
        </w:tc>
      </w:tr>
      <w:tr w:rsidR="00996AD7" w14:paraId="39D98BAB" w14:textId="77777777">
        <w:tc>
          <w:tcPr>
            <w:tcW w:w="0" w:type="auto"/>
            <w:gridSpan w:val="3"/>
            <w:shd w:val="clear" w:color="auto" w:fill="auto"/>
            <w:tcMar>
              <w:top w:w="40" w:type="dxa"/>
              <w:left w:w="20" w:type="dxa"/>
              <w:bottom w:w="40" w:type="dxa"/>
              <w:right w:w="20" w:type="dxa"/>
            </w:tcMar>
          </w:tcPr>
          <w:p w14:paraId="39D98B9A" w14:textId="77777777" w:rsidR="00996AD7" w:rsidRDefault="00D96458">
            <w:pPr>
              <w:textAlignment w:val="top"/>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39D98B9B"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B9C"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B9D" w14:textId="77777777" w:rsidR="00996AD7" w:rsidRDefault="00D96458">
            <w:pPr>
              <w:jc w:val="right"/>
              <w:textAlignment w:val="bottom"/>
            </w:pPr>
            <w:r>
              <w:rPr>
                <w:rFonts w:ascii="Arial" w:eastAsia="宋体" w:hAnsi="Arial" w:cs="Arial"/>
                <w:color w:val="0068B5"/>
                <w:sz w:val="18"/>
                <w:szCs w:val="18"/>
              </w:rPr>
              <w:t>99 </w:t>
            </w:r>
          </w:p>
        </w:tc>
        <w:tc>
          <w:tcPr>
            <w:tcW w:w="0" w:type="auto"/>
            <w:shd w:val="clear" w:color="auto" w:fill="auto"/>
            <w:tcMar>
              <w:top w:w="40" w:type="dxa"/>
              <w:left w:w="0" w:type="dxa"/>
              <w:bottom w:w="40" w:type="dxa"/>
              <w:right w:w="20" w:type="dxa"/>
            </w:tcMar>
            <w:vAlign w:val="bottom"/>
          </w:tcPr>
          <w:p w14:paraId="39D98B9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9F"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BA0"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BA1" w14:textId="77777777" w:rsidR="00996AD7" w:rsidRDefault="00D96458">
            <w:pPr>
              <w:jc w:val="right"/>
              <w:textAlignment w:val="bottom"/>
            </w:pPr>
            <w:r>
              <w:rPr>
                <w:rFonts w:ascii="Arial" w:eastAsia="宋体" w:hAnsi="Arial" w:cs="Arial"/>
                <w:color w:val="0068B5"/>
                <w:sz w:val="18"/>
                <w:szCs w:val="18"/>
              </w:rPr>
              <w:t>74 </w:t>
            </w:r>
          </w:p>
        </w:tc>
        <w:tc>
          <w:tcPr>
            <w:tcW w:w="0" w:type="auto"/>
            <w:shd w:val="clear" w:color="auto" w:fill="auto"/>
            <w:tcMar>
              <w:top w:w="40" w:type="dxa"/>
              <w:left w:w="0" w:type="dxa"/>
              <w:bottom w:w="40" w:type="dxa"/>
              <w:right w:w="20" w:type="dxa"/>
            </w:tcMar>
            <w:vAlign w:val="bottom"/>
          </w:tcPr>
          <w:p w14:paraId="39D98BA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A3"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BA4"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BA5" w14:textId="77777777" w:rsidR="00996AD7" w:rsidRDefault="00D96458">
            <w:pPr>
              <w:jc w:val="right"/>
              <w:textAlignment w:val="bottom"/>
            </w:pPr>
            <w:r>
              <w:rPr>
                <w:rFonts w:ascii="Arial" w:eastAsia="宋体" w:hAnsi="Arial" w:cs="Arial"/>
                <w:color w:val="262626"/>
                <w:sz w:val="18"/>
                <w:szCs w:val="18"/>
              </w:rPr>
              <w:t>551 </w:t>
            </w:r>
          </w:p>
        </w:tc>
        <w:tc>
          <w:tcPr>
            <w:tcW w:w="0" w:type="auto"/>
            <w:shd w:val="clear" w:color="auto" w:fill="auto"/>
            <w:tcMar>
              <w:top w:w="40" w:type="dxa"/>
              <w:left w:w="0" w:type="dxa"/>
              <w:bottom w:w="40" w:type="dxa"/>
              <w:right w:w="20" w:type="dxa"/>
            </w:tcMar>
            <w:vAlign w:val="bottom"/>
          </w:tcPr>
          <w:p w14:paraId="39D98BA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A7"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BA8"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BA9" w14:textId="77777777" w:rsidR="00996AD7" w:rsidRDefault="00D96458">
            <w:pPr>
              <w:jc w:val="right"/>
              <w:textAlignment w:val="bottom"/>
            </w:pPr>
            <w:r>
              <w:rPr>
                <w:rFonts w:ascii="Arial" w:eastAsia="宋体" w:hAnsi="Arial" w:cs="Arial"/>
                <w:color w:val="262626"/>
                <w:sz w:val="18"/>
                <w:szCs w:val="18"/>
              </w:rPr>
              <w:t>2 </w:t>
            </w:r>
          </w:p>
        </w:tc>
        <w:tc>
          <w:tcPr>
            <w:tcW w:w="0" w:type="auto"/>
            <w:shd w:val="clear" w:color="auto" w:fill="auto"/>
            <w:tcMar>
              <w:top w:w="40" w:type="dxa"/>
              <w:left w:w="0" w:type="dxa"/>
              <w:bottom w:w="40" w:type="dxa"/>
              <w:right w:w="20" w:type="dxa"/>
            </w:tcMar>
            <w:vAlign w:val="bottom"/>
          </w:tcPr>
          <w:p w14:paraId="39D98BAA" w14:textId="77777777" w:rsidR="00996AD7" w:rsidRDefault="00996AD7">
            <w:pPr>
              <w:jc w:val="right"/>
              <w:rPr>
                <w:rFonts w:ascii="宋体"/>
              </w:rPr>
            </w:pPr>
          </w:p>
        </w:tc>
      </w:tr>
      <w:tr w:rsidR="00996AD7" w14:paraId="39D98BB9" w14:textId="77777777">
        <w:tc>
          <w:tcPr>
            <w:tcW w:w="0" w:type="auto"/>
            <w:gridSpan w:val="3"/>
            <w:shd w:val="clear" w:color="auto" w:fill="auto"/>
            <w:tcMar>
              <w:top w:w="40" w:type="dxa"/>
              <w:left w:w="20" w:type="dxa"/>
              <w:bottom w:w="40" w:type="dxa"/>
              <w:right w:w="20" w:type="dxa"/>
            </w:tcMar>
          </w:tcPr>
          <w:p w14:paraId="39D98BAC" w14:textId="77777777" w:rsidR="00996AD7" w:rsidRDefault="00D96458">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39D98BA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AE" w14:textId="77777777" w:rsidR="00996AD7" w:rsidRDefault="00D96458">
            <w:pPr>
              <w:jc w:val="right"/>
              <w:textAlignment w:val="bottom"/>
            </w:pPr>
            <w:r>
              <w:rPr>
                <w:rFonts w:ascii="Arial" w:eastAsia="宋体" w:hAnsi="Arial" w:cs="Arial"/>
                <w:color w:val="0068B5"/>
                <w:sz w:val="18"/>
                <w:szCs w:val="18"/>
              </w:rPr>
              <w:t>966 </w:t>
            </w:r>
          </w:p>
        </w:tc>
        <w:tc>
          <w:tcPr>
            <w:tcW w:w="0" w:type="auto"/>
            <w:shd w:val="clear" w:color="auto" w:fill="auto"/>
            <w:tcMar>
              <w:top w:w="40" w:type="dxa"/>
              <w:left w:w="0" w:type="dxa"/>
              <w:bottom w:w="40" w:type="dxa"/>
              <w:right w:w="20" w:type="dxa"/>
            </w:tcMar>
            <w:vAlign w:val="bottom"/>
          </w:tcPr>
          <w:p w14:paraId="39D98BA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B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B1"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BB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B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B4" w14:textId="77777777" w:rsidR="00996AD7" w:rsidRDefault="00D96458">
            <w:pPr>
              <w:jc w:val="right"/>
              <w:textAlignment w:val="bottom"/>
            </w:pPr>
            <w:r>
              <w:rPr>
                <w:rFonts w:ascii="Arial" w:eastAsia="宋体" w:hAnsi="Arial" w:cs="Arial"/>
                <w:color w:val="262626"/>
                <w:sz w:val="18"/>
                <w:szCs w:val="18"/>
              </w:rPr>
              <w:t>1,498 </w:t>
            </w:r>
          </w:p>
        </w:tc>
        <w:tc>
          <w:tcPr>
            <w:tcW w:w="0" w:type="auto"/>
            <w:shd w:val="clear" w:color="auto" w:fill="auto"/>
            <w:tcMar>
              <w:top w:w="40" w:type="dxa"/>
              <w:left w:w="0" w:type="dxa"/>
              <w:bottom w:w="40" w:type="dxa"/>
              <w:right w:w="20" w:type="dxa"/>
            </w:tcMar>
            <w:vAlign w:val="bottom"/>
          </w:tcPr>
          <w:p w14:paraId="39D98BB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B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B7"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BB8" w14:textId="77777777" w:rsidR="00996AD7" w:rsidRDefault="00996AD7">
            <w:pPr>
              <w:jc w:val="right"/>
              <w:rPr>
                <w:rFonts w:ascii="宋体"/>
              </w:rPr>
            </w:pPr>
          </w:p>
        </w:tc>
      </w:tr>
      <w:tr w:rsidR="00996AD7" w14:paraId="39D98BC7" w14:textId="77777777">
        <w:tc>
          <w:tcPr>
            <w:tcW w:w="0" w:type="auto"/>
            <w:gridSpan w:val="3"/>
            <w:shd w:val="clear" w:color="auto" w:fill="auto"/>
            <w:tcMar>
              <w:top w:w="40" w:type="dxa"/>
              <w:left w:w="20" w:type="dxa"/>
              <w:bottom w:w="40" w:type="dxa"/>
              <w:right w:w="20" w:type="dxa"/>
            </w:tcMar>
          </w:tcPr>
          <w:p w14:paraId="39D98BBA" w14:textId="77777777" w:rsidR="00996AD7" w:rsidRDefault="00D96458">
            <w:pPr>
              <w:ind w:hanging="180"/>
              <w:textAlignment w:val="top"/>
            </w:pPr>
            <w:r>
              <w:rPr>
                <w:rFonts w:ascii="Arial" w:eastAsia="宋体" w:hAnsi="Arial" w:cs="Arial"/>
                <w:b/>
                <w:bCs/>
                <w:color w:val="262626"/>
                <w:sz w:val="18"/>
                <w:szCs w:val="18"/>
              </w:rPr>
              <w:t>Total derivatives designated as hedging instruments</w:t>
            </w:r>
          </w:p>
        </w:tc>
        <w:tc>
          <w:tcPr>
            <w:tcW w:w="0" w:type="auto"/>
            <w:gridSpan w:val="3"/>
            <w:shd w:val="clear" w:color="auto" w:fill="auto"/>
            <w:tcMar>
              <w:top w:w="0" w:type="dxa"/>
              <w:left w:w="20" w:type="dxa"/>
              <w:bottom w:w="0" w:type="dxa"/>
              <w:right w:w="20" w:type="dxa"/>
            </w:tcMar>
            <w:vAlign w:val="bottom"/>
          </w:tcPr>
          <w:p w14:paraId="39D98BBB"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BBC" w14:textId="77777777" w:rsidR="00996AD7" w:rsidRDefault="00D96458">
            <w:pPr>
              <w:jc w:val="right"/>
              <w:textAlignment w:val="bottom"/>
            </w:pPr>
            <w:r>
              <w:rPr>
                <w:rFonts w:ascii="Arial" w:eastAsia="宋体" w:hAnsi="Arial" w:cs="Arial"/>
                <w:b/>
                <w:bCs/>
                <w:color w:val="0068B5"/>
                <w:sz w:val="18"/>
                <w:szCs w:val="18"/>
              </w:rPr>
              <w:t>1,065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BB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BE"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BBF" w14:textId="77777777" w:rsidR="00996AD7" w:rsidRDefault="00D96458">
            <w:pPr>
              <w:jc w:val="right"/>
              <w:textAlignment w:val="bottom"/>
            </w:pPr>
            <w:r>
              <w:rPr>
                <w:rFonts w:ascii="Arial" w:eastAsia="宋体" w:hAnsi="Arial" w:cs="Arial"/>
                <w:b/>
                <w:bCs/>
                <w:color w:val="0068B5"/>
                <w:sz w:val="18"/>
                <w:szCs w:val="18"/>
              </w:rPr>
              <w:t>74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BC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C1"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BC2" w14:textId="77777777" w:rsidR="00996AD7" w:rsidRDefault="00D96458">
            <w:pPr>
              <w:jc w:val="right"/>
              <w:textAlignment w:val="bottom"/>
            </w:pPr>
            <w:r>
              <w:rPr>
                <w:rFonts w:ascii="Arial" w:eastAsia="宋体" w:hAnsi="Arial" w:cs="Arial"/>
                <w:b/>
                <w:bCs/>
                <w:color w:val="262626"/>
                <w:sz w:val="18"/>
                <w:szCs w:val="18"/>
              </w:rPr>
              <w:t>2,049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BC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C4"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BC5" w14:textId="77777777" w:rsidR="00996AD7" w:rsidRDefault="00D96458">
            <w:pPr>
              <w:jc w:val="right"/>
              <w:textAlignment w:val="bottom"/>
            </w:pPr>
            <w:r>
              <w:rPr>
                <w:rFonts w:ascii="Arial" w:eastAsia="宋体" w:hAnsi="Arial" w:cs="Arial"/>
                <w:b/>
                <w:bCs/>
                <w:color w:val="262626"/>
                <w:sz w:val="18"/>
                <w:szCs w:val="18"/>
              </w:rPr>
              <w:t>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BC6" w14:textId="77777777" w:rsidR="00996AD7" w:rsidRDefault="00996AD7">
            <w:pPr>
              <w:jc w:val="right"/>
              <w:rPr>
                <w:rFonts w:ascii="宋体"/>
              </w:rPr>
            </w:pPr>
          </w:p>
        </w:tc>
      </w:tr>
      <w:tr w:rsidR="00996AD7" w14:paraId="39D98BD1" w14:textId="77777777">
        <w:tc>
          <w:tcPr>
            <w:tcW w:w="0" w:type="auto"/>
            <w:gridSpan w:val="3"/>
            <w:shd w:val="clear" w:color="auto" w:fill="auto"/>
            <w:tcMar>
              <w:top w:w="40" w:type="dxa"/>
              <w:left w:w="20" w:type="dxa"/>
              <w:bottom w:w="40" w:type="dxa"/>
              <w:right w:w="20" w:type="dxa"/>
            </w:tcMar>
          </w:tcPr>
          <w:p w14:paraId="39D98BC8" w14:textId="77777777" w:rsidR="00996AD7" w:rsidRDefault="00D96458">
            <w:pPr>
              <w:ind w:hanging="180"/>
              <w:textAlignment w:val="top"/>
            </w:pPr>
            <w:r>
              <w:rPr>
                <w:rFonts w:ascii="Arial" w:eastAsia="宋体" w:hAnsi="Arial" w:cs="Arial"/>
                <w:color w:val="262626"/>
                <w:sz w:val="18"/>
                <w:szCs w:val="18"/>
              </w:rPr>
              <w:t>Derivatives not designated as hedging instruments:</w:t>
            </w:r>
          </w:p>
        </w:tc>
        <w:tc>
          <w:tcPr>
            <w:tcW w:w="0" w:type="auto"/>
            <w:gridSpan w:val="3"/>
            <w:shd w:val="clear" w:color="auto" w:fill="auto"/>
            <w:tcMar>
              <w:top w:w="0" w:type="dxa"/>
              <w:left w:w="20" w:type="dxa"/>
              <w:bottom w:w="0" w:type="dxa"/>
              <w:right w:w="20" w:type="dxa"/>
            </w:tcMar>
            <w:vAlign w:val="bottom"/>
          </w:tcPr>
          <w:p w14:paraId="39D98BC9"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8BC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BCB"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8BC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BCD"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8BC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BCF"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8BD0" w14:textId="77777777" w:rsidR="00996AD7" w:rsidRDefault="00996AD7">
            <w:pPr>
              <w:rPr>
                <w:rFonts w:ascii="宋体"/>
              </w:rPr>
            </w:pPr>
          </w:p>
        </w:tc>
      </w:tr>
      <w:tr w:rsidR="00996AD7" w14:paraId="39D98BDF" w14:textId="77777777">
        <w:tc>
          <w:tcPr>
            <w:tcW w:w="0" w:type="auto"/>
            <w:gridSpan w:val="3"/>
            <w:shd w:val="clear" w:color="auto" w:fill="auto"/>
            <w:tcMar>
              <w:top w:w="40" w:type="dxa"/>
              <w:left w:w="20" w:type="dxa"/>
              <w:bottom w:w="40" w:type="dxa"/>
              <w:right w:w="20" w:type="dxa"/>
            </w:tcMar>
          </w:tcPr>
          <w:p w14:paraId="39D98BD2" w14:textId="77777777" w:rsidR="00996AD7" w:rsidRDefault="00D96458">
            <w:pPr>
              <w:textAlignment w:val="top"/>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39D98BD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D4" w14:textId="77777777" w:rsidR="00996AD7" w:rsidRDefault="00D96458">
            <w:pPr>
              <w:jc w:val="right"/>
              <w:textAlignment w:val="bottom"/>
            </w:pPr>
            <w:r>
              <w:rPr>
                <w:rFonts w:ascii="Arial" w:eastAsia="宋体" w:hAnsi="Arial" w:cs="Arial"/>
                <w:color w:val="0068B5"/>
                <w:sz w:val="18"/>
                <w:szCs w:val="18"/>
              </w:rPr>
              <w:t>221 </w:t>
            </w:r>
          </w:p>
        </w:tc>
        <w:tc>
          <w:tcPr>
            <w:tcW w:w="0" w:type="auto"/>
            <w:shd w:val="clear" w:color="auto" w:fill="auto"/>
            <w:tcMar>
              <w:top w:w="40" w:type="dxa"/>
              <w:left w:w="0" w:type="dxa"/>
              <w:bottom w:w="40" w:type="dxa"/>
              <w:right w:w="20" w:type="dxa"/>
            </w:tcMar>
            <w:vAlign w:val="bottom"/>
          </w:tcPr>
          <w:p w14:paraId="39D98BD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D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D7" w14:textId="77777777" w:rsidR="00996AD7" w:rsidRDefault="00D96458">
            <w:pPr>
              <w:jc w:val="right"/>
              <w:textAlignment w:val="bottom"/>
            </w:pPr>
            <w:r>
              <w:rPr>
                <w:rFonts w:ascii="Arial" w:eastAsia="宋体" w:hAnsi="Arial" w:cs="Arial"/>
                <w:color w:val="0068B5"/>
                <w:sz w:val="18"/>
                <w:szCs w:val="18"/>
              </w:rPr>
              <w:t>378 </w:t>
            </w:r>
          </w:p>
        </w:tc>
        <w:tc>
          <w:tcPr>
            <w:tcW w:w="0" w:type="auto"/>
            <w:shd w:val="clear" w:color="auto" w:fill="auto"/>
            <w:tcMar>
              <w:top w:w="40" w:type="dxa"/>
              <w:left w:w="0" w:type="dxa"/>
              <w:bottom w:w="40" w:type="dxa"/>
              <w:right w:w="20" w:type="dxa"/>
            </w:tcMar>
            <w:vAlign w:val="bottom"/>
          </w:tcPr>
          <w:p w14:paraId="39D98BD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D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DA" w14:textId="77777777" w:rsidR="00996AD7" w:rsidRDefault="00D96458">
            <w:pPr>
              <w:jc w:val="right"/>
              <w:textAlignment w:val="bottom"/>
            </w:pPr>
            <w:r>
              <w:rPr>
                <w:rFonts w:ascii="Arial" w:eastAsia="宋体" w:hAnsi="Arial" w:cs="Arial"/>
                <w:color w:val="262626"/>
                <w:sz w:val="18"/>
                <w:szCs w:val="18"/>
              </w:rPr>
              <w:t>142 </w:t>
            </w:r>
          </w:p>
        </w:tc>
        <w:tc>
          <w:tcPr>
            <w:tcW w:w="0" w:type="auto"/>
            <w:shd w:val="clear" w:color="auto" w:fill="auto"/>
            <w:tcMar>
              <w:top w:w="40" w:type="dxa"/>
              <w:left w:w="0" w:type="dxa"/>
              <w:bottom w:w="40" w:type="dxa"/>
              <w:right w:w="20" w:type="dxa"/>
            </w:tcMar>
            <w:vAlign w:val="bottom"/>
          </w:tcPr>
          <w:p w14:paraId="39D98BD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D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DD" w14:textId="77777777" w:rsidR="00996AD7" w:rsidRDefault="00D96458">
            <w:pPr>
              <w:jc w:val="right"/>
              <w:textAlignment w:val="bottom"/>
            </w:pPr>
            <w:r>
              <w:rPr>
                <w:rFonts w:ascii="Arial" w:eastAsia="宋体" w:hAnsi="Arial" w:cs="Arial"/>
                <w:color w:val="262626"/>
                <w:sz w:val="18"/>
                <w:szCs w:val="18"/>
              </w:rPr>
              <w:t>685 </w:t>
            </w:r>
          </w:p>
        </w:tc>
        <w:tc>
          <w:tcPr>
            <w:tcW w:w="0" w:type="auto"/>
            <w:shd w:val="clear" w:color="auto" w:fill="auto"/>
            <w:tcMar>
              <w:top w:w="40" w:type="dxa"/>
              <w:left w:w="0" w:type="dxa"/>
              <w:bottom w:w="40" w:type="dxa"/>
              <w:right w:w="20" w:type="dxa"/>
            </w:tcMar>
            <w:vAlign w:val="bottom"/>
          </w:tcPr>
          <w:p w14:paraId="39D98BDE" w14:textId="77777777" w:rsidR="00996AD7" w:rsidRDefault="00996AD7">
            <w:pPr>
              <w:jc w:val="right"/>
              <w:rPr>
                <w:rFonts w:ascii="宋体"/>
              </w:rPr>
            </w:pPr>
          </w:p>
        </w:tc>
      </w:tr>
      <w:tr w:rsidR="00996AD7" w14:paraId="39D98BED" w14:textId="77777777">
        <w:tc>
          <w:tcPr>
            <w:tcW w:w="0" w:type="auto"/>
            <w:gridSpan w:val="3"/>
            <w:shd w:val="clear" w:color="auto" w:fill="auto"/>
            <w:tcMar>
              <w:top w:w="40" w:type="dxa"/>
              <w:left w:w="20" w:type="dxa"/>
              <w:bottom w:w="40" w:type="dxa"/>
              <w:right w:w="20" w:type="dxa"/>
            </w:tcMar>
          </w:tcPr>
          <w:p w14:paraId="39D98BE0" w14:textId="77777777" w:rsidR="00996AD7" w:rsidRDefault="00D96458">
            <w:pPr>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39D98BE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E2" w14:textId="77777777" w:rsidR="00996AD7" w:rsidRDefault="00D96458">
            <w:pPr>
              <w:jc w:val="right"/>
              <w:textAlignment w:val="bottom"/>
            </w:pPr>
            <w:r>
              <w:rPr>
                <w:rFonts w:ascii="Arial" w:eastAsia="宋体" w:hAnsi="Arial" w:cs="Arial"/>
                <w:color w:val="0068B5"/>
                <w:sz w:val="18"/>
                <w:szCs w:val="18"/>
              </w:rPr>
              <w:t>11 </w:t>
            </w:r>
          </w:p>
        </w:tc>
        <w:tc>
          <w:tcPr>
            <w:tcW w:w="0" w:type="auto"/>
            <w:shd w:val="clear" w:color="auto" w:fill="auto"/>
            <w:tcMar>
              <w:top w:w="40" w:type="dxa"/>
              <w:left w:w="0" w:type="dxa"/>
              <w:bottom w:w="40" w:type="dxa"/>
              <w:right w:w="20" w:type="dxa"/>
            </w:tcMar>
            <w:vAlign w:val="bottom"/>
          </w:tcPr>
          <w:p w14:paraId="39D98BE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E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E5" w14:textId="77777777" w:rsidR="00996AD7" w:rsidRDefault="00D96458">
            <w:pPr>
              <w:jc w:val="right"/>
              <w:textAlignment w:val="bottom"/>
            </w:pPr>
            <w:r>
              <w:rPr>
                <w:rFonts w:ascii="Arial" w:eastAsia="宋体" w:hAnsi="Arial" w:cs="Arial"/>
                <w:color w:val="0068B5"/>
                <w:sz w:val="18"/>
                <w:szCs w:val="18"/>
              </w:rPr>
              <w:t>84 </w:t>
            </w:r>
          </w:p>
        </w:tc>
        <w:tc>
          <w:tcPr>
            <w:tcW w:w="0" w:type="auto"/>
            <w:shd w:val="clear" w:color="auto" w:fill="auto"/>
            <w:tcMar>
              <w:top w:w="40" w:type="dxa"/>
              <w:left w:w="0" w:type="dxa"/>
              <w:bottom w:w="40" w:type="dxa"/>
              <w:right w:w="20" w:type="dxa"/>
            </w:tcMar>
            <w:vAlign w:val="bottom"/>
          </w:tcPr>
          <w:p w14:paraId="39D98BE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E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E8" w14:textId="77777777" w:rsidR="00996AD7" w:rsidRDefault="00D96458">
            <w:pPr>
              <w:jc w:val="right"/>
              <w:textAlignment w:val="bottom"/>
            </w:pPr>
            <w:r>
              <w:rPr>
                <w:rFonts w:ascii="Arial" w:eastAsia="宋体" w:hAnsi="Arial" w:cs="Arial"/>
                <w:color w:val="262626"/>
                <w:sz w:val="18"/>
                <w:szCs w:val="18"/>
              </w:rPr>
              <w:t>3 </w:t>
            </w:r>
          </w:p>
        </w:tc>
        <w:tc>
          <w:tcPr>
            <w:tcW w:w="0" w:type="auto"/>
            <w:shd w:val="clear" w:color="auto" w:fill="auto"/>
            <w:tcMar>
              <w:top w:w="40" w:type="dxa"/>
              <w:left w:w="0" w:type="dxa"/>
              <w:bottom w:w="40" w:type="dxa"/>
              <w:right w:w="20" w:type="dxa"/>
            </w:tcMar>
            <w:vAlign w:val="bottom"/>
          </w:tcPr>
          <w:p w14:paraId="39D98BE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E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EB" w14:textId="77777777" w:rsidR="00996AD7" w:rsidRDefault="00D96458">
            <w:pPr>
              <w:jc w:val="right"/>
              <w:textAlignment w:val="bottom"/>
            </w:pPr>
            <w:r>
              <w:rPr>
                <w:rFonts w:ascii="Arial" w:eastAsia="宋体" w:hAnsi="Arial" w:cs="Arial"/>
                <w:color w:val="262626"/>
                <w:sz w:val="18"/>
                <w:szCs w:val="18"/>
              </w:rPr>
              <w:t>128 </w:t>
            </w:r>
          </w:p>
        </w:tc>
        <w:tc>
          <w:tcPr>
            <w:tcW w:w="0" w:type="auto"/>
            <w:shd w:val="clear" w:color="auto" w:fill="auto"/>
            <w:tcMar>
              <w:top w:w="40" w:type="dxa"/>
              <w:left w:w="0" w:type="dxa"/>
              <w:bottom w:w="40" w:type="dxa"/>
              <w:right w:w="20" w:type="dxa"/>
            </w:tcMar>
            <w:vAlign w:val="bottom"/>
          </w:tcPr>
          <w:p w14:paraId="39D98BEC" w14:textId="77777777" w:rsidR="00996AD7" w:rsidRDefault="00996AD7">
            <w:pPr>
              <w:jc w:val="right"/>
              <w:rPr>
                <w:rFonts w:ascii="宋体"/>
              </w:rPr>
            </w:pPr>
          </w:p>
        </w:tc>
      </w:tr>
      <w:tr w:rsidR="00996AD7" w14:paraId="39D98BFB" w14:textId="77777777">
        <w:tc>
          <w:tcPr>
            <w:tcW w:w="0" w:type="auto"/>
            <w:gridSpan w:val="3"/>
            <w:shd w:val="clear" w:color="auto" w:fill="auto"/>
            <w:tcMar>
              <w:top w:w="40" w:type="dxa"/>
              <w:left w:w="20" w:type="dxa"/>
              <w:bottom w:w="40" w:type="dxa"/>
              <w:right w:w="20" w:type="dxa"/>
            </w:tcMar>
          </w:tcPr>
          <w:p w14:paraId="39D98BEE" w14:textId="77777777" w:rsidR="00996AD7" w:rsidRDefault="00D96458">
            <w:pPr>
              <w:textAlignment w:val="top"/>
            </w:pPr>
            <w:r>
              <w:rPr>
                <w:rFonts w:ascii="Arial" w:eastAsia="宋体" w:hAnsi="Arial" w:cs="Arial"/>
                <w:color w:val="262626"/>
                <w:sz w:val="18"/>
                <w:szCs w:val="18"/>
              </w:rPr>
              <w:t>Equity contracts</w:t>
            </w:r>
          </w:p>
        </w:tc>
        <w:tc>
          <w:tcPr>
            <w:tcW w:w="0" w:type="auto"/>
            <w:gridSpan w:val="3"/>
            <w:shd w:val="clear" w:color="auto" w:fill="auto"/>
            <w:tcMar>
              <w:top w:w="0" w:type="dxa"/>
              <w:left w:w="20" w:type="dxa"/>
              <w:bottom w:w="0" w:type="dxa"/>
              <w:right w:w="20" w:type="dxa"/>
            </w:tcMar>
            <w:vAlign w:val="bottom"/>
          </w:tcPr>
          <w:p w14:paraId="39D98BE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F0" w14:textId="77777777" w:rsidR="00996AD7" w:rsidRDefault="00D96458">
            <w:pPr>
              <w:jc w:val="right"/>
              <w:textAlignment w:val="bottom"/>
            </w:pPr>
            <w:r>
              <w:rPr>
                <w:rFonts w:ascii="Arial" w:eastAsia="宋体" w:hAnsi="Arial" w:cs="Arial"/>
                <w:color w:val="0068B5"/>
                <w:sz w:val="18"/>
                <w:szCs w:val="18"/>
              </w:rPr>
              <w:t>4 </w:t>
            </w:r>
          </w:p>
        </w:tc>
        <w:tc>
          <w:tcPr>
            <w:tcW w:w="0" w:type="auto"/>
            <w:shd w:val="clear" w:color="auto" w:fill="auto"/>
            <w:tcMar>
              <w:top w:w="40" w:type="dxa"/>
              <w:left w:w="0" w:type="dxa"/>
              <w:bottom w:w="40" w:type="dxa"/>
              <w:right w:w="20" w:type="dxa"/>
            </w:tcMar>
            <w:vAlign w:val="bottom"/>
          </w:tcPr>
          <w:p w14:paraId="39D98BF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F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F3" w14:textId="77777777" w:rsidR="00996AD7" w:rsidRDefault="00D96458">
            <w:pPr>
              <w:jc w:val="right"/>
              <w:textAlignment w:val="bottom"/>
            </w:pPr>
            <w:r>
              <w:rPr>
                <w:rFonts w:ascii="Arial" w:eastAsia="宋体" w:hAnsi="Arial" w:cs="Arial"/>
                <w:color w:val="0068B5"/>
                <w:sz w:val="18"/>
                <w:szCs w:val="18"/>
              </w:rPr>
              <w:t>29 </w:t>
            </w:r>
          </w:p>
        </w:tc>
        <w:tc>
          <w:tcPr>
            <w:tcW w:w="0" w:type="auto"/>
            <w:shd w:val="clear" w:color="auto" w:fill="auto"/>
            <w:tcMar>
              <w:top w:w="40" w:type="dxa"/>
              <w:left w:w="0" w:type="dxa"/>
              <w:bottom w:w="40" w:type="dxa"/>
              <w:right w:w="20" w:type="dxa"/>
            </w:tcMar>
            <w:vAlign w:val="bottom"/>
          </w:tcPr>
          <w:p w14:paraId="39D98BF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F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F6" w14:textId="77777777" w:rsidR="00996AD7" w:rsidRDefault="00D96458">
            <w:pPr>
              <w:jc w:val="right"/>
              <w:textAlignment w:val="bottom"/>
            </w:pPr>
            <w:r>
              <w:rPr>
                <w:rFonts w:ascii="Arial" w:eastAsia="宋体" w:hAnsi="Arial" w:cs="Arial"/>
                <w:color w:val="262626"/>
                <w:sz w:val="18"/>
                <w:szCs w:val="18"/>
              </w:rPr>
              <w:t>48 </w:t>
            </w:r>
          </w:p>
        </w:tc>
        <w:tc>
          <w:tcPr>
            <w:tcW w:w="0" w:type="auto"/>
            <w:shd w:val="clear" w:color="auto" w:fill="auto"/>
            <w:tcMar>
              <w:top w:w="40" w:type="dxa"/>
              <w:left w:w="0" w:type="dxa"/>
              <w:bottom w:w="40" w:type="dxa"/>
              <w:right w:w="20" w:type="dxa"/>
            </w:tcMar>
            <w:vAlign w:val="bottom"/>
          </w:tcPr>
          <w:p w14:paraId="39D98BF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BF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BF9"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BFA" w14:textId="77777777" w:rsidR="00996AD7" w:rsidRDefault="00996AD7">
            <w:pPr>
              <w:jc w:val="right"/>
              <w:rPr>
                <w:rFonts w:ascii="宋体"/>
              </w:rPr>
            </w:pPr>
          </w:p>
        </w:tc>
      </w:tr>
      <w:tr w:rsidR="00996AD7" w14:paraId="39D98C09" w14:textId="77777777">
        <w:tc>
          <w:tcPr>
            <w:tcW w:w="0" w:type="auto"/>
            <w:gridSpan w:val="3"/>
            <w:shd w:val="clear" w:color="auto" w:fill="auto"/>
            <w:tcMar>
              <w:top w:w="40" w:type="dxa"/>
              <w:left w:w="20" w:type="dxa"/>
              <w:bottom w:w="40" w:type="dxa"/>
              <w:right w:w="20" w:type="dxa"/>
            </w:tcMar>
          </w:tcPr>
          <w:p w14:paraId="39D98BFC" w14:textId="77777777" w:rsidR="00996AD7" w:rsidRDefault="00D96458">
            <w:pPr>
              <w:textAlignment w:val="top"/>
            </w:pPr>
            <w:r>
              <w:rPr>
                <w:rFonts w:ascii="Arial" w:eastAsia="宋体" w:hAnsi="Arial" w:cs="Arial"/>
                <w:b/>
                <w:bCs/>
                <w:color w:val="262626"/>
                <w:sz w:val="18"/>
                <w:szCs w:val="18"/>
              </w:rPr>
              <w:t>Total derivatives not designated as hedging instruments</w:t>
            </w:r>
          </w:p>
        </w:tc>
        <w:tc>
          <w:tcPr>
            <w:tcW w:w="0" w:type="auto"/>
            <w:gridSpan w:val="3"/>
            <w:shd w:val="clear" w:color="auto" w:fill="auto"/>
            <w:tcMar>
              <w:top w:w="0" w:type="dxa"/>
              <w:left w:w="20" w:type="dxa"/>
              <w:bottom w:w="0" w:type="dxa"/>
              <w:right w:w="20" w:type="dxa"/>
            </w:tcMar>
            <w:vAlign w:val="bottom"/>
          </w:tcPr>
          <w:p w14:paraId="39D98BFD"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BFE" w14:textId="77777777" w:rsidR="00996AD7" w:rsidRDefault="00D96458">
            <w:pPr>
              <w:jc w:val="right"/>
              <w:textAlignment w:val="bottom"/>
            </w:pPr>
            <w:r>
              <w:rPr>
                <w:rFonts w:ascii="Arial" w:eastAsia="宋体" w:hAnsi="Arial" w:cs="Arial"/>
                <w:b/>
                <w:bCs/>
                <w:color w:val="0068B5"/>
                <w:sz w:val="18"/>
                <w:szCs w:val="18"/>
              </w:rPr>
              <w:t>236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BF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00"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C01" w14:textId="77777777" w:rsidR="00996AD7" w:rsidRDefault="00D96458">
            <w:pPr>
              <w:jc w:val="right"/>
              <w:textAlignment w:val="bottom"/>
            </w:pPr>
            <w:r>
              <w:rPr>
                <w:rFonts w:ascii="Arial" w:eastAsia="宋体" w:hAnsi="Arial" w:cs="Arial"/>
                <w:b/>
                <w:bCs/>
                <w:color w:val="0068B5"/>
                <w:sz w:val="18"/>
                <w:szCs w:val="18"/>
              </w:rPr>
              <w:t>491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C0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03"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C04" w14:textId="77777777" w:rsidR="00996AD7" w:rsidRDefault="00D96458">
            <w:pPr>
              <w:jc w:val="right"/>
              <w:textAlignment w:val="bottom"/>
            </w:pPr>
            <w:r>
              <w:rPr>
                <w:rFonts w:ascii="Arial" w:eastAsia="宋体" w:hAnsi="Arial" w:cs="Arial"/>
                <w:b/>
                <w:bCs/>
                <w:color w:val="262626"/>
                <w:sz w:val="18"/>
                <w:szCs w:val="18"/>
              </w:rPr>
              <w:t>193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C0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06"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C07" w14:textId="77777777" w:rsidR="00996AD7" w:rsidRDefault="00D96458">
            <w:pPr>
              <w:jc w:val="right"/>
              <w:textAlignment w:val="bottom"/>
            </w:pPr>
            <w:r>
              <w:rPr>
                <w:rFonts w:ascii="Arial" w:eastAsia="宋体" w:hAnsi="Arial" w:cs="Arial"/>
                <w:b/>
                <w:bCs/>
                <w:color w:val="262626"/>
                <w:sz w:val="18"/>
                <w:szCs w:val="18"/>
              </w:rPr>
              <w:t>813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C08" w14:textId="77777777" w:rsidR="00996AD7" w:rsidRDefault="00996AD7">
            <w:pPr>
              <w:jc w:val="right"/>
              <w:rPr>
                <w:rFonts w:ascii="宋体"/>
              </w:rPr>
            </w:pPr>
          </w:p>
        </w:tc>
      </w:tr>
      <w:tr w:rsidR="00996AD7" w14:paraId="39D98C1B" w14:textId="77777777">
        <w:tc>
          <w:tcPr>
            <w:tcW w:w="0" w:type="auto"/>
            <w:gridSpan w:val="3"/>
            <w:shd w:val="clear" w:color="auto" w:fill="auto"/>
            <w:tcMar>
              <w:top w:w="40" w:type="dxa"/>
              <w:left w:w="20" w:type="dxa"/>
              <w:bottom w:w="40" w:type="dxa"/>
              <w:right w:w="20" w:type="dxa"/>
            </w:tcMar>
          </w:tcPr>
          <w:p w14:paraId="39D98C0A" w14:textId="77777777" w:rsidR="00996AD7" w:rsidRDefault="00D96458">
            <w:pPr>
              <w:textAlignment w:val="top"/>
            </w:pPr>
            <w:r>
              <w:rPr>
                <w:rFonts w:ascii="Arial" w:eastAsia="宋体" w:hAnsi="Arial" w:cs="Arial"/>
                <w:b/>
                <w:bCs/>
                <w:color w:val="262626"/>
                <w:sz w:val="18"/>
                <w:szCs w:val="18"/>
              </w:rPr>
              <w:t>Total derivatives</w:t>
            </w:r>
          </w:p>
        </w:tc>
        <w:tc>
          <w:tcPr>
            <w:tcW w:w="0" w:type="auto"/>
            <w:gridSpan w:val="3"/>
            <w:shd w:val="clear" w:color="auto" w:fill="auto"/>
            <w:tcMar>
              <w:top w:w="0" w:type="dxa"/>
              <w:left w:w="20" w:type="dxa"/>
              <w:bottom w:w="0" w:type="dxa"/>
              <w:right w:w="20" w:type="dxa"/>
            </w:tcMar>
            <w:vAlign w:val="bottom"/>
          </w:tcPr>
          <w:p w14:paraId="39D98C0B"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C0C"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C0D" w14:textId="77777777" w:rsidR="00996AD7" w:rsidRDefault="00D96458">
            <w:pPr>
              <w:jc w:val="right"/>
              <w:textAlignment w:val="bottom"/>
            </w:pPr>
            <w:r>
              <w:rPr>
                <w:rFonts w:ascii="Arial" w:eastAsia="宋体" w:hAnsi="Arial" w:cs="Arial"/>
                <w:b/>
                <w:bCs/>
                <w:color w:val="0068B5"/>
                <w:sz w:val="18"/>
                <w:szCs w:val="18"/>
              </w:rPr>
              <w:t>1,301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C0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0F"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C10"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C11" w14:textId="77777777" w:rsidR="00996AD7" w:rsidRDefault="00D96458">
            <w:pPr>
              <w:jc w:val="right"/>
              <w:textAlignment w:val="bottom"/>
            </w:pPr>
            <w:r>
              <w:rPr>
                <w:rFonts w:ascii="Arial" w:eastAsia="宋体" w:hAnsi="Arial" w:cs="Arial"/>
                <w:b/>
                <w:bCs/>
                <w:color w:val="0068B5"/>
                <w:sz w:val="18"/>
                <w:szCs w:val="18"/>
              </w:rPr>
              <w:t>565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C1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13"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C14"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C15" w14:textId="77777777" w:rsidR="00996AD7" w:rsidRDefault="00D96458">
            <w:pPr>
              <w:jc w:val="right"/>
              <w:textAlignment w:val="bottom"/>
            </w:pPr>
            <w:r>
              <w:rPr>
                <w:rFonts w:ascii="Arial" w:eastAsia="宋体" w:hAnsi="Arial" w:cs="Arial"/>
                <w:b/>
                <w:bCs/>
                <w:color w:val="262626"/>
                <w:sz w:val="18"/>
                <w:szCs w:val="18"/>
              </w:rPr>
              <w:t>2,242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C1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17"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C18"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C19" w14:textId="77777777" w:rsidR="00996AD7" w:rsidRDefault="00D96458">
            <w:pPr>
              <w:jc w:val="right"/>
              <w:textAlignment w:val="bottom"/>
            </w:pPr>
            <w:r>
              <w:rPr>
                <w:rFonts w:ascii="Arial" w:eastAsia="宋体" w:hAnsi="Arial" w:cs="Arial"/>
                <w:b/>
                <w:bCs/>
                <w:color w:val="262626"/>
                <w:sz w:val="18"/>
                <w:szCs w:val="18"/>
              </w:rPr>
              <w:t>815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C1A" w14:textId="77777777" w:rsidR="00996AD7" w:rsidRDefault="00996AD7">
            <w:pPr>
              <w:jc w:val="right"/>
              <w:rPr>
                <w:rFonts w:ascii="宋体"/>
              </w:rPr>
            </w:pPr>
          </w:p>
        </w:tc>
      </w:tr>
    </w:tbl>
    <w:p w14:paraId="39D98C1C" w14:textId="77777777" w:rsidR="00996AD7" w:rsidRDefault="00D96458">
      <w:pPr>
        <w:ind w:hanging="180"/>
      </w:pPr>
      <w:r>
        <w:rPr>
          <w:rFonts w:ascii="Arial" w:eastAsia="宋体" w:hAnsi="Arial" w:cs="Arial"/>
          <w:i/>
          <w:iCs/>
          <w:color w:val="262626"/>
          <w:sz w:val="10"/>
          <w:szCs w:val="10"/>
        </w:rPr>
        <w:t>1</w:t>
      </w:r>
      <w:r>
        <w:rPr>
          <w:rFonts w:ascii="Arial" w:eastAsia="宋体" w:hAnsi="Arial" w:cs="Arial"/>
          <w:i/>
          <w:iCs/>
          <w:color w:val="262626"/>
          <w:sz w:val="16"/>
          <w:szCs w:val="16"/>
        </w:rPr>
        <w:t>Derivative assets are recorded as other assets, current and non-current.</w:t>
      </w:r>
    </w:p>
    <w:p w14:paraId="39D98C1D" w14:textId="77777777" w:rsidR="00996AD7" w:rsidRDefault="00D96458">
      <w:pPr>
        <w:ind w:hanging="180"/>
      </w:pPr>
      <w:r>
        <w:rPr>
          <w:rFonts w:ascii="Arial" w:eastAsia="宋体" w:hAnsi="Arial" w:cs="Arial"/>
          <w:i/>
          <w:iCs/>
          <w:color w:val="262626"/>
          <w:sz w:val="10"/>
          <w:szCs w:val="10"/>
        </w:rPr>
        <w:t>2</w:t>
      </w:r>
      <w:r>
        <w:rPr>
          <w:rFonts w:ascii="Arial" w:eastAsia="宋体" w:hAnsi="Arial" w:cs="Arial"/>
          <w:i/>
          <w:iCs/>
          <w:color w:val="262626"/>
          <w:sz w:val="16"/>
          <w:szCs w:val="16"/>
        </w:rPr>
        <w:t xml:space="preserve">Derivative </w:t>
      </w:r>
      <w:r>
        <w:rPr>
          <w:rFonts w:ascii="Arial" w:eastAsia="宋体" w:hAnsi="Arial" w:cs="Arial"/>
          <w:i/>
          <w:iCs/>
          <w:color w:val="262626"/>
          <w:sz w:val="16"/>
          <w:szCs w:val="16"/>
        </w:rPr>
        <w:t>liabilities are recorded as other liabilities, current and non-current.</w:t>
      </w:r>
    </w:p>
    <w:p w14:paraId="39D98C1E" w14:textId="77777777" w:rsidR="00996AD7" w:rsidRDefault="00D96458">
      <w:pPr>
        <w:spacing w:after="180"/>
        <w:ind w:hanging="180"/>
      </w:pPr>
      <w:r>
        <w:rPr>
          <w:rFonts w:ascii="Arial" w:eastAsia="宋体" w:hAnsi="Arial" w:cs="Arial"/>
          <w:i/>
          <w:iCs/>
          <w:color w:val="262626"/>
          <w:sz w:val="10"/>
          <w:szCs w:val="10"/>
        </w:rPr>
        <w:t>3</w:t>
      </w:r>
      <w:r>
        <w:rPr>
          <w:rFonts w:ascii="Arial" w:eastAsia="宋体" w:hAnsi="Arial" w:cs="Arial"/>
          <w:i/>
          <w:iCs/>
          <w:color w:val="262626"/>
          <w:sz w:val="16"/>
          <w:szCs w:val="16"/>
        </w:rPr>
        <w:t>The majority of these instruments mature within 12 months.</w:t>
      </w:r>
    </w:p>
    <w:p w14:paraId="39D98C1F" w14:textId="77777777" w:rsidR="00996AD7" w:rsidRDefault="00D96458">
      <w:pPr>
        <w:spacing w:after="180"/>
      </w:pPr>
      <w:r>
        <w:rPr>
          <w:rFonts w:ascii="Arial" w:eastAsia="宋体" w:hAnsi="Arial" w:cs="Arial"/>
          <w:color w:val="0068B5"/>
        </w:rPr>
        <w:t>Amounts Offset in the Consolidated Condensed Balance Sheets</w:t>
      </w:r>
    </w:p>
    <w:p w14:paraId="39D98C20" w14:textId="77777777" w:rsidR="00996AD7" w:rsidRDefault="00D96458">
      <w:pPr>
        <w:spacing w:after="180"/>
      </w:pPr>
      <w:r>
        <w:rPr>
          <w:rFonts w:ascii="Arial" w:eastAsia="宋体" w:hAnsi="Arial" w:cs="Arial"/>
          <w:color w:val="262626"/>
          <w:sz w:val="18"/>
          <w:szCs w:val="18"/>
        </w:rPr>
        <w:t>The gross amounts of our derivative instruments and reverse repu</w:t>
      </w:r>
      <w:r>
        <w:rPr>
          <w:rFonts w:ascii="Arial" w:eastAsia="宋体" w:hAnsi="Arial" w:cs="Arial"/>
          <w:color w:val="262626"/>
          <w:sz w:val="18"/>
          <w:szCs w:val="18"/>
        </w:rPr>
        <w:t>rchase agreements subject to master netting arrangements with various counterparties, and cash and non-cash collateral posted under such agreements at the end of each period were as follows:</w:t>
      </w: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996AD7" w14:paraId="39D98C48" w14:textId="77777777">
        <w:tc>
          <w:tcPr>
            <w:tcW w:w="50" w:type="pct"/>
            <w:shd w:val="clear" w:color="auto" w:fill="auto"/>
            <w:vAlign w:val="bottom"/>
          </w:tcPr>
          <w:p w14:paraId="39D98C21" w14:textId="77777777" w:rsidR="00996AD7" w:rsidRDefault="00996AD7">
            <w:pPr>
              <w:rPr>
                <w:rFonts w:ascii="宋体"/>
              </w:rPr>
            </w:pPr>
          </w:p>
        </w:tc>
        <w:tc>
          <w:tcPr>
            <w:tcW w:w="1451" w:type="pct"/>
            <w:shd w:val="clear" w:color="auto" w:fill="auto"/>
            <w:vAlign w:val="bottom"/>
          </w:tcPr>
          <w:p w14:paraId="39D98C22" w14:textId="77777777" w:rsidR="00996AD7" w:rsidRDefault="00996AD7">
            <w:pPr>
              <w:rPr>
                <w:rFonts w:ascii="宋体"/>
              </w:rPr>
            </w:pPr>
          </w:p>
        </w:tc>
        <w:tc>
          <w:tcPr>
            <w:tcW w:w="5" w:type="pct"/>
            <w:shd w:val="clear" w:color="auto" w:fill="auto"/>
            <w:vAlign w:val="bottom"/>
          </w:tcPr>
          <w:p w14:paraId="39D98C23" w14:textId="77777777" w:rsidR="00996AD7" w:rsidRDefault="00996AD7">
            <w:pPr>
              <w:rPr>
                <w:rFonts w:ascii="宋体"/>
              </w:rPr>
            </w:pPr>
          </w:p>
        </w:tc>
        <w:tc>
          <w:tcPr>
            <w:tcW w:w="5" w:type="pct"/>
            <w:shd w:val="clear" w:color="auto" w:fill="auto"/>
            <w:vAlign w:val="bottom"/>
          </w:tcPr>
          <w:p w14:paraId="39D98C24" w14:textId="77777777" w:rsidR="00996AD7" w:rsidRDefault="00996AD7">
            <w:pPr>
              <w:rPr>
                <w:rFonts w:ascii="宋体"/>
              </w:rPr>
            </w:pPr>
          </w:p>
        </w:tc>
        <w:tc>
          <w:tcPr>
            <w:tcW w:w="24" w:type="pct"/>
            <w:shd w:val="clear" w:color="auto" w:fill="auto"/>
            <w:vAlign w:val="bottom"/>
          </w:tcPr>
          <w:p w14:paraId="39D98C25" w14:textId="77777777" w:rsidR="00996AD7" w:rsidRDefault="00996AD7">
            <w:pPr>
              <w:rPr>
                <w:rFonts w:ascii="宋体"/>
              </w:rPr>
            </w:pPr>
          </w:p>
        </w:tc>
        <w:tc>
          <w:tcPr>
            <w:tcW w:w="5" w:type="pct"/>
            <w:shd w:val="clear" w:color="auto" w:fill="auto"/>
            <w:vAlign w:val="bottom"/>
          </w:tcPr>
          <w:p w14:paraId="39D98C26" w14:textId="77777777" w:rsidR="00996AD7" w:rsidRDefault="00996AD7">
            <w:pPr>
              <w:rPr>
                <w:rFonts w:ascii="宋体"/>
              </w:rPr>
            </w:pPr>
          </w:p>
        </w:tc>
        <w:tc>
          <w:tcPr>
            <w:tcW w:w="50" w:type="pct"/>
            <w:shd w:val="clear" w:color="auto" w:fill="auto"/>
            <w:vAlign w:val="bottom"/>
          </w:tcPr>
          <w:p w14:paraId="39D98C27" w14:textId="77777777" w:rsidR="00996AD7" w:rsidRDefault="00996AD7">
            <w:pPr>
              <w:rPr>
                <w:rFonts w:ascii="宋体"/>
              </w:rPr>
            </w:pPr>
          </w:p>
        </w:tc>
        <w:tc>
          <w:tcPr>
            <w:tcW w:w="492" w:type="pct"/>
            <w:shd w:val="clear" w:color="auto" w:fill="auto"/>
            <w:vAlign w:val="bottom"/>
          </w:tcPr>
          <w:p w14:paraId="39D98C28" w14:textId="77777777" w:rsidR="00996AD7" w:rsidRDefault="00996AD7">
            <w:pPr>
              <w:rPr>
                <w:rFonts w:ascii="宋体"/>
              </w:rPr>
            </w:pPr>
          </w:p>
        </w:tc>
        <w:tc>
          <w:tcPr>
            <w:tcW w:w="5" w:type="pct"/>
            <w:shd w:val="clear" w:color="auto" w:fill="auto"/>
            <w:vAlign w:val="bottom"/>
          </w:tcPr>
          <w:p w14:paraId="39D98C29" w14:textId="77777777" w:rsidR="00996AD7" w:rsidRDefault="00996AD7">
            <w:pPr>
              <w:rPr>
                <w:rFonts w:ascii="宋体"/>
              </w:rPr>
            </w:pPr>
          </w:p>
        </w:tc>
        <w:tc>
          <w:tcPr>
            <w:tcW w:w="5" w:type="pct"/>
            <w:shd w:val="clear" w:color="auto" w:fill="auto"/>
            <w:vAlign w:val="bottom"/>
          </w:tcPr>
          <w:p w14:paraId="39D98C2A" w14:textId="77777777" w:rsidR="00996AD7" w:rsidRDefault="00996AD7">
            <w:pPr>
              <w:rPr>
                <w:rFonts w:ascii="宋体"/>
              </w:rPr>
            </w:pPr>
          </w:p>
        </w:tc>
        <w:tc>
          <w:tcPr>
            <w:tcW w:w="24" w:type="pct"/>
            <w:shd w:val="clear" w:color="auto" w:fill="auto"/>
            <w:vAlign w:val="bottom"/>
          </w:tcPr>
          <w:p w14:paraId="39D98C2B" w14:textId="77777777" w:rsidR="00996AD7" w:rsidRDefault="00996AD7">
            <w:pPr>
              <w:rPr>
                <w:rFonts w:ascii="宋体"/>
              </w:rPr>
            </w:pPr>
          </w:p>
        </w:tc>
        <w:tc>
          <w:tcPr>
            <w:tcW w:w="5" w:type="pct"/>
            <w:shd w:val="clear" w:color="auto" w:fill="auto"/>
            <w:vAlign w:val="bottom"/>
          </w:tcPr>
          <w:p w14:paraId="39D98C2C" w14:textId="77777777" w:rsidR="00996AD7" w:rsidRDefault="00996AD7">
            <w:pPr>
              <w:rPr>
                <w:rFonts w:ascii="宋体"/>
              </w:rPr>
            </w:pPr>
          </w:p>
        </w:tc>
        <w:tc>
          <w:tcPr>
            <w:tcW w:w="50" w:type="pct"/>
            <w:shd w:val="clear" w:color="auto" w:fill="auto"/>
            <w:vAlign w:val="bottom"/>
          </w:tcPr>
          <w:p w14:paraId="39D98C2D" w14:textId="77777777" w:rsidR="00996AD7" w:rsidRDefault="00996AD7">
            <w:pPr>
              <w:rPr>
                <w:rFonts w:ascii="宋体"/>
              </w:rPr>
            </w:pPr>
          </w:p>
        </w:tc>
        <w:tc>
          <w:tcPr>
            <w:tcW w:w="492" w:type="pct"/>
            <w:shd w:val="clear" w:color="auto" w:fill="auto"/>
            <w:vAlign w:val="bottom"/>
          </w:tcPr>
          <w:p w14:paraId="39D98C2E" w14:textId="77777777" w:rsidR="00996AD7" w:rsidRDefault="00996AD7">
            <w:pPr>
              <w:rPr>
                <w:rFonts w:ascii="宋体"/>
              </w:rPr>
            </w:pPr>
          </w:p>
        </w:tc>
        <w:tc>
          <w:tcPr>
            <w:tcW w:w="5" w:type="pct"/>
            <w:shd w:val="clear" w:color="auto" w:fill="auto"/>
            <w:vAlign w:val="bottom"/>
          </w:tcPr>
          <w:p w14:paraId="39D98C2F" w14:textId="77777777" w:rsidR="00996AD7" w:rsidRDefault="00996AD7">
            <w:pPr>
              <w:rPr>
                <w:rFonts w:ascii="宋体"/>
              </w:rPr>
            </w:pPr>
          </w:p>
        </w:tc>
        <w:tc>
          <w:tcPr>
            <w:tcW w:w="5" w:type="pct"/>
            <w:shd w:val="clear" w:color="auto" w:fill="auto"/>
            <w:vAlign w:val="bottom"/>
          </w:tcPr>
          <w:p w14:paraId="39D98C30" w14:textId="77777777" w:rsidR="00996AD7" w:rsidRDefault="00996AD7">
            <w:pPr>
              <w:rPr>
                <w:rFonts w:ascii="宋体"/>
              </w:rPr>
            </w:pPr>
          </w:p>
        </w:tc>
        <w:tc>
          <w:tcPr>
            <w:tcW w:w="24" w:type="pct"/>
            <w:shd w:val="clear" w:color="auto" w:fill="auto"/>
            <w:vAlign w:val="bottom"/>
          </w:tcPr>
          <w:p w14:paraId="39D98C31" w14:textId="77777777" w:rsidR="00996AD7" w:rsidRDefault="00996AD7">
            <w:pPr>
              <w:rPr>
                <w:rFonts w:ascii="宋体"/>
              </w:rPr>
            </w:pPr>
          </w:p>
        </w:tc>
        <w:tc>
          <w:tcPr>
            <w:tcW w:w="5" w:type="pct"/>
            <w:shd w:val="clear" w:color="auto" w:fill="auto"/>
            <w:vAlign w:val="bottom"/>
          </w:tcPr>
          <w:p w14:paraId="39D98C32" w14:textId="77777777" w:rsidR="00996AD7" w:rsidRDefault="00996AD7">
            <w:pPr>
              <w:rPr>
                <w:rFonts w:ascii="宋体"/>
              </w:rPr>
            </w:pPr>
          </w:p>
        </w:tc>
        <w:tc>
          <w:tcPr>
            <w:tcW w:w="50" w:type="pct"/>
            <w:shd w:val="clear" w:color="auto" w:fill="auto"/>
            <w:vAlign w:val="bottom"/>
          </w:tcPr>
          <w:p w14:paraId="39D98C33" w14:textId="77777777" w:rsidR="00996AD7" w:rsidRDefault="00996AD7">
            <w:pPr>
              <w:rPr>
                <w:rFonts w:ascii="宋体"/>
              </w:rPr>
            </w:pPr>
          </w:p>
        </w:tc>
        <w:tc>
          <w:tcPr>
            <w:tcW w:w="492" w:type="pct"/>
            <w:shd w:val="clear" w:color="auto" w:fill="auto"/>
            <w:vAlign w:val="bottom"/>
          </w:tcPr>
          <w:p w14:paraId="39D98C34" w14:textId="77777777" w:rsidR="00996AD7" w:rsidRDefault="00996AD7">
            <w:pPr>
              <w:rPr>
                <w:rFonts w:ascii="宋体"/>
              </w:rPr>
            </w:pPr>
          </w:p>
        </w:tc>
        <w:tc>
          <w:tcPr>
            <w:tcW w:w="5" w:type="pct"/>
            <w:shd w:val="clear" w:color="auto" w:fill="auto"/>
            <w:vAlign w:val="bottom"/>
          </w:tcPr>
          <w:p w14:paraId="39D98C35" w14:textId="77777777" w:rsidR="00996AD7" w:rsidRDefault="00996AD7">
            <w:pPr>
              <w:rPr>
                <w:rFonts w:ascii="宋体"/>
              </w:rPr>
            </w:pPr>
          </w:p>
        </w:tc>
        <w:tc>
          <w:tcPr>
            <w:tcW w:w="5" w:type="pct"/>
            <w:shd w:val="clear" w:color="auto" w:fill="auto"/>
            <w:vAlign w:val="bottom"/>
          </w:tcPr>
          <w:p w14:paraId="39D98C36" w14:textId="77777777" w:rsidR="00996AD7" w:rsidRDefault="00996AD7">
            <w:pPr>
              <w:rPr>
                <w:rFonts w:ascii="宋体"/>
              </w:rPr>
            </w:pPr>
          </w:p>
        </w:tc>
        <w:tc>
          <w:tcPr>
            <w:tcW w:w="24" w:type="pct"/>
            <w:shd w:val="clear" w:color="auto" w:fill="auto"/>
            <w:vAlign w:val="bottom"/>
          </w:tcPr>
          <w:p w14:paraId="39D98C37" w14:textId="77777777" w:rsidR="00996AD7" w:rsidRDefault="00996AD7">
            <w:pPr>
              <w:rPr>
                <w:rFonts w:ascii="宋体"/>
              </w:rPr>
            </w:pPr>
          </w:p>
        </w:tc>
        <w:tc>
          <w:tcPr>
            <w:tcW w:w="5" w:type="pct"/>
            <w:shd w:val="clear" w:color="auto" w:fill="auto"/>
            <w:vAlign w:val="bottom"/>
          </w:tcPr>
          <w:p w14:paraId="39D98C38" w14:textId="77777777" w:rsidR="00996AD7" w:rsidRDefault="00996AD7">
            <w:pPr>
              <w:rPr>
                <w:rFonts w:ascii="宋体"/>
              </w:rPr>
            </w:pPr>
          </w:p>
        </w:tc>
        <w:tc>
          <w:tcPr>
            <w:tcW w:w="50" w:type="pct"/>
            <w:shd w:val="clear" w:color="auto" w:fill="auto"/>
            <w:vAlign w:val="bottom"/>
          </w:tcPr>
          <w:p w14:paraId="39D98C39" w14:textId="77777777" w:rsidR="00996AD7" w:rsidRDefault="00996AD7">
            <w:pPr>
              <w:rPr>
                <w:rFonts w:ascii="宋体"/>
              </w:rPr>
            </w:pPr>
          </w:p>
        </w:tc>
        <w:tc>
          <w:tcPr>
            <w:tcW w:w="492" w:type="pct"/>
            <w:shd w:val="clear" w:color="auto" w:fill="auto"/>
            <w:vAlign w:val="bottom"/>
          </w:tcPr>
          <w:p w14:paraId="39D98C3A" w14:textId="77777777" w:rsidR="00996AD7" w:rsidRDefault="00996AD7">
            <w:pPr>
              <w:rPr>
                <w:rFonts w:ascii="宋体"/>
              </w:rPr>
            </w:pPr>
          </w:p>
        </w:tc>
        <w:tc>
          <w:tcPr>
            <w:tcW w:w="5" w:type="pct"/>
            <w:shd w:val="clear" w:color="auto" w:fill="auto"/>
            <w:vAlign w:val="bottom"/>
          </w:tcPr>
          <w:p w14:paraId="39D98C3B" w14:textId="77777777" w:rsidR="00996AD7" w:rsidRDefault="00996AD7">
            <w:pPr>
              <w:rPr>
                <w:rFonts w:ascii="宋体"/>
              </w:rPr>
            </w:pPr>
          </w:p>
        </w:tc>
        <w:tc>
          <w:tcPr>
            <w:tcW w:w="5" w:type="pct"/>
            <w:shd w:val="clear" w:color="auto" w:fill="auto"/>
            <w:vAlign w:val="bottom"/>
          </w:tcPr>
          <w:p w14:paraId="39D98C3C" w14:textId="77777777" w:rsidR="00996AD7" w:rsidRDefault="00996AD7">
            <w:pPr>
              <w:rPr>
                <w:rFonts w:ascii="宋体"/>
              </w:rPr>
            </w:pPr>
          </w:p>
        </w:tc>
        <w:tc>
          <w:tcPr>
            <w:tcW w:w="24" w:type="pct"/>
            <w:shd w:val="clear" w:color="auto" w:fill="auto"/>
            <w:vAlign w:val="bottom"/>
          </w:tcPr>
          <w:p w14:paraId="39D98C3D" w14:textId="77777777" w:rsidR="00996AD7" w:rsidRDefault="00996AD7">
            <w:pPr>
              <w:rPr>
                <w:rFonts w:ascii="宋体"/>
              </w:rPr>
            </w:pPr>
          </w:p>
        </w:tc>
        <w:tc>
          <w:tcPr>
            <w:tcW w:w="5" w:type="pct"/>
            <w:shd w:val="clear" w:color="auto" w:fill="auto"/>
            <w:vAlign w:val="bottom"/>
          </w:tcPr>
          <w:p w14:paraId="39D98C3E" w14:textId="77777777" w:rsidR="00996AD7" w:rsidRDefault="00996AD7">
            <w:pPr>
              <w:rPr>
                <w:rFonts w:ascii="宋体"/>
              </w:rPr>
            </w:pPr>
          </w:p>
        </w:tc>
        <w:tc>
          <w:tcPr>
            <w:tcW w:w="50" w:type="pct"/>
            <w:shd w:val="clear" w:color="auto" w:fill="auto"/>
            <w:vAlign w:val="bottom"/>
          </w:tcPr>
          <w:p w14:paraId="39D98C3F" w14:textId="77777777" w:rsidR="00996AD7" w:rsidRDefault="00996AD7">
            <w:pPr>
              <w:rPr>
                <w:rFonts w:ascii="宋体"/>
              </w:rPr>
            </w:pPr>
          </w:p>
        </w:tc>
        <w:tc>
          <w:tcPr>
            <w:tcW w:w="492" w:type="pct"/>
            <w:shd w:val="clear" w:color="auto" w:fill="auto"/>
            <w:vAlign w:val="bottom"/>
          </w:tcPr>
          <w:p w14:paraId="39D98C40" w14:textId="77777777" w:rsidR="00996AD7" w:rsidRDefault="00996AD7">
            <w:pPr>
              <w:rPr>
                <w:rFonts w:ascii="宋体"/>
              </w:rPr>
            </w:pPr>
          </w:p>
        </w:tc>
        <w:tc>
          <w:tcPr>
            <w:tcW w:w="5" w:type="pct"/>
            <w:shd w:val="clear" w:color="auto" w:fill="auto"/>
            <w:vAlign w:val="bottom"/>
          </w:tcPr>
          <w:p w14:paraId="39D98C41" w14:textId="77777777" w:rsidR="00996AD7" w:rsidRDefault="00996AD7">
            <w:pPr>
              <w:rPr>
                <w:rFonts w:ascii="宋体"/>
              </w:rPr>
            </w:pPr>
          </w:p>
        </w:tc>
        <w:tc>
          <w:tcPr>
            <w:tcW w:w="5" w:type="pct"/>
            <w:shd w:val="clear" w:color="auto" w:fill="auto"/>
            <w:vAlign w:val="bottom"/>
          </w:tcPr>
          <w:p w14:paraId="39D98C42" w14:textId="77777777" w:rsidR="00996AD7" w:rsidRDefault="00996AD7">
            <w:pPr>
              <w:rPr>
                <w:rFonts w:ascii="宋体"/>
              </w:rPr>
            </w:pPr>
          </w:p>
        </w:tc>
        <w:tc>
          <w:tcPr>
            <w:tcW w:w="24" w:type="pct"/>
            <w:shd w:val="clear" w:color="auto" w:fill="auto"/>
            <w:vAlign w:val="bottom"/>
          </w:tcPr>
          <w:p w14:paraId="39D98C43" w14:textId="77777777" w:rsidR="00996AD7" w:rsidRDefault="00996AD7">
            <w:pPr>
              <w:rPr>
                <w:rFonts w:ascii="宋体"/>
              </w:rPr>
            </w:pPr>
          </w:p>
        </w:tc>
        <w:tc>
          <w:tcPr>
            <w:tcW w:w="5" w:type="pct"/>
            <w:shd w:val="clear" w:color="auto" w:fill="auto"/>
            <w:vAlign w:val="bottom"/>
          </w:tcPr>
          <w:p w14:paraId="39D98C44" w14:textId="77777777" w:rsidR="00996AD7" w:rsidRDefault="00996AD7">
            <w:pPr>
              <w:rPr>
                <w:rFonts w:ascii="宋体"/>
              </w:rPr>
            </w:pPr>
          </w:p>
        </w:tc>
        <w:tc>
          <w:tcPr>
            <w:tcW w:w="50" w:type="pct"/>
            <w:shd w:val="clear" w:color="auto" w:fill="auto"/>
            <w:vAlign w:val="bottom"/>
          </w:tcPr>
          <w:p w14:paraId="39D98C45" w14:textId="77777777" w:rsidR="00996AD7" w:rsidRDefault="00996AD7">
            <w:pPr>
              <w:rPr>
                <w:rFonts w:ascii="宋体"/>
              </w:rPr>
            </w:pPr>
          </w:p>
        </w:tc>
        <w:tc>
          <w:tcPr>
            <w:tcW w:w="493" w:type="pct"/>
            <w:shd w:val="clear" w:color="auto" w:fill="auto"/>
            <w:vAlign w:val="bottom"/>
          </w:tcPr>
          <w:p w14:paraId="39D98C46" w14:textId="77777777" w:rsidR="00996AD7" w:rsidRDefault="00996AD7">
            <w:pPr>
              <w:rPr>
                <w:rFonts w:ascii="宋体"/>
              </w:rPr>
            </w:pPr>
          </w:p>
        </w:tc>
        <w:tc>
          <w:tcPr>
            <w:tcW w:w="5" w:type="pct"/>
            <w:shd w:val="clear" w:color="auto" w:fill="auto"/>
            <w:vAlign w:val="bottom"/>
          </w:tcPr>
          <w:p w14:paraId="39D98C47" w14:textId="77777777" w:rsidR="00996AD7" w:rsidRDefault="00996AD7">
            <w:pPr>
              <w:rPr>
                <w:rFonts w:ascii="宋体"/>
              </w:rPr>
            </w:pPr>
          </w:p>
        </w:tc>
      </w:tr>
      <w:tr w:rsidR="00996AD7" w14:paraId="39D98C4C" w14:textId="77777777">
        <w:tc>
          <w:tcPr>
            <w:tcW w:w="0" w:type="auto"/>
            <w:gridSpan w:val="3"/>
            <w:shd w:val="clear" w:color="auto" w:fill="auto"/>
            <w:tcMar>
              <w:top w:w="0" w:type="dxa"/>
              <w:left w:w="20" w:type="dxa"/>
              <w:bottom w:w="0" w:type="dxa"/>
              <w:right w:w="20" w:type="dxa"/>
            </w:tcMar>
            <w:vAlign w:val="bottom"/>
          </w:tcPr>
          <w:p w14:paraId="39D98C4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C4A" w14:textId="77777777" w:rsidR="00996AD7" w:rsidRDefault="00996AD7">
            <w:pPr>
              <w:rPr>
                <w:rFonts w:ascii="宋体"/>
              </w:rPr>
            </w:pPr>
          </w:p>
        </w:tc>
        <w:tc>
          <w:tcPr>
            <w:tcW w:w="0" w:type="auto"/>
            <w:gridSpan w:val="33"/>
            <w:shd w:val="clear" w:color="auto" w:fill="auto"/>
            <w:tcMar>
              <w:top w:w="40" w:type="dxa"/>
              <w:left w:w="20" w:type="dxa"/>
              <w:bottom w:w="40" w:type="dxa"/>
              <w:right w:w="20" w:type="dxa"/>
            </w:tcMar>
            <w:vAlign w:val="bottom"/>
          </w:tcPr>
          <w:p w14:paraId="39D98C4B" w14:textId="77777777" w:rsidR="00996AD7" w:rsidRDefault="00D96458">
            <w:pPr>
              <w:jc w:val="center"/>
              <w:textAlignment w:val="bottom"/>
            </w:pPr>
            <w:r>
              <w:rPr>
                <w:rFonts w:ascii="Arial" w:eastAsia="宋体" w:hAnsi="Arial" w:cs="Arial"/>
                <w:b/>
                <w:bCs/>
                <w:color w:val="262626"/>
                <w:sz w:val="18"/>
                <w:szCs w:val="18"/>
              </w:rPr>
              <w:t>Sep 25, 2021</w:t>
            </w:r>
          </w:p>
        </w:tc>
      </w:tr>
      <w:tr w:rsidR="00996AD7" w14:paraId="39D98C58" w14:textId="77777777">
        <w:tc>
          <w:tcPr>
            <w:tcW w:w="0" w:type="auto"/>
            <w:gridSpan w:val="3"/>
            <w:shd w:val="clear" w:color="auto" w:fill="auto"/>
            <w:tcMar>
              <w:top w:w="0" w:type="dxa"/>
              <w:left w:w="20" w:type="dxa"/>
              <w:bottom w:w="0" w:type="dxa"/>
              <w:right w:w="20" w:type="dxa"/>
            </w:tcMar>
            <w:vAlign w:val="bottom"/>
          </w:tcPr>
          <w:p w14:paraId="39D98C4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C4E"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C4F"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C50"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C51"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C52"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C53"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C54" w14:textId="77777777" w:rsidR="00996AD7" w:rsidRDefault="00996AD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39D98C55" w14:textId="77777777" w:rsidR="00996AD7" w:rsidRDefault="00D96458">
            <w:pPr>
              <w:jc w:val="center"/>
              <w:textAlignment w:val="bottom"/>
            </w:pPr>
            <w:r>
              <w:rPr>
                <w:rFonts w:ascii="Arial" w:eastAsia="宋体" w:hAnsi="Arial" w:cs="Arial"/>
                <w:b/>
                <w:bCs/>
                <w:color w:val="333333"/>
                <w:sz w:val="18"/>
                <w:szCs w:val="18"/>
              </w:rPr>
              <w:t>Gross Amounts Not Offset in 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C56"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C57" w14:textId="77777777" w:rsidR="00996AD7" w:rsidRDefault="00996AD7">
            <w:pPr>
              <w:rPr>
                <w:rFonts w:ascii="宋体"/>
              </w:rPr>
            </w:pPr>
          </w:p>
        </w:tc>
      </w:tr>
      <w:tr w:rsidR="00996AD7" w14:paraId="39D98C66" w14:textId="77777777">
        <w:tc>
          <w:tcPr>
            <w:tcW w:w="0" w:type="auto"/>
            <w:gridSpan w:val="3"/>
            <w:shd w:val="clear" w:color="auto" w:fill="auto"/>
            <w:tcMar>
              <w:top w:w="40" w:type="dxa"/>
              <w:left w:w="20" w:type="dxa"/>
              <w:bottom w:w="40" w:type="dxa"/>
              <w:right w:w="20" w:type="dxa"/>
            </w:tcMar>
            <w:vAlign w:val="bottom"/>
          </w:tcPr>
          <w:p w14:paraId="39D98C59" w14:textId="77777777" w:rsidR="00996AD7" w:rsidRDefault="00D96458">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39D98C5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C5B" w14:textId="77777777" w:rsidR="00996AD7" w:rsidRDefault="00D96458">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39D98C5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C5D" w14:textId="77777777" w:rsidR="00996AD7" w:rsidRDefault="00D96458">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39D98C5E"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C5F" w14:textId="77777777" w:rsidR="00996AD7" w:rsidRDefault="00D96458">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39D98C60"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C61" w14:textId="77777777" w:rsidR="00996AD7" w:rsidRDefault="00D96458">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C62"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C63" w14:textId="77777777" w:rsidR="00996AD7" w:rsidRDefault="00D96458">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39D98C64"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C65" w14:textId="77777777" w:rsidR="00996AD7" w:rsidRDefault="00D96458">
            <w:pPr>
              <w:jc w:val="center"/>
              <w:textAlignment w:val="bottom"/>
            </w:pPr>
            <w:r>
              <w:rPr>
                <w:rFonts w:ascii="Arial" w:eastAsia="宋体" w:hAnsi="Arial" w:cs="Arial"/>
                <w:b/>
                <w:bCs/>
                <w:color w:val="262626"/>
                <w:sz w:val="18"/>
                <w:szCs w:val="18"/>
              </w:rPr>
              <w:t>Net Amount</w:t>
            </w:r>
          </w:p>
        </w:tc>
      </w:tr>
      <w:tr w:rsidR="00996AD7" w14:paraId="39D98C7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C67" w14:textId="77777777" w:rsidR="00996AD7" w:rsidRDefault="00D96458">
            <w:pPr>
              <w:ind w:hanging="180"/>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39D98C68"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C6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C6A"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C6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C6C"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C6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C6E"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C6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C70"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C7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C72"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C73" w14:textId="77777777" w:rsidR="00996AD7" w:rsidRDefault="00996AD7">
            <w:pPr>
              <w:rPr>
                <w:rFonts w:ascii="宋体"/>
              </w:rPr>
            </w:pPr>
          </w:p>
        </w:tc>
      </w:tr>
      <w:tr w:rsidR="00996AD7" w14:paraId="39D98C8E" w14:textId="77777777">
        <w:tc>
          <w:tcPr>
            <w:tcW w:w="0" w:type="auto"/>
            <w:gridSpan w:val="3"/>
            <w:shd w:val="clear" w:color="auto" w:fill="auto"/>
            <w:tcMar>
              <w:top w:w="40" w:type="dxa"/>
              <w:left w:w="140" w:type="dxa"/>
              <w:bottom w:w="40" w:type="dxa"/>
              <w:right w:w="20" w:type="dxa"/>
            </w:tcMar>
            <w:vAlign w:val="bottom"/>
          </w:tcPr>
          <w:p w14:paraId="39D98C75" w14:textId="77777777" w:rsidR="00996AD7" w:rsidRDefault="00D96458">
            <w:pPr>
              <w:textAlignment w:val="bottom"/>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39D98C76"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C77"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C78" w14:textId="77777777" w:rsidR="00996AD7" w:rsidRDefault="00D96458">
            <w:pPr>
              <w:jc w:val="right"/>
              <w:textAlignment w:val="bottom"/>
            </w:pPr>
            <w:r>
              <w:rPr>
                <w:rFonts w:ascii="Arial" w:eastAsia="宋体" w:hAnsi="Arial" w:cs="Arial"/>
                <w:color w:val="0068B5"/>
                <w:sz w:val="18"/>
                <w:szCs w:val="18"/>
              </w:rPr>
              <w:t>1,295 </w:t>
            </w:r>
          </w:p>
        </w:tc>
        <w:tc>
          <w:tcPr>
            <w:tcW w:w="0" w:type="auto"/>
            <w:shd w:val="clear" w:color="auto" w:fill="auto"/>
            <w:tcMar>
              <w:top w:w="40" w:type="dxa"/>
              <w:left w:w="0" w:type="dxa"/>
              <w:bottom w:w="40" w:type="dxa"/>
              <w:right w:w="20" w:type="dxa"/>
            </w:tcMar>
            <w:vAlign w:val="bottom"/>
          </w:tcPr>
          <w:p w14:paraId="39D98C7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7A"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C7B"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C7C"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C7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7E"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C7F"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C80" w14:textId="77777777" w:rsidR="00996AD7" w:rsidRDefault="00D96458">
            <w:pPr>
              <w:jc w:val="right"/>
              <w:textAlignment w:val="bottom"/>
            </w:pPr>
            <w:r>
              <w:rPr>
                <w:rFonts w:ascii="Arial" w:eastAsia="宋体" w:hAnsi="Arial" w:cs="Arial"/>
                <w:color w:val="0068B5"/>
                <w:sz w:val="18"/>
                <w:szCs w:val="18"/>
              </w:rPr>
              <w:t>1,295 </w:t>
            </w:r>
          </w:p>
        </w:tc>
        <w:tc>
          <w:tcPr>
            <w:tcW w:w="0" w:type="auto"/>
            <w:shd w:val="clear" w:color="auto" w:fill="auto"/>
            <w:tcMar>
              <w:top w:w="40" w:type="dxa"/>
              <w:left w:w="0" w:type="dxa"/>
              <w:bottom w:w="40" w:type="dxa"/>
              <w:right w:w="20" w:type="dxa"/>
            </w:tcMar>
            <w:vAlign w:val="bottom"/>
          </w:tcPr>
          <w:p w14:paraId="39D98C8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82"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C83"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C84" w14:textId="77777777" w:rsidR="00996AD7" w:rsidRDefault="00D96458">
            <w:pPr>
              <w:jc w:val="right"/>
              <w:textAlignment w:val="bottom"/>
            </w:pPr>
            <w:r>
              <w:rPr>
                <w:rFonts w:ascii="Arial" w:eastAsia="宋体" w:hAnsi="Arial" w:cs="Arial"/>
                <w:color w:val="0068B5"/>
                <w:sz w:val="18"/>
                <w:szCs w:val="18"/>
              </w:rPr>
              <w:t>(329)</w:t>
            </w:r>
          </w:p>
        </w:tc>
        <w:tc>
          <w:tcPr>
            <w:tcW w:w="0" w:type="auto"/>
            <w:shd w:val="clear" w:color="auto" w:fill="auto"/>
            <w:tcMar>
              <w:top w:w="40" w:type="dxa"/>
              <w:left w:w="0" w:type="dxa"/>
              <w:bottom w:w="40" w:type="dxa"/>
              <w:right w:w="20" w:type="dxa"/>
            </w:tcMar>
            <w:vAlign w:val="bottom"/>
          </w:tcPr>
          <w:p w14:paraId="39D98C8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86"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C87"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C88" w14:textId="77777777" w:rsidR="00996AD7" w:rsidRDefault="00D96458">
            <w:pPr>
              <w:jc w:val="right"/>
              <w:textAlignment w:val="bottom"/>
            </w:pPr>
            <w:r>
              <w:rPr>
                <w:rFonts w:ascii="Arial" w:eastAsia="宋体" w:hAnsi="Arial" w:cs="Arial"/>
                <w:color w:val="0068B5"/>
                <w:sz w:val="18"/>
                <w:szCs w:val="18"/>
              </w:rPr>
              <w:t>(913)</w:t>
            </w:r>
          </w:p>
        </w:tc>
        <w:tc>
          <w:tcPr>
            <w:tcW w:w="0" w:type="auto"/>
            <w:shd w:val="clear" w:color="auto" w:fill="auto"/>
            <w:tcMar>
              <w:top w:w="40" w:type="dxa"/>
              <w:left w:w="0" w:type="dxa"/>
              <w:bottom w:w="40" w:type="dxa"/>
              <w:right w:w="20" w:type="dxa"/>
            </w:tcMar>
            <w:vAlign w:val="bottom"/>
          </w:tcPr>
          <w:p w14:paraId="39D98C8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8A"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C8B" w14:textId="77777777" w:rsidR="00996AD7" w:rsidRDefault="00D964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39D98C8C" w14:textId="77777777" w:rsidR="00996AD7" w:rsidRDefault="00D96458">
            <w:pPr>
              <w:jc w:val="right"/>
              <w:textAlignment w:val="bottom"/>
            </w:pPr>
            <w:r>
              <w:rPr>
                <w:rFonts w:ascii="Arial" w:eastAsia="宋体" w:hAnsi="Arial" w:cs="Arial"/>
                <w:color w:val="0068B5"/>
                <w:sz w:val="18"/>
                <w:szCs w:val="18"/>
              </w:rPr>
              <w:t>53 </w:t>
            </w:r>
          </w:p>
        </w:tc>
        <w:tc>
          <w:tcPr>
            <w:tcW w:w="0" w:type="auto"/>
            <w:shd w:val="clear" w:color="auto" w:fill="auto"/>
            <w:tcMar>
              <w:top w:w="40" w:type="dxa"/>
              <w:left w:w="0" w:type="dxa"/>
              <w:bottom w:w="40" w:type="dxa"/>
              <w:right w:w="20" w:type="dxa"/>
            </w:tcMar>
            <w:vAlign w:val="bottom"/>
          </w:tcPr>
          <w:p w14:paraId="39D98C8D" w14:textId="77777777" w:rsidR="00996AD7" w:rsidRDefault="00996AD7">
            <w:pPr>
              <w:jc w:val="right"/>
              <w:rPr>
                <w:rFonts w:ascii="宋体"/>
              </w:rPr>
            </w:pPr>
          </w:p>
        </w:tc>
      </w:tr>
      <w:tr w:rsidR="00996AD7" w14:paraId="39D98CA2" w14:textId="77777777">
        <w:tc>
          <w:tcPr>
            <w:tcW w:w="0" w:type="auto"/>
            <w:gridSpan w:val="3"/>
            <w:shd w:val="clear" w:color="auto" w:fill="auto"/>
            <w:tcMar>
              <w:top w:w="40" w:type="dxa"/>
              <w:left w:w="20" w:type="dxa"/>
              <w:bottom w:w="40" w:type="dxa"/>
              <w:right w:w="20" w:type="dxa"/>
            </w:tcMar>
            <w:vAlign w:val="bottom"/>
          </w:tcPr>
          <w:p w14:paraId="39D98C8F" w14:textId="77777777" w:rsidR="00996AD7" w:rsidRDefault="00D96458">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39D98C9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C91" w14:textId="77777777" w:rsidR="00996AD7" w:rsidRDefault="00D96458">
            <w:pPr>
              <w:jc w:val="right"/>
              <w:textAlignment w:val="bottom"/>
            </w:pPr>
            <w:r>
              <w:rPr>
                <w:rFonts w:ascii="Arial" w:eastAsia="宋体" w:hAnsi="Arial" w:cs="Arial"/>
                <w:color w:val="0068B5"/>
                <w:sz w:val="18"/>
                <w:szCs w:val="18"/>
              </w:rPr>
              <w:t>1,350 </w:t>
            </w:r>
          </w:p>
        </w:tc>
        <w:tc>
          <w:tcPr>
            <w:tcW w:w="0" w:type="auto"/>
            <w:shd w:val="clear" w:color="auto" w:fill="auto"/>
            <w:tcMar>
              <w:top w:w="40" w:type="dxa"/>
              <w:left w:w="0" w:type="dxa"/>
              <w:bottom w:w="40" w:type="dxa"/>
              <w:right w:w="20" w:type="dxa"/>
            </w:tcMar>
            <w:vAlign w:val="bottom"/>
          </w:tcPr>
          <w:p w14:paraId="39D98C9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9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C94"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C9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9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C97" w14:textId="77777777" w:rsidR="00996AD7" w:rsidRDefault="00D96458">
            <w:pPr>
              <w:jc w:val="right"/>
              <w:textAlignment w:val="bottom"/>
            </w:pPr>
            <w:r>
              <w:rPr>
                <w:rFonts w:ascii="Arial" w:eastAsia="宋体" w:hAnsi="Arial" w:cs="Arial"/>
                <w:color w:val="0068B5"/>
                <w:sz w:val="18"/>
                <w:szCs w:val="18"/>
              </w:rPr>
              <w:t>1,350 </w:t>
            </w:r>
          </w:p>
        </w:tc>
        <w:tc>
          <w:tcPr>
            <w:tcW w:w="0" w:type="auto"/>
            <w:shd w:val="clear" w:color="auto" w:fill="auto"/>
            <w:tcMar>
              <w:top w:w="40" w:type="dxa"/>
              <w:left w:w="0" w:type="dxa"/>
              <w:bottom w:w="40" w:type="dxa"/>
              <w:right w:w="20" w:type="dxa"/>
            </w:tcMar>
            <w:vAlign w:val="bottom"/>
          </w:tcPr>
          <w:p w14:paraId="39D98C9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9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C9A"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C9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9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C9D" w14:textId="77777777" w:rsidR="00996AD7" w:rsidRDefault="00D96458">
            <w:pPr>
              <w:jc w:val="right"/>
              <w:textAlignment w:val="bottom"/>
            </w:pPr>
            <w:r>
              <w:rPr>
                <w:rFonts w:ascii="Arial" w:eastAsia="宋体" w:hAnsi="Arial" w:cs="Arial"/>
                <w:color w:val="0068B5"/>
                <w:sz w:val="18"/>
                <w:szCs w:val="18"/>
              </w:rPr>
              <w:t>(1,350)</w:t>
            </w:r>
          </w:p>
        </w:tc>
        <w:tc>
          <w:tcPr>
            <w:tcW w:w="0" w:type="auto"/>
            <w:shd w:val="clear" w:color="auto" w:fill="auto"/>
            <w:tcMar>
              <w:top w:w="40" w:type="dxa"/>
              <w:left w:w="0" w:type="dxa"/>
              <w:bottom w:w="40" w:type="dxa"/>
              <w:right w:w="20" w:type="dxa"/>
            </w:tcMar>
            <w:vAlign w:val="bottom"/>
          </w:tcPr>
          <w:p w14:paraId="39D98C9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9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CA0"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CA1" w14:textId="77777777" w:rsidR="00996AD7" w:rsidRDefault="00996AD7">
            <w:pPr>
              <w:jc w:val="right"/>
              <w:rPr>
                <w:rFonts w:ascii="宋体"/>
              </w:rPr>
            </w:pPr>
          </w:p>
        </w:tc>
      </w:tr>
      <w:tr w:rsidR="00996AD7" w14:paraId="39D98CB6" w14:textId="77777777">
        <w:tc>
          <w:tcPr>
            <w:tcW w:w="0" w:type="auto"/>
            <w:gridSpan w:val="3"/>
            <w:shd w:val="clear" w:color="auto" w:fill="auto"/>
            <w:tcMar>
              <w:top w:w="40" w:type="dxa"/>
              <w:left w:w="20" w:type="dxa"/>
              <w:bottom w:w="40" w:type="dxa"/>
              <w:right w:w="20" w:type="dxa"/>
            </w:tcMar>
            <w:vAlign w:val="bottom"/>
          </w:tcPr>
          <w:p w14:paraId="39D98CA3" w14:textId="77777777" w:rsidR="00996AD7" w:rsidRDefault="00D96458">
            <w:pPr>
              <w:textAlignment w:val="bottom"/>
            </w:pPr>
            <w:r>
              <w:rPr>
                <w:rFonts w:ascii="Arial" w:eastAsia="宋体" w:hAnsi="Arial" w:cs="Arial"/>
                <w:b/>
                <w:bCs/>
                <w:color w:val="262626"/>
                <w:sz w:val="18"/>
                <w:szCs w:val="18"/>
              </w:rPr>
              <w:t xml:space="preserve">Total </w:t>
            </w: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39D98CA4"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CA5" w14:textId="77777777" w:rsidR="00996AD7" w:rsidRDefault="00D96458">
            <w:pPr>
              <w:jc w:val="right"/>
              <w:textAlignment w:val="bottom"/>
            </w:pPr>
            <w:r>
              <w:rPr>
                <w:rFonts w:ascii="Arial" w:eastAsia="宋体" w:hAnsi="Arial" w:cs="Arial"/>
                <w:b/>
                <w:bCs/>
                <w:color w:val="0068B5"/>
                <w:sz w:val="18"/>
                <w:szCs w:val="18"/>
              </w:rPr>
              <w:t>2,645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CA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A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CA8" w14:textId="77777777" w:rsidR="00996AD7" w:rsidRDefault="00D9645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CA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AA"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CAB" w14:textId="77777777" w:rsidR="00996AD7" w:rsidRDefault="00D96458">
            <w:pPr>
              <w:jc w:val="right"/>
              <w:textAlignment w:val="bottom"/>
            </w:pPr>
            <w:r>
              <w:rPr>
                <w:rFonts w:ascii="Arial" w:eastAsia="宋体" w:hAnsi="Arial" w:cs="Arial"/>
                <w:b/>
                <w:bCs/>
                <w:color w:val="0068B5"/>
                <w:sz w:val="18"/>
                <w:szCs w:val="18"/>
              </w:rPr>
              <w:t>2,645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CA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AD"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CAE" w14:textId="77777777" w:rsidR="00996AD7" w:rsidRDefault="00D96458">
            <w:pPr>
              <w:jc w:val="right"/>
              <w:textAlignment w:val="bottom"/>
            </w:pPr>
            <w:r>
              <w:rPr>
                <w:rFonts w:ascii="Arial" w:eastAsia="宋体" w:hAnsi="Arial" w:cs="Arial"/>
                <w:b/>
                <w:bCs/>
                <w:color w:val="0068B5"/>
                <w:sz w:val="18"/>
                <w:szCs w:val="18"/>
              </w:rPr>
              <w:t>(329)</w:t>
            </w:r>
          </w:p>
        </w:tc>
        <w:tc>
          <w:tcPr>
            <w:tcW w:w="0" w:type="auto"/>
            <w:tcBorders>
              <w:top w:val="single" w:sz="4" w:space="0" w:color="262626"/>
            </w:tcBorders>
            <w:shd w:val="clear" w:color="auto" w:fill="auto"/>
            <w:tcMar>
              <w:top w:w="40" w:type="dxa"/>
              <w:left w:w="0" w:type="dxa"/>
              <w:bottom w:w="40" w:type="dxa"/>
              <w:right w:w="20" w:type="dxa"/>
            </w:tcMar>
            <w:vAlign w:val="bottom"/>
          </w:tcPr>
          <w:p w14:paraId="39D98CA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B0"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CB1" w14:textId="77777777" w:rsidR="00996AD7" w:rsidRDefault="00D96458">
            <w:pPr>
              <w:jc w:val="right"/>
              <w:textAlignment w:val="bottom"/>
            </w:pPr>
            <w:r>
              <w:rPr>
                <w:rFonts w:ascii="Arial" w:eastAsia="宋体" w:hAnsi="Arial" w:cs="Arial"/>
                <w:b/>
                <w:bCs/>
                <w:color w:val="0068B5"/>
                <w:sz w:val="18"/>
                <w:szCs w:val="18"/>
              </w:rPr>
              <w:t>(2,263)</w:t>
            </w:r>
          </w:p>
        </w:tc>
        <w:tc>
          <w:tcPr>
            <w:tcW w:w="0" w:type="auto"/>
            <w:tcBorders>
              <w:top w:val="single" w:sz="4" w:space="0" w:color="262626"/>
            </w:tcBorders>
            <w:shd w:val="clear" w:color="auto" w:fill="auto"/>
            <w:tcMar>
              <w:top w:w="40" w:type="dxa"/>
              <w:left w:w="0" w:type="dxa"/>
              <w:bottom w:w="40" w:type="dxa"/>
              <w:right w:w="20" w:type="dxa"/>
            </w:tcMar>
            <w:vAlign w:val="bottom"/>
          </w:tcPr>
          <w:p w14:paraId="39D98CB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B3"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CB4" w14:textId="77777777" w:rsidR="00996AD7" w:rsidRDefault="00D96458">
            <w:pPr>
              <w:jc w:val="right"/>
              <w:textAlignment w:val="bottom"/>
            </w:pPr>
            <w:r>
              <w:rPr>
                <w:rFonts w:ascii="Arial" w:eastAsia="宋体" w:hAnsi="Arial" w:cs="Arial"/>
                <w:b/>
                <w:bCs/>
                <w:color w:val="0068B5"/>
                <w:sz w:val="18"/>
                <w:szCs w:val="18"/>
              </w:rPr>
              <w:t>53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CB5" w14:textId="77777777" w:rsidR="00996AD7" w:rsidRDefault="00996AD7">
            <w:pPr>
              <w:jc w:val="right"/>
              <w:rPr>
                <w:rFonts w:ascii="宋体"/>
              </w:rPr>
            </w:pPr>
          </w:p>
        </w:tc>
      </w:tr>
      <w:tr w:rsidR="00996AD7" w14:paraId="39D98CC4" w14:textId="77777777">
        <w:tc>
          <w:tcPr>
            <w:tcW w:w="0" w:type="auto"/>
            <w:gridSpan w:val="3"/>
            <w:shd w:val="clear" w:color="auto" w:fill="auto"/>
            <w:tcMar>
              <w:top w:w="40" w:type="dxa"/>
              <w:left w:w="20" w:type="dxa"/>
              <w:bottom w:w="40" w:type="dxa"/>
              <w:right w:w="20" w:type="dxa"/>
            </w:tcMar>
            <w:vAlign w:val="bottom"/>
          </w:tcPr>
          <w:p w14:paraId="39D98CB7" w14:textId="77777777" w:rsidR="00996AD7" w:rsidRDefault="00D96458">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39D98CB8"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CB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CBA"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CB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CBC"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CB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CBE"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CB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CC0"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CC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CC2"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CC3" w14:textId="77777777" w:rsidR="00996AD7" w:rsidRDefault="00996AD7">
            <w:pPr>
              <w:rPr>
                <w:rFonts w:ascii="宋体"/>
              </w:rPr>
            </w:pPr>
          </w:p>
        </w:tc>
      </w:tr>
      <w:tr w:rsidR="00996AD7" w14:paraId="39D98CD8" w14:textId="77777777">
        <w:tc>
          <w:tcPr>
            <w:tcW w:w="0" w:type="auto"/>
            <w:gridSpan w:val="3"/>
            <w:shd w:val="clear" w:color="auto" w:fill="auto"/>
            <w:tcMar>
              <w:top w:w="40" w:type="dxa"/>
              <w:left w:w="140" w:type="dxa"/>
              <w:bottom w:w="40" w:type="dxa"/>
              <w:right w:w="20" w:type="dxa"/>
            </w:tcMar>
            <w:vAlign w:val="bottom"/>
          </w:tcPr>
          <w:p w14:paraId="39D98CC5" w14:textId="77777777" w:rsidR="00996AD7" w:rsidRDefault="00D96458">
            <w:pPr>
              <w:textAlignment w:val="bottom"/>
            </w:pPr>
            <w:r>
              <w:rPr>
                <w:rFonts w:ascii="Arial" w:eastAsia="宋体" w:hAnsi="Arial" w:cs="Arial"/>
                <w:color w:val="262626"/>
                <w:sz w:val="18"/>
                <w:szCs w:val="18"/>
              </w:rPr>
              <w:t xml:space="preserve">Derivative </w:t>
            </w:r>
            <w:r>
              <w:rPr>
                <w:rFonts w:ascii="Arial" w:eastAsia="宋体" w:hAnsi="Arial" w:cs="Arial"/>
                <w:color w:val="262626"/>
                <w:sz w:val="18"/>
                <w:szCs w:val="18"/>
              </w:rPr>
              <w:t>liabilities subject to master netting arrangements</w:t>
            </w:r>
          </w:p>
        </w:tc>
        <w:tc>
          <w:tcPr>
            <w:tcW w:w="0" w:type="auto"/>
            <w:gridSpan w:val="3"/>
            <w:shd w:val="clear" w:color="auto" w:fill="auto"/>
            <w:tcMar>
              <w:top w:w="0" w:type="dxa"/>
              <w:left w:w="20" w:type="dxa"/>
              <w:bottom w:w="0" w:type="dxa"/>
              <w:right w:w="20" w:type="dxa"/>
            </w:tcMar>
            <w:vAlign w:val="bottom"/>
          </w:tcPr>
          <w:p w14:paraId="39D98CC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CC7" w14:textId="77777777" w:rsidR="00996AD7" w:rsidRDefault="00D96458">
            <w:pPr>
              <w:jc w:val="right"/>
              <w:textAlignment w:val="bottom"/>
            </w:pPr>
            <w:r>
              <w:rPr>
                <w:rFonts w:ascii="Arial" w:eastAsia="宋体" w:hAnsi="Arial" w:cs="Arial"/>
                <w:color w:val="0068B5"/>
                <w:sz w:val="18"/>
                <w:szCs w:val="18"/>
              </w:rPr>
              <w:t>408 </w:t>
            </w:r>
          </w:p>
        </w:tc>
        <w:tc>
          <w:tcPr>
            <w:tcW w:w="0" w:type="auto"/>
            <w:shd w:val="clear" w:color="auto" w:fill="auto"/>
            <w:tcMar>
              <w:top w:w="40" w:type="dxa"/>
              <w:left w:w="0" w:type="dxa"/>
              <w:bottom w:w="40" w:type="dxa"/>
              <w:right w:w="20" w:type="dxa"/>
            </w:tcMar>
            <w:vAlign w:val="bottom"/>
          </w:tcPr>
          <w:p w14:paraId="39D98CC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C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CCA"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CC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C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CCD" w14:textId="77777777" w:rsidR="00996AD7" w:rsidRDefault="00D96458">
            <w:pPr>
              <w:jc w:val="right"/>
              <w:textAlignment w:val="bottom"/>
            </w:pPr>
            <w:r>
              <w:rPr>
                <w:rFonts w:ascii="Arial" w:eastAsia="宋体" w:hAnsi="Arial" w:cs="Arial"/>
                <w:color w:val="0068B5"/>
                <w:sz w:val="18"/>
                <w:szCs w:val="18"/>
              </w:rPr>
              <w:t>408 </w:t>
            </w:r>
          </w:p>
        </w:tc>
        <w:tc>
          <w:tcPr>
            <w:tcW w:w="0" w:type="auto"/>
            <w:shd w:val="clear" w:color="auto" w:fill="auto"/>
            <w:tcMar>
              <w:top w:w="40" w:type="dxa"/>
              <w:left w:w="0" w:type="dxa"/>
              <w:bottom w:w="40" w:type="dxa"/>
              <w:right w:w="20" w:type="dxa"/>
            </w:tcMar>
            <w:vAlign w:val="bottom"/>
          </w:tcPr>
          <w:p w14:paraId="39D98CC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C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CD0" w14:textId="77777777" w:rsidR="00996AD7" w:rsidRDefault="00D96458">
            <w:pPr>
              <w:jc w:val="right"/>
              <w:textAlignment w:val="bottom"/>
            </w:pPr>
            <w:r>
              <w:rPr>
                <w:rFonts w:ascii="Arial" w:eastAsia="宋体" w:hAnsi="Arial" w:cs="Arial"/>
                <w:color w:val="0068B5"/>
                <w:sz w:val="18"/>
                <w:szCs w:val="18"/>
              </w:rPr>
              <w:t>(329)</w:t>
            </w:r>
          </w:p>
        </w:tc>
        <w:tc>
          <w:tcPr>
            <w:tcW w:w="0" w:type="auto"/>
            <w:shd w:val="clear" w:color="auto" w:fill="auto"/>
            <w:tcMar>
              <w:top w:w="40" w:type="dxa"/>
              <w:left w:w="0" w:type="dxa"/>
              <w:bottom w:w="40" w:type="dxa"/>
              <w:right w:w="20" w:type="dxa"/>
            </w:tcMar>
            <w:vAlign w:val="bottom"/>
          </w:tcPr>
          <w:p w14:paraId="39D98CD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D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CD3" w14:textId="77777777" w:rsidR="00996AD7" w:rsidRDefault="00D96458">
            <w:pPr>
              <w:jc w:val="right"/>
              <w:textAlignment w:val="bottom"/>
            </w:pPr>
            <w:r>
              <w:rPr>
                <w:rFonts w:ascii="Arial" w:eastAsia="宋体" w:hAnsi="Arial" w:cs="Arial"/>
                <w:color w:val="0068B5"/>
                <w:sz w:val="18"/>
                <w:szCs w:val="18"/>
              </w:rPr>
              <w:t>(79)</w:t>
            </w:r>
          </w:p>
        </w:tc>
        <w:tc>
          <w:tcPr>
            <w:tcW w:w="0" w:type="auto"/>
            <w:shd w:val="clear" w:color="auto" w:fill="auto"/>
            <w:tcMar>
              <w:top w:w="40" w:type="dxa"/>
              <w:left w:w="0" w:type="dxa"/>
              <w:bottom w:w="40" w:type="dxa"/>
              <w:right w:w="20" w:type="dxa"/>
            </w:tcMar>
            <w:vAlign w:val="bottom"/>
          </w:tcPr>
          <w:p w14:paraId="39D98CD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D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CD6"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8CD7" w14:textId="77777777" w:rsidR="00996AD7" w:rsidRDefault="00996AD7">
            <w:pPr>
              <w:jc w:val="right"/>
              <w:rPr>
                <w:rFonts w:ascii="宋体"/>
              </w:rPr>
            </w:pPr>
          </w:p>
        </w:tc>
      </w:tr>
      <w:tr w:rsidR="00996AD7" w14:paraId="39D98CF2" w14:textId="77777777">
        <w:tc>
          <w:tcPr>
            <w:tcW w:w="0" w:type="auto"/>
            <w:gridSpan w:val="3"/>
            <w:shd w:val="clear" w:color="auto" w:fill="auto"/>
            <w:tcMar>
              <w:top w:w="40" w:type="dxa"/>
              <w:left w:w="20" w:type="dxa"/>
              <w:bottom w:w="40" w:type="dxa"/>
              <w:right w:w="20" w:type="dxa"/>
            </w:tcMar>
            <w:vAlign w:val="bottom"/>
          </w:tcPr>
          <w:p w14:paraId="39D98CD9" w14:textId="77777777" w:rsidR="00996AD7" w:rsidRDefault="00D96458">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39D98CDA"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CDB"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CDC" w14:textId="77777777" w:rsidR="00996AD7" w:rsidRDefault="00D96458">
            <w:pPr>
              <w:jc w:val="right"/>
              <w:textAlignment w:val="bottom"/>
            </w:pPr>
            <w:r>
              <w:rPr>
                <w:rFonts w:ascii="Arial" w:eastAsia="宋体" w:hAnsi="Arial" w:cs="Arial"/>
                <w:b/>
                <w:bCs/>
                <w:color w:val="0068B5"/>
                <w:sz w:val="18"/>
                <w:szCs w:val="18"/>
              </w:rPr>
              <w:t>408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CD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DE"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CDF"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CE0" w14:textId="77777777" w:rsidR="00996AD7" w:rsidRDefault="00D9645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CE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E2"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CE3"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CE4" w14:textId="77777777" w:rsidR="00996AD7" w:rsidRDefault="00D96458">
            <w:pPr>
              <w:jc w:val="right"/>
              <w:textAlignment w:val="bottom"/>
            </w:pPr>
            <w:r>
              <w:rPr>
                <w:rFonts w:ascii="Arial" w:eastAsia="宋体" w:hAnsi="Arial" w:cs="Arial"/>
                <w:b/>
                <w:bCs/>
                <w:color w:val="0068B5"/>
                <w:sz w:val="18"/>
                <w:szCs w:val="18"/>
              </w:rPr>
              <w:t>408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CE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E6"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CE7"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CE8" w14:textId="77777777" w:rsidR="00996AD7" w:rsidRDefault="00D96458">
            <w:pPr>
              <w:jc w:val="right"/>
              <w:textAlignment w:val="bottom"/>
            </w:pPr>
            <w:r>
              <w:rPr>
                <w:rFonts w:ascii="Arial" w:eastAsia="宋体" w:hAnsi="Arial" w:cs="Arial"/>
                <w:b/>
                <w:bCs/>
                <w:color w:val="0068B5"/>
                <w:sz w:val="18"/>
                <w:szCs w:val="18"/>
              </w:rPr>
              <w:t>(329)</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CE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EA"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CEB"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CEC" w14:textId="77777777" w:rsidR="00996AD7" w:rsidRDefault="00D96458">
            <w:pPr>
              <w:jc w:val="right"/>
              <w:textAlignment w:val="bottom"/>
            </w:pPr>
            <w:r>
              <w:rPr>
                <w:rFonts w:ascii="Arial" w:eastAsia="宋体" w:hAnsi="Arial" w:cs="Arial"/>
                <w:b/>
                <w:bCs/>
                <w:color w:val="0068B5"/>
                <w:sz w:val="18"/>
                <w:szCs w:val="18"/>
              </w:rPr>
              <w:t>(79)</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CE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CEE"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CEF"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CF0" w14:textId="77777777" w:rsidR="00996AD7" w:rsidRDefault="00D9645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CF1" w14:textId="77777777" w:rsidR="00996AD7" w:rsidRDefault="00996AD7">
            <w:pPr>
              <w:jc w:val="right"/>
              <w:rPr>
                <w:rFonts w:ascii="宋体"/>
              </w:rPr>
            </w:pPr>
          </w:p>
        </w:tc>
      </w:tr>
    </w:tbl>
    <w:p w14:paraId="39D98CF3" w14:textId="77777777" w:rsidR="00996AD7" w:rsidRDefault="00996AD7">
      <w:pPr>
        <w:spacing w:after="180"/>
      </w:pPr>
    </w:p>
    <w:p w14:paraId="39D98CF4" w14:textId="77777777" w:rsidR="00996AD7" w:rsidRDefault="00996AD7">
      <w:pPr>
        <w:spacing w:after="180"/>
      </w:pPr>
    </w:p>
    <w:p w14:paraId="39D98CF5" w14:textId="77777777" w:rsidR="00996AD7" w:rsidRDefault="00996AD7">
      <w:pPr>
        <w:spacing w:after="180"/>
      </w:pPr>
    </w:p>
    <w:p w14:paraId="39D98CF6" w14:textId="77777777" w:rsidR="00996AD7" w:rsidRDefault="00996AD7">
      <w:pPr>
        <w:spacing w:after="180"/>
      </w:pPr>
    </w:p>
    <w:p w14:paraId="39D98CF7" w14:textId="77777777" w:rsidR="00996AD7" w:rsidRDefault="00996AD7">
      <w:pPr>
        <w:spacing w:after="180"/>
      </w:pPr>
    </w:p>
    <w:p w14:paraId="39D98CF8" w14:textId="77777777" w:rsidR="00996AD7" w:rsidRDefault="00996AD7">
      <w:pPr>
        <w:spacing w:after="180"/>
      </w:pPr>
    </w:p>
    <w:p w14:paraId="39D98CF9"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8D06" w14:textId="77777777">
        <w:tc>
          <w:tcPr>
            <w:tcW w:w="50" w:type="pct"/>
            <w:shd w:val="clear" w:color="auto" w:fill="auto"/>
            <w:vAlign w:val="bottom"/>
          </w:tcPr>
          <w:p w14:paraId="39D98CFA" w14:textId="77777777" w:rsidR="00996AD7" w:rsidRDefault="00996AD7">
            <w:pPr>
              <w:rPr>
                <w:rFonts w:ascii="宋体"/>
              </w:rPr>
            </w:pPr>
          </w:p>
        </w:tc>
        <w:tc>
          <w:tcPr>
            <w:tcW w:w="238" w:type="pct"/>
            <w:shd w:val="clear" w:color="auto" w:fill="auto"/>
            <w:vAlign w:val="bottom"/>
          </w:tcPr>
          <w:p w14:paraId="39D98CFB" w14:textId="77777777" w:rsidR="00996AD7" w:rsidRDefault="00996AD7">
            <w:pPr>
              <w:rPr>
                <w:rFonts w:ascii="宋体"/>
              </w:rPr>
            </w:pPr>
          </w:p>
        </w:tc>
        <w:tc>
          <w:tcPr>
            <w:tcW w:w="5" w:type="pct"/>
            <w:shd w:val="clear" w:color="auto" w:fill="auto"/>
            <w:vAlign w:val="bottom"/>
          </w:tcPr>
          <w:p w14:paraId="39D98CFC" w14:textId="77777777" w:rsidR="00996AD7" w:rsidRDefault="00996AD7">
            <w:pPr>
              <w:rPr>
                <w:rFonts w:ascii="宋体"/>
              </w:rPr>
            </w:pPr>
          </w:p>
        </w:tc>
        <w:tc>
          <w:tcPr>
            <w:tcW w:w="50" w:type="pct"/>
            <w:shd w:val="clear" w:color="auto" w:fill="auto"/>
            <w:vAlign w:val="bottom"/>
          </w:tcPr>
          <w:p w14:paraId="39D98CFD" w14:textId="77777777" w:rsidR="00996AD7" w:rsidRDefault="00996AD7">
            <w:pPr>
              <w:rPr>
                <w:rFonts w:ascii="宋体"/>
              </w:rPr>
            </w:pPr>
          </w:p>
        </w:tc>
        <w:tc>
          <w:tcPr>
            <w:tcW w:w="983" w:type="pct"/>
            <w:shd w:val="clear" w:color="auto" w:fill="auto"/>
            <w:vAlign w:val="bottom"/>
          </w:tcPr>
          <w:p w14:paraId="39D98CFE" w14:textId="77777777" w:rsidR="00996AD7" w:rsidRDefault="00996AD7">
            <w:pPr>
              <w:rPr>
                <w:rFonts w:ascii="宋体"/>
              </w:rPr>
            </w:pPr>
          </w:p>
        </w:tc>
        <w:tc>
          <w:tcPr>
            <w:tcW w:w="5" w:type="pct"/>
            <w:shd w:val="clear" w:color="auto" w:fill="auto"/>
            <w:vAlign w:val="bottom"/>
          </w:tcPr>
          <w:p w14:paraId="39D98CFF" w14:textId="77777777" w:rsidR="00996AD7" w:rsidRDefault="00996AD7">
            <w:pPr>
              <w:rPr>
                <w:rFonts w:ascii="宋体"/>
              </w:rPr>
            </w:pPr>
          </w:p>
        </w:tc>
        <w:tc>
          <w:tcPr>
            <w:tcW w:w="50" w:type="pct"/>
            <w:shd w:val="clear" w:color="auto" w:fill="auto"/>
            <w:vAlign w:val="bottom"/>
          </w:tcPr>
          <w:p w14:paraId="39D98D00" w14:textId="77777777" w:rsidR="00996AD7" w:rsidRDefault="00996AD7">
            <w:pPr>
              <w:rPr>
                <w:rFonts w:ascii="宋体"/>
              </w:rPr>
            </w:pPr>
          </w:p>
        </w:tc>
        <w:tc>
          <w:tcPr>
            <w:tcW w:w="2035" w:type="pct"/>
            <w:shd w:val="clear" w:color="auto" w:fill="auto"/>
            <w:vAlign w:val="bottom"/>
          </w:tcPr>
          <w:p w14:paraId="39D98D01" w14:textId="77777777" w:rsidR="00996AD7" w:rsidRDefault="00996AD7">
            <w:pPr>
              <w:rPr>
                <w:rFonts w:ascii="宋体"/>
              </w:rPr>
            </w:pPr>
          </w:p>
        </w:tc>
        <w:tc>
          <w:tcPr>
            <w:tcW w:w="5" w:type="pct"/>
            <w:shd w:val="clear" w:color="auto" w:fill="auto"/>
            <w:vAlign w:val="bottom"/>
          </w:tcPr>
          <w:p w14:paraId="39D98D02" w14:textId="77777777" w:rsidR="00996AD7" w:rsidRDefault="00996AD7">
            <w:pPr>
              <w:rPr>
                <w:rFonts w:ascii="宋体"/>
              </w:rPr>
            </w:pPr>
          </w:p>
        </w:tc>
        <w:tc>
          <w:tcPr>
            <w:tcW w:w="50" w:type="pct"/>
            <w:shd w:val="clear" w:color="auto" w:fill="auto"/>
            <w:vAlign w:val="bottom"/>
          </w:tcPr>
          <w:p w14:paraId="39D98D03" w14:textId="77777777" w:rsidR="00996AD7" w:rsidRDefault="00996AD7">
            <w:pPr>
              <w:rPr>
                <w:rFonts w:ascii="宋体"/>
              </w:rPr>
            </w:pPr>
          </w:p>
        </w:tc>
        <w:tc>
          <w:tcPr>
            <w:tcW w:w="1522" w:type="pct"/>
            <w:shd w:val="clear" w:color="auto" w:fill="auto"/>
            <w:vAlign w:val="bottom"/>
          </w:tcPr>
          <w:p w14:paraId="39D98D04" w14:textId="77777777" w:rsidR="00996AD7" w:rsidRDefault="00996AD7">
            <w:pPr>
              <w:rPr>
                <w:rFonts w:ascii="宋体"/>
              </w:rPr>
            </w:pPr>
          </w:p>
        </w:tc>
        <w:tc>
          <w:tcPr>
            <w:tcW w:w="5" w:type="pct"/>
            <w:shd w:val="clear" w:color="auto" w:fill="auto"/>
            <w:vAlign w:val="bottom"/>
          </w:tcPr>
          <w:p w14:paraId="39D98D05" w14:textId="77777777" w:rsidR="00996AD7" w:rsidRDefault="00996AD7">
            <w:pPr>
              <w:rPr>
                <w:rFonts w:ascii="宋体"/>
              </w:rPr>
            </w:pPr>
          </w:p>
        </w:tc>
      </w:tr>
      <w:tr w:rsidR="00996AD7" w14:paraId="39D98D0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D07"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C6" wp14:editId="39D9A3C7">
                  <wp:extent cx="304800" cy="304800"/>
                  <wp:effectExtent l="0" t="0" r="0" b="0"/>
                  <wp:docPr id="107" name="图片 73"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3"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D08"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8D09"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D0A" w14:textId="77777777" w:rsidR="00996AD7" w:rsidRDefault="00D96458">
            <w:pPr>
              <w:jc w:val="right"/>
              <w:textAlignment w:val="center"/>
            </w:pPr>
            <w:r>
              <w:rPr>
                <w:rFonts w:ascii="Arial" w:eastAsia="宋体" w:hAnsi="Arial" w:cs="Arial"/>
                <w:color w:val="262626"/>
                <w:sz w:val="16"/>
                <w:szCs w:val="16"/>
              </w:rPr>
              <w:t>17</w:t>
            </w:r>
          </w:p>
        </w:tc>
      </w:tr>
    </w:tbl>
    <w:p w14:paraId="39D98D0C" w14:textId="77777777" w:rsidR="00996AD7" w:rsidRDefault="00D96458">
      <w:r>
        <w:pict w14:anchorId="39D9A3C8">
          <v:rect id="_x0000_i1043" style="width:415.3pt;height:1.5pt" o:hralign="center" o:hrstd="t" o:hr="t" fillcolor="#a0a0a0" stroked="f"/>
        </w:pict>
      </w:r>
    </w:p>
    <w:p w14:paraId="39D98D0D" w14:textId="77777777" w:rsidR="00996AD7" w:rsidRDefault="00D96458">
      <w:pPr>
        <w:spacing w:after="180"/>
        <w:jc w:val="right"/>
      </w:pPr>
      <w:hyperlink r:id="rId44" w:anchor="i94e6cc3aa83643b8b968bd5bab038338_7" w:history="1">
        <w:r>
          <w:rPr>
            <w:rStyle w:val="a5"/>
            <w:rFonts w:ascii="Arial" w:eastAsia="宋体" w:hAnsi="Arial" w:cs="Arial"/>
            <w:b/>
            <w:bCs/>
            <w:color w:val="0068B5"/>
            <w:sz w:val="16"/>
            <w:szCs w:val="16"/>
          </w:rPr>
          <w:t>Table of Contents</w:t>
        </w:r>
      </w:hyperlink>
    </w:p>
    <w:p w14:paraId="39D98D0E" w14:textId="77777777" w:rsidR="00996AD7" w:rsidRDefault="00996AD7">
      <w:pPr>
        <w:spacing w:after="180"/>
        <w:jc w:val="right"/>
      </w:pP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996AD7" w14:paraId="39D98D36" w14:textId="77777777">
        <w:tc>
          <w:tcPr>
            <w:tcW w:w="50" w:type="pct"/>
            <w:shd w:val="clear" w:color="auto" w:fill="auto"/>
            <w:vAlign w:val="bottom"/>
          </w:tcPr>
          <w:p w14:paraId="39D98D0F" w14:textId="77777777" w:rsidR="00996AD7" w:rsidRDefault="00996AD7">
            <w:pPr>
              <w:rPr>
                <w:rFonts w:ascii="宋体"/>
              </w:rPr>
            </w:pPr>
          </w:p>
        </w:tc>
        <w:tc>
          <w:tcPr>
            <w:tcW w:w="1451" w:type="pct"/>
            <w:shd w:val="clear" w:color="auto" w:fill="auto"/>
            <w:vAlign w:val="bottom"/>
          </w:tcPr>
          <w:p w14:paraId="39D98D10" w14:textId="77777777" w:rsidR="00996AD7" w:rsidRDefault="00996AD7">
            <w:pPr>
              <w:rPr>
                <w:rFonts w:ascii="宋体"/>
              </w:rPr>
            </w:pPr>
          </w:p>
        </w:tc>
        <w:tc>
          <w:tcPr>
            <w:tcW w:w="5" w:type="pct"/>
            <w:shd w:val="clear" w:color="auto" w:fill="auto"/>
            <w:vAlign w:val="bottom"/>
          </w:tcPr>
          <w:p w14:paraId="39D98D11" w14:textId="77777777" w:rsidR="00996AD7" w:rsidRDefault="00996AD7">
            <w:pPr>
              <w:rPr>
                <w:rFonts w:ascii="宋体"/>
              </w:rPr>
            </w:pPr>
          </w:p>
        </w:tc>
        <w:tc>
          <w:tcPr>
            <w:tcW w:w="5" w:type="pct"/>
            <w:shd w:val="clear" w:color="auto" w:fill="auto"/>
            <w:vAlign w:val="bottom"/>
          </w:tcPr>
          <w:p w14:paraId="39D98D12" w14:textId="77777777" w:rsidR="00996AD7" w:rsidRDefault="00996AD7">
            <w:pPr>
              <w:rPr>
                <w:rFonts w:ascii="宋体"/>
              </w:rPr>
            </w:pPr>
          </w:p>
        </w:tc>
        <w:tc>
          <w:tcPr>
            <w:tcW w:w="24" w:type="pct"/>
            <w:shd w:val="clear" w:color="auto" w:fill="auto"/>
            <w:vAlign w:val="bottom"/>
          </w:tcPr>
          <w:p w14:paraId="39D98D13" w14:textId="77777777" w:rsidR="00996AD7" w:rsidRDefault="00996AD7">
            <w:pPr>
              <w:rPr>
                <w:rFonts w:ascii="宋体"/>
              </w:rPr>
            </w:pPr>
          </w:p>
        </w:tc>
        <w:tc>
          <w:tcPr>
            <w:tcW w:w="5" w:type="pct"/>
            <w:shd w:val="clear" w:color="auto" w:fill="auto"/>
            <w:vAlign w:val="bottom"/>
          </w:tcPr>
          <w:p w14:paraId="39D98D14" w14:textId="77777777" w:rsidR="00996AD7" w:rsidRDefault="00996AD7">
            <w:pPr>
              <w:rPr>
                <w:rFonts w:ascii="宋体"/>
              </w:rPr>
            </w:pPr>
          </w:p>
        </w:tc>
        <w:tc>
          <w:tcPr>
            <w:tcW w:w="50" w:type="pct"/>
            <w:shd w:val="clear" w:color="auto" w:fill="auto"/>
            <w:vAlign w:val="bottom"/>
          </w:tcPr>
          <w:p w14:paraId="39D98D15" w14:textId="77777777" w:rsidR="00996AD7" w:rsidRDefault="00996AD7">
            <w:pPr>
              <w:rPr>
                <w:rFonts w:ascii="宋体"/>
              </w:rPr>
            </w:pPr>
          </w:p>
        </w:tc>
        <w:tc>
          <w:tcPr>
            <w:tcW w:w="492" w:type="pct"/>
            <w:shd w:val="clear" w:color="auto" w:fill="auto"/>
            <w:vAlign w:val="bottom"/>
          </w:tcPr>
          <w:p w14:paraId="39D98D16" w14:textId="77777777" w:rsidR="00996AD7" w:rsidRDefault="00996AD7">
            <w:pPr>
              <w:rPr>
                <w:rFonts w:ascii="宋体"/>
              </w:rPr>
            </w:pPr>
          </w:p>
        </w:tc>
        <w:tc>
          <w:tcPr>
            <w:tcW w:w="5" w:type="pct"/>
            <w:shd w:val="clear" w:color="auto" w:fill="auto"/>
            <w:vAlign w:val="bottom"/>
          </w:tcPr>
          <w:p w14:paraId="39D98D17" w14:textId="77777777" w:rsidR="00996AD7" w:rsidRDefault="00996AD7">
            <w:pPr>
              <w:rPr>
                <w:rFonts w:ascii="宋体"/>
              </w:rPr>
            </w:pPr>
          </w:p>
        </w:tc>
        <w:tc>
          <w:tcPr>
            <w:tcW w:w="5" w:type="pct"/>
            <w:shd w:val="clear" w:color="auto" w:fill="auto"/>
            <w:vAlign w:val="bottom"/>
          </w:tcPr>
          <w:p w14:paraId="39D98D18" w14:textId="77777777" w:rsidR="00996AD7" w:rsidRDefault="00996AD7">
            <w:pPr>
              <w:rPr>
                <w:rFonts w:ascii="宋体"/>
              </w:rPr>
            </w:pPr>
          </w:p>
        </w:tc>
        <w:tc>
          <w:tcPr>
            <w:tcW w:w="24" w:type="pct"/>
            <w:shd w:val="clear" w:color="auto" w:fill="auto"/>
            <w:vAlign w:val="bottom"/>
          </w:tcPr>
          <w:p w14:paraId="39D98D19" w14:textId="77777777" w:rsidR="00996AD7" w:rsidRDefault="00996AD7">
            <w:pPr>
              <w:rPr>
                <w:rFonts w:ascii="宋体"/>
              </w:rPr>
            </w:pPr>
          </w:p>
        </w:tc>
        <w:tc>
          <w:tcPr>
            <w:tcW w:w="5" w:type="pct"/>
            <w:shd w:val="clear" w:color="auto" w:fill="auto"/>
            <w:vAlign w:val="bottom"/>
          </w:tcPr>
          <w:p w14:paraId="39D98D1A" w14:textId="77777777" w:rsidR="00996AD7" w:rsidRDefault="00996AD7">
            <w:pPr>
              <w:rPr>
                <w:rFonts w:ascii="宋体"/>
              </w:rPr>
            </w:pPr>
          </w:p>
        </w:tc>
        <w:tc>
          <w:tcPr>
            <w:tcW w:w="50" w:type="pct"/>
            <w:shd w:val="clear" w:color="auto" w:fill="auto"/>
            <w:vAlign w:val="bottom"/>
          </w:tcPr>
          <w:p w14:paraId="39D98D1B" w14:textId="77777777" w:rsidR="00996AD7" w:rsidRDefault="00996AD7">
            <w:pPr>
              <w:rPr>
                <w:rFonts w:ascii="宋体"/>
              </w:rPr>
            </w:pPr>
          </w:p>
        </w:tc>
        <w:tc>
          <w:tcPr>
            <w:tcW w:w="492" w:type="pct"/>
            <w:shd w:val="clear" w:color="auto" w:fill="auto"/>
            <w:vAlign w:val="bottom"/>
          </w:tcPr>
          <w:p w14:paraId="39D98D1C" w14:textId="77777777" w:rsidR="00996AD7" w:rsidRDefault="00996AD7">
            <w:pPr>
              <w:rPr>
                <w:rFonts w:ascii="宋体"/>
              </w:rPr>
            </w:pPr>
          </w:p>
        </w:tc>
        <w:tc>
          <w:tcPr>
            <w:tcW w:w="5" w:type="pct"/>
            <w:shd w:val="clear" w:color="auto" w:fill="auto"/>
            <w:vAlign w:val="bottom"/>
          </w:tcPr>
          <w:p w14:paraId="39D98D1D" w14:textId="77777777" w:rsidR="00996AD7" w:rsidRDefault="00996AD7">
            <w:pPr>
              <w:rPr>
                <w:rFonts w:ascii="宋体"/>
              </w:rPr>
            </w:pPr>
          </w:p>
        </w:tc>
        <w:tc>
          <w:tcPr>
            <w:tcW w:w="5" w:type="pct"/>
            <w:shd w:val="clear" w:color="auto" w:fill="auto"/>
            <w:vAlign w:val="bottom"/>
          </w:tcPr>
          <w:p w14:paraId="39D98D1E" w14:textId="77777777" w:rsidR="00996AD7" w:rsidRDefault="00996AD7">
            <w:pPr>
              <w:rPr>
                <w:rFonts w:ascii="宋体"/>
              </w:rPr>
            </w:pPr>
          </w:p>
        </w:tc>
        <w:tc>
          <w:tcPr>
            <w:tcW w:w="24" w:type="pct"/>
            <w:shd w:val="clear" w:color="auto" w:fill="auto"/>
            <w:vAlign w:val="bottom"/>
          </w:tcPr>
          <w:p w14:paraId="39D98D1F" w14:textId="77777777" w:rsidR="00996AD7" w:rsidRDefault="00996AD7">
            <w:pPr>
              <w:rPr>
                <w:rFonts w:ascii="宋体"/>
              </w:rPr>
            </w:pPr>
          </w:p>
        </w:tc>
        <w:tc>
          <w:tcPr>
            <w:tcW w:w="5" w:type="pct"/>
            <w:shd w:val="clear" w:color="auto" w:fill="auto"/>
            <w:vAlign w:val="bottom"/>
          </w:tcPr>
          <w:p w14:paraId="39D98D20" w14:textId="77777777" w:rsidR="00996AD7" w:rsidRDefault="00996AD7">
            <w:pPr>
              <w:rPr>
                <w:rFonts w:ascii="宋体"/>
              </w:rPr>
            </w:pPr>
          </w:p>
        </w:tc>
        <w:tc>
          <w:tcPr>
            <w:tcW w:w="50" w:type="pct"/>
            <w:shd w:val="clear" w:color="auto" w:fill="auto"/>
            <w:vAlign w:val="bottom"/>
          </w:tcPr>
          <w:p w14:paraId="39D98D21" w14:textId="77777777" w:rsidR="00996AD7" w:rsidRDefault="00996AD7">
            <w:pPr>
              <w:rPr>
                <w:rFonts w:ascii="宋体"/>
              </w:rPr>
            </w:pPr>
          </w:p>
        </w:tc>
        <w:tc>
          <w:tcPr>
            <w:tcW w:w="492" w:type="pct"/>
            <w:shd w:val="clear" w:color="auto" w:fill="auto"/>
            <w:vAlign w:val="bottom"/>
          </w:tcPr>
          <w:p w14:paraId="39D98D22" w14:textId="77777777" w:rsidR="00996AD7" w:rsidRDefault="00996AD7">
            <w:pPr>
              <w:rPr>
                <w:rFonts w:ascii="宋体"/>
              </w:rPr>
            </w:pPr>
          </w:p>
        </w:tc>
        <w:tc>
          <w:tcPr>
            <w:tcW w:w="5" w:type="pct"/>
            <w:shd w:val="clear" w:color="auto" w:fill="auto"/>
            <w:vAlign w:val="bottom"/>
          </w:tcPr>
          <w:p w14:paraId="39D98D23" w14:textId="77777777" w:rsidR="00996AD7" w:rsidRDefault="00996AD7">
            <w:pPr>
              <w:rPr>
                <w:rFonts w:ascii="宋体"/>
              </w:rPr>
            </w:pPr>
          </w:p>
        </w:tc>
        <w:tc>
          <w:tcPr>
            <w:tcW w:w="5" w:type="pct"/>
            <w:shd w:val="clear" w:color="auto" w:fill="auto"/>
            <w:vAlign w:val="bottom"/>
          </w:tcPr>
          <w:p w14:paraId="39D98D24" w14:textId="77777777" w:rsidR="00996AD7" w:rsidRDefault="00996AD7">
            <w:pPr>
              <w:rPr>
                <w:rFonts w:ascii="宋体"/>
              </w:rPr>
            </w:pPr>
          </w:p>
        </w:tc>
        <w:tc>
          <w:tcPr>
            <w:tcW w:w="24" w:type="pct"/>
            <w:shd w:val="clear" w:color="auto" w:fill="auto"/>
            <w:vAlign w:val="bottom"/>
          </w:tcPr>
          <w:p w14:paraId="39D98D25" w14:textId="77777777" w:rsidR="00996AD7" w:rsidRDefault="00996AD7">
            <w:pPr>
              <w:rPr>
                <w:rFonts w:ascii="宋体"/>
              </w:rPr>
            </w:pPr>
          </w:p>
        </w:tc>
        <w:tc>
          <w:tcPr>
            <w:tcW w:w="5" w:type="pct"/>
            <w:shd w:val="clear" w:color="auto" w:fill="auto"/>
            <w:vAlign w:val="bottom"/>
          </w:tcPr>
          <w:p w14:paraId="39D98D26" w14:textId="77777777" w:rsidR="00996AD7" w:rsidRDefault="00996AD7">
            <w:pPr>
              <w:rPr>
                <w:rFonts w:ascii="宋体"/>
              </w:rPr>
            </w:pPr>
          </w:p>
        </w:tc>
        <w:tc>
          <w:tcPr>
            <w:tcW w:w="50" w:type="pct"/>
            <w:shd w:val="clear" w:color="auto" w:fill="auto"/>
            <w:vAlign w:val="bottom"/>
          </w:tcPr>
          <w:p w14:paraId="39D98D27" w14:textId="77777777" w:rsidR="00996AD7" w:rsidRDefault="00996AD7">
            <w:pPr>
              <w:rPr>
                <w:rFonts w:ascii="宋体"/>
              </w:rPr>
            </w:pPr>
          </w:p>
        </w:tc>
        <w:tc>
          <w:tcPr>
            <w:tcW w:w="492" w:type="pct"/>
            <w:shd w:val="clear" w:color="auto" w:fill="auto"/>
            <w:vAlign w:val="bottom"/>
          </w:tcPr>
          <w:p w14:paraId="39D98D28" w14:textId="77777777" w:rsidR="00996AD7" w:rsidRDefault="00996AD7">
            <w:pPr>
              <w:rPr>
                <w:rFonts w:ascii="宋体"/>
              </w:rPr>
            </w:pPr>
          </w:p>
        </w:tc>
        <w:tc>
          <w:tcPr>
            <w:tcW w:w="5" w:type="pct"/>
            <w:shd w:val="clear" w:color="auto" w:fill="auto"/>
            <w:vAlign w:val="bottom"/>
          </w:tcPr>
          <w:p w14:paraId="39D98D29" w14:textId="77777777" w:rsidR="00996AD7" w:rsidRDefault="00996AD7">
            <w:pPr>
              <w:rPr>
                <w:rFonts w:ascii="宋体"/>
              </w:rPr>
            </w:pPr>
          </w:p>
        </w:tc>
        <w:tc>
          <w:tcPr>
            <w:tcW w:w="5" w:type="pct"/>
            <w:shd w:val="clear" w:color="auto" w:fill="auto"/>
            <w:vAlign w:val="bottom"/>
          </w:tcPr>
          <w:p w14:paraId="39D98D2A" w14:textId="77777777" w:rsidR="00996AD7" w:rsidRDefault="00996AD7">
            <w:pPr>
              <w:rPr>
                <w:rFonts w:ascii="宋体"/>
              </w:rPr>
            </w:pPr>
          </w:p>
        </w:tc>
        <w:tc>
          <w:tcPr>
            <w:tcW w:w="24" w:type="pct"/>
            <w:shd w:val="clear" w:color="auto" w:fill="auto"/>
            <w:vAlign w:val="bottom"/>
          </w:tcPr>
          <w:p w14:paraId="39D98D2B" w14:textId="77777777" w:rsidR="00996AD7" w:rsidRDefault="00996AD7">
            <w:pPr>
              <w:rPr>
                <w:rFonts w:ascii="宋体"/>
              </w:rPr>
            </w:pPr>
          </w:p>
        </w:tc>
        <w:tc>
          <w:tcPr>
            <w:tcW w:w="5" w:type="pct"/>
            <w:shd w:val="clear" w:color="auto" w:fill="auto"/>
            <w:vAlign w:val="bottom"/>
          </w:tcPr>
          <w:p w14:paraId="39D98D2C" w14:textId="77777777" w:rsidR="00996AD7" w:rsidRDefault="00996AD7">
            <w:pPr>
              <w:rPr>
                <w:rFonts w:ascii="宋体"/>
              </w:rPr>
            </w:pPr>
          </w:p>
        </w:tc>
        <w:tc>
          <w:tcPr>
            <w:tcW w:w="50" w:type="pct"/>
            <w:shd w:val="clear" w:color="auto" w:fill="auto"/>
            <w:vAlign w:val="bottom"/>
          </w:tcPr>
          <w:p w14:paraId="39D98D2D" w14:textId="77777777" w:rsidR="00996AD7" w:rsidRDefault="00996AD7">
            <w:pPr>
              <w:rPr>
                <w:rFonts w:ascii="宋体"/>
              </w:rPr>
            </w:pPr>
          </w:p>
        </w:tc>
        <w:tc>
          <w:tcPr>
            <w:tcW w:w="492" w:type="pct"/>
            <w:shd w:val="clear" w:color="auto" w:fill="auto"/>
            <w:vAlign w:val="bottom"/>
          </w:tcPr>
          <w:p w14:paraId="39D98D2E" w14:textId="77777777" w:rsidR="00996AD7" w:rsidRDefault="00996AD7">
            <w:pPr>
              <w:rPr>
                <w:rFonts w:ascii="宋体"/>
              </w:rPr>
            </w:pPr>
          </w:p>
        </w:tc>
        <w:tc>
          <w:tcPr>
            <w:tcW w:w="5" w:type="pct"/>
            <w:shd w:val="clear" w:color="auto" w:fill="auto"/>
            <w:vAlign w:val="bottom"/>
          </w:tcPr>
          <w:p w14:paraId="39D98D2F" w14:textId="77777777" w:rsidR="00996AD7" w:rsidRDefault="00996AD7">
            <w:pPr>
              <w:rPr>
                <w:rFonts w:ascii="宋体"/>
              </w:rPr>
            </w:pPr>
          </w:p>
        </w:tc>
        <w:tc>
          <w:tcPr>
            <w:tcW w:w="5" w:type="pct"/>
            <w:shd w:val="clear" w:color="auto" w:fill="auto"/>
            <w:vAlign w:val="bottom"/>
          </w:tcPr>
          <w:p w14:paraId="39D98D30" w14:textId="77777777" w:rsidR="00996AD7" w:rsidRDefault="00996AD7">
            <w:pPr>
              <w:rPr>
                <w:rFonts w:ascii="宋体"/>
              </w:rPr>
            </w:pPr>
          </w:p>
        </w:tc>
        <w:tc>
          <w:tcPr>
            <w:tcW w:w="24" w:type="pct"/>
            <w:shd w:val="clear" w:color="auto" w:fill="auto"/>
            <w:vAlign w:val="bottom"/>
          </w:tcPr>
          <w:p w14:paraId="39D98D31" w14:textId="77777777" w:rsidR="00996AD7" w:rsidRDefault="00996AD7">
            <w:pPr>
              <w:rPr>
                <w:rFonts w:ascii="宋体"/>
              </w:rPr>
            </w:pPr>
          </w:p>
        </w:tc>
        <w:tc>
          <w:tcPr>
            <w:tcW w:w="5" w:type="pct"/>
            <w:shd w:val="clear" w:color="auto" w:fill="auto"/>
            <w:vAlign w:val="bottom"/>
          </w:tcPr>
          <w:p w14:paraId="39D98D32" w14:textId="77777777" w:rsidR="00996AD7" w:rsidRDefault="00996AD7">
            <w:pPr>
              <w:rPr>
                <w:rFonts w:ascii="宋体"/>
              </w:rPr>
            </w:pPr>
          </w:p>
        </w:tc>
        <w:tc>
          <w:tcPr>
            <w:tcW w:w="50" w:type="pct"/>
            <w:shd w:val="clear" w:color="auto" w:fill="auto"/>
            <w:vAlign w:val="bottom"/>
          </w:tcPr>
          <w:p w14:paraId="39D98D33" w14:textId="77777777" w:rsidR="00996AD7" w:rsidRDefault="00996AD7">
            <w:pPr>
              <w:rPr>
                <w:rFonts w:ascii="宋体"/>
              </w:rPr>
            </w:pPr>
          </w:p>
        </w:tc>
        <w:tc>
          <w:tcPr>
            <w:tcW w:w="493" w:type="pct"/>
            <w:shd w:val="clear" w:color="auto" w:fill="auto"/>
            <w:vAlign w:val="bottom"/>
          </w:tcPr>
          <w:p w14:paraId="39D98D34" w14:textId="77777777" w:rsidR="00996AD7" w:rsidRDefault="00996AD7">
            <w:pPr>
              <w:rPr>
                <w:rFonts w:ascii="宋体"/>
              </w:rPr>
            </w:pPr>
          </w:p>
        </w:tc>
        <w:tc>
          <w:tcPr>
            <w:tcW w:w="5" w:type="pct"/>
            <w:shd w:val="clear" w:color="auto" w:fill="auto"/>
            <w:vAlign w:val="bottom"/>
          </w:tcPr>
          <w:p w14:paraId="39D98D35" w14:textId="77777777" w:rsidR="00996AD7" w:rsidRDefault="00996AD7">
            <w:pPr>
              <w:rPr>
                <w:rFonts w:ascii="宋体"/>
              </w:rPr>
            </w:pPr>
          </w:p>
        </w:tc>
      </w:tr>
      <w:tr w:rsidR="00996AD7" w14:paraId="39D98D3A" w14:textId="77777777">
        <w:tc>
          <w:tcPr>
            <w:tcW w:w="0" w:type="auto"/>
            <w:gridSpan w:val="3"/>
            <w:shd w:val="clear" w:color="auto" w:fill="auto"/>
            <w:tcMar>
              <w:top w:w="0" w:type="dxa"/>
              <w:left w:w="20" w:type="dxa"/>
              <w:bottom w:w="0" w:type="dxa"/>
              <w:right w:w="20" w:type="dxa"/>
            </w:tcMar>
            <w:vAlign w:val="bottom"/>
          </w:tcPr>
          <w:p w14:paraId="39D98D3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D38" w14:textId="77777777" w:rsidR="00996AD7" w:rsidRDefault="00996AD7">
            <w:pPr>
              <w:rPr>
                <w:rFonts w:ascii="宋体"/>
              </w:rPr>
            </w:pPr>
          </w:p>
        </w:tc>
        <w:tc>
          <w:tcPr>
            <w:tcW w:w="0" w:type="auto"/>
            <w:gridSpan w:val="33"/>
            <w:shd w:val="clear" w:color="auto" w:fill="auto"/>
            <w:tcMar>
              <w:top w:w="40" w:type="dxa"/>
              <w:left w:w="20" w:type="dxa"/>
              <w:bottom w:w="40" w:type="dxa"/>
              <w:right w:w="20" w:type="dxa"/>
            </w:tcMar>
            <w:vAlign w:val="bottom"/>
          </w:tcPr>
          <w:p w14:paraId="39D98D39" w14:textId="77777777" w:rsidR="00996AD7" w:rsidRDefault="00D96458">
            <w:pPr>
              <w:jc w:val="center"/>
              <w:textAlignment w:val="bottom"/>
            </w:pPr>
            <w:r>
              <w:rPr>
                <w:rFonts w:ascii="Arial" w:eastAsia="宋体" w:hAnsi="Arial" w:cs="Arial"/>
                <w:b/>
                <w:bCs/>
                <w:color w:val="262626"/>
                <w:sz w:val="18"/>
                <w:szCs w:val="18"/>
              </w:rPr>
              <w:t>Dec 26, 2020</w:t>
            </w:r>
          </w:p>
        </w:tc>
      </w:tr>
      <w:tr w:rsidR="00996AD7" w14:paraId="39D98D46" w14:textId="77777777">
        <w:tc>
          <w:tcPr>
            <w:tcW w:w="0" w:type="auto"/>
            <w:gridSpan w:val="3"/>
            <w:shd w:val="clear" w:color="auto" w:fill="auto"/>
            <w:tcMar>
              <w:top w:w="0" w:type="dxa"/>
              <w:left w:w="20" w:type="dxa"/>
              <w:bottom w:w="0" w:type="dxa"/>
              <w:right w:w="20" w:type="dxa"/>
            </w:tcMar>
            <w:vAlign w:val="bottom"/>
          </w:tcPr>
          <w:p w14:paraId="39D98D3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D3C"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D3D"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D3E"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D3F"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D40"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D41"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D42" w14:textId="77777777" w:rsidR="00996AD7" w:rsidRDefault="00996AD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39D98D43" w14:textId="77777777" w:rsidR="00996AD7" w:rsidRDefault="00D96458">
            <w:pPr>
              <w:jc w:val="center"/>
              <w:textAlignment w:val="bottom"/>
            </w:pPr>
            <w:r>
              <w:rPr>
                <w:rFonts w:ascii="Arial" w:eastAsia="宋体" w:hAnsi="Arial" w:cs="Arial"/>
                <w:b/>
                <w:bCs/>
                <w:color w:val="333333"/>
                <w:sz w:val="18"/>
                <w:szCs w:val="18"/>
              </w:rPr>
              <w:t>Gross Amounts Not Offset in 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D44" w14:textId="77777777" w:rsidR="00996AD7" w:rsidRDefault="00996AD7">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D45" w14:textId="77777777" w:rsidR="00996AD7" w:rsidRDefault="00996AD7">
            <w:pPr>
              <w:rPr>
                <w:rFonts w:ascii="宋体"/>
              </w:rPr>
            </w:pPr>
          </w:p>
        </w:tc>
      </w:tr>
      <w:tr w:rsidR="00996AD7" w14:paraId="39D98D54" w14:textId="77777777">
        <w:tc>
          <w:tcPr>
            <w:tcW w:w="0" w:type="auto"/>
            <w:gridSpan w:val="3"/>
            <w:shd w:val="clear" w:color="auto" w:fill="auto"/>
            <w:tcMar>
              <w:top w:w="40" w:type="dxa"/>
              <w:left w:w="200" w:type="dxa"/>
              <w:bottom w:w="40" w:type="dxa"/>
              <w:right w:w="20" w:type="dxa"/>
            </w:tcMar>
            <w:vAlign w:val="bottom"/>
          </w:tcPr>
          <w:p w14:paraId="39D98D47" w14:textId="77777777" w:rsidR="00996AD7" w:rsidRDefault="00D96458">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39D98D4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D49" w14:textId="77777777" w:rsidR="00996AD7" w:rsidRDefault="00D96458">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39D98D4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D4B" w14:textId="77777777" w:rsidR="00996AD7" w:rsidRDefault="00D96458">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39D98D4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D4D" w14:textId="77777777" w:rsidR="00996AD7" w:rsidRDefault="00D96458">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39D98D4E"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D4F" w14:textId="77777777" w:rsidR="00996AD7" w:rsidRDefault="00D96458">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D50"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D51" w14:textId="77777777" w:rsidR="00996AD7" w:rsidRDefault="00D96458">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39D98D5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D53" w14:textId="77777777" w:rsidR="00996AD7" w:rsidRDefault="00D96458">
            <w:pPr>
              <w:jc w:val="center"/>
              <w:textAlignment w:val="bottom"/>
            </w:pPr>
            <w:r>
              <w:rPr>
                <w:rFonts w:ascii="Arial" w:eastAsia="宋体" w:hAnsi="Arial" w:cs="Arial"/>
                <w:b/>
                <w:bCs/>
                <w:color w:val="262626"/>
                <w:sz w:val="18"/>
                <w:szCs w:val="18"/>
              </w:rPr>
              <w:t>Net Amount</w:t>
            </w:r>
          </w:p>
        </w:tc>
      </w:tr>
      <w:tr w:rsidR="00996AD7" w14:paraId="39D98D62"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8D55" w14:textId="77777777" w:rsidR="00996AD7" w:rsidRDefault="00D96458">
            <w:pPr>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39D98D56"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D5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D58"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D5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D5A"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D5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D5C"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D5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D5E"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D5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D60"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8D61" w14:textId="77777777" w:rsidR="00996AD7" w:rsidRDefault="00996AD7">
            <w:pPr>
              <w:rPr>
                <w:rFonts w:ascii="宋体"/>
              </w:rPr>
            </w:pPr>
          </w:p>
        </w:tc>
      </w:tr>
      <w:tr w:rsidR="00996AD7" w14:paraId="39D98D7C" w14:textId="77777777">
        <w:tc>
          <w:tcPr>
            <w:tcW w:w="0" w:type="auto"/>
            <w:gridSpan w:val="3"/>
            <w:shd w:val="clear" w:color="auto" w:fill="auto"/>
            <w:tcMar>
              <w:top w:w="40" w:type="dxa"/>
              <w:left w:w="140" w:type="dxa"/>
              <w:bottom w:w="40" w:type="dxa"/>
              <w:right w:w="20" w:type="dxa"/>
            </w:tcMar>
            <w:vAlign w:val="bottom"/>
          </w:tcPr>
          <w:p w14:paraId="39D98D63" w14:textId="77777777" w:rsidR="00996AD7" w:rsidRDefault="00D96458">
            <w:pPr>
              <w:textAlignment w:val="bottom"/>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39D98D64"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D65"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D66" w14:textId="77777777" w:rsidR="00996AD7" w:rsidRDefault="00D96458">
            <w:pPr>
              <w:jc w:val="right"/>
              <w:textAlignment w:val="bottom"/>
            </w:pPr>
            <w:r>
              <w:rPr>
                <w:rFonts w:ascii="Arial" w:eastAsia="宋体" w:hAnsi="Arial" w:cs="Arial"/>
                <w:color w:val="262626"/>
                <w:sz w:val="18"/>
                <w:szCs w:val="18"/>
              </w:rPr>
              <w:t>2,235 </w:t>
            </w:r>
          </w:p>
        </w:tc>
        <w:tc>
          <w:tcPr>
            <w:tcW w:w="0" w:type="auto"/>
            <w:shd w:val="clear" w:color="auto" w:fill="auto"/>
            <w:tcMar>
              <w:top w:w="40" w:type="dxa"/>
              <w:left w:w="0" w:type="dxa"/>
              <w:bottom w:w="40" w:type="dxa"/>
              <w:right w:w="20" w:type="dxa"/>
            </w:tcMar>
            <w:vAlign w:val="bottom"/>
          </w:tcPr>
          <w:p w14:paraId="39D98D6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68"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D69"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D6A"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D6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6C"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D6D"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D6E" w14:textId="77777777" w:rsidR="00996AD7" w:rsidRDefault="00D96458">
            <w:pPr>
              <w:jc w:val="right"/>
              <w:textAlignment w:val="bottom"/>
            </w:pPr>
            <w:r>
              <w:rPr>
                <w:rFonts w:ascii="Arial" w:eastAsia="宋体" w:hAnsi="Arial" w:cs="Arial"/>
                <w:color w:val="262626"/>
                <w:sz w:val="18"/>
                <w:szCs w:val="18"/>
              </w:rPr>
              <w:t>2,235 </w:t>
            </w:r>
          </w:p>
        </w:tc>
        <w:tc>
          <w:tcPr>
            <w:tcW w:w="0" w:type="auto"/>
            <w:shd w:val="clear" w:color="auto" w:fill="auto"/>
            <w:tcMar>
              <w:top w:w="40" w:type="dxa"/>
              <w:left w:w="0" w:type="dxa"/>
              <w:bottom w:w="40" w:type="dxa"/>
              <w:right w:w="20" w:type="dxa"/>
            </w:tcMar>
            <w:vAlign w:val="bottom"/>
          </w:tcPr>
          <w:p w14:paraId="39D98D6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70"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D71"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D72" w14:textId="77777777" w:rsidR="00996AD7" w:rsidRDefault="00D96458">
            <w:pPr>
              <w:jc w:val="right"/>
              <w:textAlignment w:val="bottom"/>
            </w:pPr>
            <w:r>
              <w:rPr>
                <w:rFonts w:ascii="Arial" w:eastAsia="宋体" w:hAnsi="Arial" w:cs="Arial"/>
                <w:color w:val="262626"/>
                <w:sz w:val="18"/>
                <w:szCs w:val="18"/>
              </w:rPr>
              <w:t>(264)</w:t>
            </w:r>
          </w:p>
        </w:tc>
        <w:tc>
          <w:tcPr>
            <w:tcW w:w="0" w:type="auto"/>
            <w:shd w:val="clear" w:color="auto" w:fill="auto"/>
            <w:tcMar>
              <w:top w:w="40" w:type="dxa"/>
              <w:left w:w="0" w:type="dxa"/>
              <w:bottom w:w="40" w:type="dxa"/>
              <w:right w:w="20" w:type="dxa"/>
            </w:tcMar>
            <w:vAlign w:val="bottom"/>
          </w:tcPr>
          <w:p w14:paraId="39D98D7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74"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D75"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D76" w14:textId="77777777" w:rsidR="00996AD7" w:rsidRDefault="00D96458">
            <w:pPr>
              <w:jc w:val="right"/>
              <w:textAlignment w:val="bottom"/>
            </w:pPr>
            <w:r>
              <w:rPr>
                <w:rFonts w:ascii="Arial" w:eastAsia="宋体" w:hAnsi="Arial" w:cs="Arial"/>
                <w:color w:val="262626"/>
                <w:sz w:val="18"/>
                <w:szCs w:val="18"/>
              </w:rPr>
              <w:t>(1,904)</w:t>
            </w:r>
          </w:p>
        </w:tc>
        <w:tc>
          <w:tcPr>
            <w:tcW w:w="0" w:type="auto"/>
            <w:shd w:val="clear" w:color="auto" w:fill="auto"/>
            <w:tcMar>
              <w:top w:w="40" w:type="dxa"/>
              <w:left w:w="0" w:type="dxa"/>
              <w:bottom w:w="40" w:type="dxa"/>
              <w:right w:w="20" w:type="dxa"/>
            </w:tcMar>
            <w:vAlign w:val="bottom"/>
          </w:tcPr>
          <w:p w14:paraId="39D98D7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78"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8D79"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8D7A" w14:textId="77777777" w:rsidR="00996AD7" w:rsidRDefault="00D96458">
            <w:pPr>
              <w:jc w:val="right"/>
              <w:textAlignment w:val="bottom"/>
            </w:pPr>
            <w:r>
              <w:rPr>
                <w:rFonts w:ascii="Arial" w:eastAsia="宋体" w:hAnsi="Arial" w:cs="Arial"/>
                <w:color w:val="262626"/>
                <w:sz w:val="18"/>
                <w:szCs w:val="18"/>
              </w:rPr>
              <w:t>67 </w:t>
            </w:r>
          </w:p>
        </w:tc>
        <w:tc>
          <w:tcPr>
            <w:tcW w:w="0" w:type="auto"/>
            <w:shd w:val="clear" w:color="auto" w:fill="auto"/>
            <w:tcMar>
              <w:top w:w="40" w:type="dxa"/>
              <w:left w:w="0" w:type="dxa"/>
              <w:bottom w:w="40" w:type="dxa"/>
              <w:right w:w="20" w:type="dxa"/>
            </w:tcMar>
            <w:vAlign w:val="bottom"/>
          </w:tcPr>
          <w:p w14:paraId="39D98D7B" w14:textId="77777777" w:rsidR="00996AD7" w:rsidRDefault="00996AD7">
            <w:pPr>
              <w:jc w:val="right"/>
              <w:rPr>
                <w:rFonts w:ascii="宋体"/>
              </w:rPr>
            </w:pPr>
          </w:p>
        </w:tc>
      </w:tr>
      <w:tr w:rsidR="00996AD7" w14:paraId="39D98D90" w14:textId="77777777">
        <w:tc>
          <w:tcPr>
            <w:tcW w:w="0" w:type="auto"/>
            <w:gridSpan w:val="3"/>
            <w:shd w:val="clear" w:color="auto" w:fill="auto"/>
            <w:tcMar>
              <w:top w:w="40" w:type="dxa"/>
              <w:left w:w="140" w:type="dxa"/>
              <w:bottom w:w="40" w:type="dxa"/>
              <w:right w:w="20" w:type="dxa"/>
            </w:tcMar>
            <w:vAlign w:val="bottom"/>
          </w:tcPr>
          <w:p w14:paraId="39D98D7D" w14:textId="77777777" w:rsidR="00996AD7" w:rsidRDefault="00D96458">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39D98D7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D7F" w14:textId="77777777" w:rsidR="00996AD7" w:rsidRDefault="00D96458">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39D98D8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8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D82"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D8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8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D85" w14:textId="77777777" w:rsidR="00996AD7" w:rsidRDefault="00D96458">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39D98D8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8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D88"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D8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8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D8B" w14:textId="77777777" w:rsidR="00996AD7" w:rsidRDefault="00D96458">
            <w:pPr>
              <w:jc w:val="right"/>
              <w:textAlignment w:val="bottom"/>
            </w:pPr>
            <w:r>
              <w:rPr>
                <w:rFonts w:ascii="Arial" w:eastAsia="宋体" w:hAnsi="Arial" w:cs="Arial"/>
                <w:color w:val="262626"/>
                <w:sz w:val="18"/>
                <w:szCs w:val="18"/>
              </w:rPr>
              <w:t>(1,900)</w:t>
            </w:r>
          </w:p>
        </w:tc>
        <w:tc>
          <w:tcPr>
            <w:tcW w:w="0" w:type="auto"/>
            <w:shd w:val="clear" w:color="auto" w:fill="auto"/>
            <w:tcMar>
              <w:top w:w="40" w:type="dxa"/>
              <w:left w:w="0" w:type="dxa"/>
              <w:bottom w:w="40" w:type="dxa"/>
              <w:right w:w="20" w:type="dxa"/>
            </w:tcMar>
            <w:vAlign w:val="bottom"/>
          </w:tcPr>
          <w:p w14:paraId="39D98D8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8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D8E"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D8F" w14:textId="77777777" w:rsidR="00996AD7" w:rsidRDefault="00996AD7">
            <w:pPr>
              <w:jc w:val="right"/>
              <w:rPr>
                <w:rFonts w:ascii="宋体"/>
              </w:rPr>
            </w:pPr>
          </w:p>
        </w:tc>
      </w:tr>
      <w:tr w:rsidR="00996AD7" w14:paraId="39D98DA4" w14:textId="77777777">
        <w:tc>
          <w:tcPr>
            <w:tcW w:w="0" w:type="auto"/>
            <w:gridSpan w:val="3"/>
            <w:shd w:val="clear" w:color="auto" w:fill="auto"/>
            <w:tcMar>
              <w:top w:w="40" w:type="dxa"/>
              <w:left w:w="20" w:type="dxa"/>
              <w:bottom w:w="40" w:type="dxa"/>
              <w:right w:w="20" w:type="dxa"/>
            </w:tcMar>
            <w:vAlign w:val="bottom"/>
          </w:tcPr>
          <w:p w14:paraId="39D98D91" w14:textId="77777777" w:rsidR="00996AD7" w:rsidRDefault="00D96458">
            <w:pPr>
              <w:textAlignment w:val="bottom"/>
            </w:pPr>
            <w:r>
              <w:rPr>
                <w:rFonts w:ascii="Arial" w:eastAsia="宋体" w:hAnsi="Arial" w:cs="Arial"/>
                <w:b/>
                <w:bCs/>
                <w:color w:val="262626"/>
                <w:sz w:val="18"/>
                <w:szCs w:val="18"/>
              </w:rPr>
              <w:t xml:space="preserve">Total </w:t>
            </w: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39D98D92"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D93" w14:textId="77777777" w:rsidR="00996AD7" w:rsidRDefault="00D96458">
            <w:pPr>
              <w:jc w:val="right"/>
              <w:textAlignment w:val="bottom"/>
            </w:pPr>
            <w:r>
              <w:rPr>
                <w:rFonts w:ascii="Arial" w:eastAsia="宋体" w:hAnsi="Arial" w:cs="Arial"/>
                <w:b/>
                <w:bCs/>
                <w:color w:val="262626"/>
                <w:sz w:val="18"/>
                <w:szCs w:val="18"/>
              </w:rPr>
              <w:t>4,135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D9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95"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D96" w14:textId="77777777" w:rsidR="00996AD7" w:rsidRDefault="00D9645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D9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98"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D99" w14:textId="77777777" w:rsidR="00996AD7" w:rsidRDefault="00D96458">
            <w:pPr>
              <w:jc w:val="right"/>
              <w:textAlignment w:val="bottom"/>
            </w:pPr>
            <w:r>
              <w:rPr>
                <w:rFonts w:ascii="Arial" w:eastAsia="宋体" w:hAnsi="Arial" w:cs="Arial"/>
                <w:b/>
                <w:bCs/>
                <w:color w:val="262626"/>
                <w:sz w:val="18"/>
                <w:szCs w:val="18"/>
              </w:rPr>
              <w:t>4,135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D9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9B"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D9C" w14:textId="77777777" w:rsidR="00996AD7" w:rsidRDefault="00D96458">
            <w:pPr>
              <w:jc w:val="right"/>
              <w:textAlignment w:val="bottom"/>
            </w:pPr>
            <w:r>
              <w:rPr>
                <w:rFonts w:ascii="Arial" w:eastAsia="宋体" w:hAnsi="Arial" w:cs="Arial"/>
                <w:b/>
                <w:bCs/>
                <w:color w:val="262626"/>
                <w:sz w:val="18"/>
                <w:szCs w:val="18"/>
              </w:rPr>
              <w:t>(264)</w:t>
            </w:r>
          </w:p>
        </w:tc>
        <w:tc>
          <w:tcPr>
            <w:tcW w:w="0" w:type="auto"/>
            <w:tcBorders>
              <w:top w:val="single" w:sz="4" w:space="0" w:color="262626"/>
            </w:tcBorders>
            <w:shd w:val="clear" w:color="auto" w:fill="auto"/>
            <w:tcMar>
              <w:top w:w="40" w:type="dxa"/>
              <w:left w:w="0" w:type="dxa"/>
              <w:bottom w:w="40" w:type="dxa"/>
              <w:right w:w="20" w:type="dxa"/>
            </w:tcMar>
            <w:vAlign w:val="bottom"/>
          </w:tcPr>
          <w:p w14:paraId="39D98D9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9E"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D9F" w14:textId="77777777" w:rsidR="00996AD7" w:rsidRDefault="00D96458">
            <w:pPr>
              <w:jc w:val="right"/>
              <w:textAlignment w:val="bottom"/>
            </w:pPr>
            <w:r>
              <w:rPr>
                <w:rFonts w:ascii="Arial" w:eastAsia="宋体" w:hAnsi="Arial" w:cs="Arial"/>
                <w:b/>
                <w:bCs/>
                <w:color w:val="262626"/>
                <w:sz w:val="18"/>
                <w:szCs w:val="18"/>
              </w:rPr>
              <w:t>(3,804)</w:t>
            </w:r>
          </w:p>
        </w:tc>
        <w:tc>
          <w:tcPr>
            <w:tcW w:w="0" w:type="auto"/>
            <w:tcBorders>
              <w:top w:val="single" w:sz="4" w:space="0" w:color="262626"/>
            </w:tcBorders>
            <w:shd w:val="clear" w:color="auto" w:fill="auto"/>
            <w:tcMar>
              <w:top w:w="40" w:type="dxa"/>
              <w:left w:w="0" w:type="dxa"/>
              <w:bottom w:w="40" w:type="dxa"/>
              <w:right w:w="20" w:type="dxa"/>
            </w:tcMar>
            <w:vAlign w:val="bottom"/>
          </w:tcPr>
          <w:p w14:paraId="39D98DA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A1"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8DA2" w14:textId="77777777" w:rsidR="00996AD7" w:rsidRDefault="00D96458">
            <w:pPr>
              <w:jc w:val="right"/>
              <w:textAlignment w:val="bottom"/>
            </w:pPr>
            <w:r>
              <w:rPr>
                <w:rFonts w:ascii="Arial" w:eastAsia="宋体" w:hAnsi="Arial" w:cs="Arial"/>
                <w:b/>
                <w:bCs/>
                <w:color w:val="262626"/>
                <w:sz w:val="18"/>
                <w:szCs w:val="18"/>
              </w:rPr>
              <w:t>67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8DA3" w14:textId="77777777" w:rsidR="00996AD7" w:rsidRDefault="00996AD7">
            <w:pPr>
              <w:jc w:val="right"/>
              <w:rPr>
                <w:rFonts w:ascii="宋体"/>
              </w:rPr>
            </w:pPr>
          </w:p>
        </w:tc>
      </w:tr>
      <w:tr w:rsidR="00996AD7" w14:paraId="39D98DB2" w14:textId="77777777">
        <w:tc>
          <w:tcPr>
            <w:tcW w:w="0" w:type="auto"/>
            <w:gridSpan w:val="3"/>
            <w:shd w:val="clear" w:color="auto" w:fill="auto"/>
            <w:tcMar>
              <w:top w:w="40" w:type="dxa"/>
              <w:left w:w="20" w:type="dxa"/>
              <w:bottom w:w="40" w:type="dxa"/>
              <w:right w:w="20" w:type="dxa"/>
            </w:tcMar>
            <w:vAlign w:val="bottom"/>
          </w:tcPr>
          <w:p w14:paraId="39D98DA5" w14:textId="77777777" w:rsidR="00996AD7" w:rsidRDefault="00D96458">
            <w:pPr>
              <w:textAlignment w:val="bottom"/>
            </w:pPr>
            <w:r>
              <w:rPr>
                <w:rFonts w:ascii="Arial" w:eastAsia="宋体" w:hAnsi="Arial" w:cs="Arial"/>
                <w:color w:val="262626"/>
                <w:sz w:val="18"/>
                <w:szCs w:val="18"/>
              </w:rPr>
              <w:t>Li</w:t>
            </w:r>
            <w:r>
              <w:rPr>
                <w:rFonts w:ascii="Arial" w:eastAsia="宋体" w:hAnsi="Arial" w:cs="Arial"/>
                <w:color w:val="262626"/>
                <w:sz w:val="18"/>
                <w:szCs w:val="18"/>
              </w:rPr>
              <w:t>abilities:</w:t>
            </w:r>
          </w:p>
        </w:tc>
        <w:tc>
          <w:tcPr>
            <w:tcW w:w="0" w:type="auto"/>
            <w:gridSpan w:val="3"/>
            <w:shd w:val="clear" w:color="auto" w:fill="auto"/>
            <w:tcMar>
              <w:top w:w="0" w:type="dxa"/>
              <w:left w:w="20" w:type="dxa"/>
              <w:bottom w:w="0" w:type="dxa"/>
              <w:right w:w="20" w:type="dxa"/>
            </w:tcMar>
            <w:vAlign w:val="bottom"/>
          </w:tcPr>
          <w:p w14:paraId="39D98DA6"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DA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DA8"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DA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DAA"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DA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DAC"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DA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DAE"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DA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DB0"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8DB1" w14:textId="77777777" w:rsidR="00996AD7" w:rsidRDefault="00996AD7">
            <w:pPr>
              <w:rPr>
                <w:rFonts w:ascii="宋体"/>
              </w:rPr>
            </w:pPr>
          </w:p>
        </w:tc>
      </w:tr>
      <w:tr w:rsidR="00996AD7" w14:paraId="39D98DC6" w14:textId="77777777">
        <w:tc>
          <w:tcPr>
            <w:tcW w:w="0" w:type="auto"/>
            <w:gridSpan w:val="3"/>
            <w:shd w:val="clear" w:color="auto" w:fill="auto"/>
            <w:tcMar>
              <w:top w:w="40" w:type="dxa"/>
              <w:left w:w="140" w:type="dxa"/>
              <w:bottom w:w="40" w:type="dxa"/>
              <w:right w:w="20" w:type="dxa"/>
            </w:tcMar>
            <w:vAlign w:val="bottom"/>
          </w:tcPr>
          <w:p w14:paraId="39D98DB3" w14:textId="77777777" w:rsidR="00996AD7" w:rsidRDefault="00D96458">
            <w:pPr>
              <w:textAlignment w:val="bottom"/>
            </w:pPr>
            <w:r>
              <w:rPr>
                <w:rFonts w:ascii="Arial" w:eastAsia="宋体" w:hAnsi="Arial" w:cs="Arial"/>
                <w:color w:val="262626"/>
                <w:sz w:val="18"/>
                <w:szCs w:val="18"/>
              </w:rPr>
              <w:t>Derivative liabilities subject to master netting arrangements</w:t>
            </w:r>
          </w:p>
        </w:tc>
        <w:tc>
          <w:tcPr>
            <w:tcW w:w="0" w:type="auto"/>
            <w:gridSpan w:val="3"/>
            <w:shd w:val="clear" w:color="auto" w:fill="auto"/>
            <w:tcMar>
              <w:top w:w="0" w:type="dxa"/>
              <w:left w:w="20" w:type="dxa"/>
              <w:bottom w:w="0" w:type="dxa"/>
              <w:right w:w="20" w:type="dxa"/>
            </w:tcMar>
            <w:vAlign w:val="bottom"/>
          </w:tcPr>
          <w:p w14:paraId="39D98DB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DB5" w14:textId="77777777" w:rsidR="00996AD7" w:rsidRDefault="00D96458">
            <w:pPr>
              <w:jc w:val="right"/>
              <w:textAlignment w:val="bottom"/>
            </w:pPr>
            <w:r>
              <w:rPr>
                <w:rFonts w:ascii="Arial" w:eastAsia="宋体" w:hAnsi="Arial" w:cs="Arial"/>
                <w:color w:val="262626"/>
                <w:sz w:val="18"/>
                <w:szCs w:val="18"/>
              </w:rPr>
              <w:t>711 </w:t>
            </w:r>
          </w:p>
        </w:tc>
        <w:tc>
          <w:tcPr>
            <w:tcW w:w="0" w:type="auto"/>
            <w:shd w:val="clear" w:color="auto" w:fill="auto"/>
            <w:tcMar>
              <w:top w:w="40" w:type="dxa"/>
              <w:left w:w="0" w:type="dxa"/>
              <w:bottom w:w="40" w:type="dxa"/>
              <w:right w:w="20" w:type="dxa"/>
            </w:tcMar>
            <w:vAlign w:val="bottom"/>
          </w:tcPr>
          <w:p w14:paraId="39D98DB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B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DB8"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DB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B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DBB" w14:textId="77777777" w:rsidR="00996AD7" w:rsidRDefault="00D96458">
            <w:pPr>
              <w:jc w:val="right"/>
              <w:textAlignment w:val="bottom"/>
            </w:pPr>
            <w:r>
              <w:rPr>
                <w:rFonts w:ascii="Arial" w:eastAsia="宋体" w:hAnsi="Arial" w:cs="Arial"/>
                <w:color w:val="262626"/>
                <w:sz w:val="18"/>
                <w:szCs w:val="18"/>
              </w:rPr>
              <w:t>711 </w:t>
            </w:r>
          </w:p>
        </w:tc>
        <w:tc>
          <w:tcPr>
            <w:tcW w:w="0" w:type="auto"/>
            <w:shd w:val="clear" w:color="auto" w:fill="auto"/>
            <w:tcMar>
              <w:top w:w="40" w:type="dxa"/>
              <w:left w:w="0" w:type="dxa"/>
              <w:bottom w:w="40" w:type="dxa"/>
              <w:right w:w="20" w:type="dxa"/>
            </w:tcMar>
            <w:vAlign w:val="bottom"/>
          </w:tcPr>
          <w:p w14:paraId="39D98DB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B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DBE" w14:textId="77777777" w:rsidR="00996AD7" w:rsidRDefault="00D96458">
            <w:pPr>
              <w:jc w:val="right"/>
              <w:textAlignment w:val="bottom"/>
            </w:pPr>
            <w:r>
              <w:rPr>
                <w:rFonts w:ascii="Arial" w:eastAsia="宋体" w:hAnsi="Arial" w:cs="Arial"/>
                <w:color w:val="262626"/>
                <w:sz w:val="18"/>
                <w:szCs w:val="18"/>
              </w:rPr>
              <w:t>(264)</w:t>
            </w:r>
          </w:p>
        </w:tc>
        <w:tc>
          <w:tcPr>
            <w:tcW w:w="0" w:type="auto"/>
            <w:shd w:val="clear" w:color="auto" w:fill="auto"/>
            <w:tcMar>
              <w:top w:w="40" w:type="dxa"/>
              <w:left w:w="0" w:type="dxa"/>
              <w:bottom w:w="40" w:type="dxa"/>
              <w:right w:w="20" w:type="dxa"/>
            </w:tcMar>
            <w:vAlign w:val="bottom"/>
          </w:tcPr>
          <w:p w14:paraId="39D98DB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C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DC1" w14:textId="77777777" w:rsidR="00996AD7" w:rsidRDefault="00D96458">
            <w:pPr>
              <w:jc w:val="right"/>
              <w:textAlignment w:val="bottom"/>
            </w:pPr>
            <w:r>
              <w:rPr>
                <w:rFonts w:ascii="Arial" w:eastAsia="宋体" w:hAnsi="Arial" w:cs="Arial"/>
                <w:color w:val="262626"/>
                <w:sz w:val="18"/>
                <w:szCs w:val="18"/>
              </w:rPr>
              <w:t>(447)</w:t>
            </w:r>
          </w:p>
        </w:tc>
        <w:tc>
          <w:tcPr>
            <w:tcW w:w="0" w:type="auto"/>
            <w:shd w:val="clear" w:color="auto" w:fill="auto"/>
            <w:tcMar>
              <w:top w:w="40" w:type="dxa"/>
              <w:left w:w="0" w:type="dxa"/>
              <w:bottom w:w="40" w:type="dxa"/>
              <w:right w:w="20" w:type="dxa"/>
            </w:tcMar>
            <w:vAlign w:val="bottom"/>
          </w:tcPr>
          <w:p w14:paraId="39D98DC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C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DC4" w14:textId="77777777" w:rsidR="00996AD7" w:rsidRDefault="00D964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8DC5" w14:textId="77777777" w:rsidR="00996AD7" w:rsidRDefault="00996AD7">
            <w:pPr>
              <w:jc w:val="right"/>
              <w:rPr>
                <w:rFonts w:ascii="宋体"/>
              </w:rPr>
            </w:pPr>
          </w:p>
        </w:tc>
      </w:tr>
      <w:tr w:rsidR="00996AD7" w14:paraId="39D98DE0" w14:textId="77777777">
        <w:tc>
          <w:tcPr>
            <w:tcW w:w="0" w:type="auto"/>
            <w:gridSpan w:val="3"/>
            <w:shd w:val="clear" w:color="auto" w:fill="auto"/>
            <w:tcMar>
              <w:top w:w="40" w:type="dxa"/>
              <w:left w:w="20" w:type="dxa"/>
              <w:bottom w:w="40" w:type="dxa"/>
              <w:right w:w="20" w:type="dxa"/>
            </w:tcMar>
            <w:vAlign w:val="bottom"/>
          </w:tcPr>
          <w:p w14:paraId="39D98DC7" w14:textId="77777777" w:rsidR="00996AD7" w:rsidRDefault="00D96458">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39D98DC8"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DC9"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DCA" w14:textId="77777777" w:rsidR="00996AD7" w:rsidRDefault="00D96458">
            <w:pPr>
              <w:jc w:val="right"/>
              <w:textAlignment w:val="bottom"/>
            </w:pPr>
            <w:r>
              <w:rPr>
                <w:rFonts w:ascii="Arial" w:eastAsia="宋体" w:hAnsi="Arial" w:cs="Arial"/>
                <w:b/>
                <w:bCs/>
                <w:color w:val="262626"/>
                <w:sz w:val="18"/>
                <w:szCs w:val="18"/>
              </w:rPr>
              <w:t>711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DC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CC"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DCD"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DCE" w14:textId="77777777" w:rsidR="00996AD7" w:rsidRDefault="00D9645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DC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D0"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DD1"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DD2" w14:textId="77777777" w:rsidR="00996AD7" w:rsidRDefault="00D96458">
            <w:pPr>
              <w:jc w:val="right"/>
              <w:textAlignment w:val="bottom"/>
            </w:pPr>
            <w:r>
              <w:rPr>
                <w:rFonts w:ascii="Arial" w:eastAsia="宋体" w:hAnsi="Arial" w:cs="Arial"/>
                <w:b/>
                <w:bCs/>
                <w:color w:val="262626"/>
                <w:sz w:val="18"/>
                <w:szCs w:val="18"/>
              </w:rPr>
              <w:t>711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DD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D4"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DD5"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DD6" w14:textId="77777777" w:rsidR="00996AD7" w:rsidRDefault="00D96458">
            <w:pPr>
              <w:jc w:val="right"/>
              <w:textAlignment w:val="bottom"/>
            </w:pPr>
            <w:r>
              <w:rPr>
                <w:rFonts w:ascii="Arial" w:eastAsia="宋体" w:hAnsi="Arial" w:cs="Arial"/>
                <w:b/>
                <w:bCs/>
                <w:color w:val="262626"/>
                <w:sz w:val="18"/>
                <w:szCs w:val="18"/>
              </w:rPr>
              <w:t>(264)</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DD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D8"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DD9"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DDA" w14:textId="77777777" w:rsidR="00996AD7" w:rsidRDefault="00D96458">
            <w:pPr>
              <w:jc w:val="right"/>
              <w:textAlignment w:val="bottom"/>
            </w:pPr>
            <w:r>
              <w:rPr>
                <w:rFonts w:ascii="Arial" w:eastAsia="宋体" w:hAnsi="Arial" w:cs="Arial"/>
                <w:b/>
                <w:bCs/>
                <w:color w:val="262626"/>
                <w:sz w:val="18"/>
                <w:szCs w:val="18"/>
              </w:rPr>
              <w:t>(447)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DD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DDC"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DDD"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DDE" w14:textId="77777777" w:rsidR="00996AD7" w:rsidRDefault="00D9645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DDF" w14:textId="77777777" w:rsidR="00996AD7" w:rsidRDefault="00996AD7">
            <w:pPr>
              <w:jc w:val="right"/>
              <w:rPr>
                <w:rFonts w:ascii="宋体"/>
              </w:rPr>
            </w:pPr>
          </w:p>
        </w:tc>
      </w:tr>
    </w:tbl>
    <w:p w14:paraId="39D98DE1" w14:textId="77777777" w:rsidR="00996AD7" w:rsidRDefault="00D96458">
      <w:pPr>
        <w:spacing w:after="180"/>
      </w:pPr>
      <w:r>
        <w:rPr>
          <w:rFonts w:ascii="Arial" w:eastAsia="宋体" w:hAnsi="Arial" w:cs="Arial"/>
          <w:color w:val="262626"/>
          <w:sz w:val="18"/>
          <w:szCs w:val="18"/>
        </w:rPr>
        <w:t xml:space="preserve">We obtain and secure available collateral from counterparties against obligations, including securities lending transactions and reverse repurchase </w:t>
      </w:r>
      <w:r>
        <w:rPr>
          <w:rFonts w:ascii="Arial" w:eastAsia="宋体" w:hAnsi="Arial" w:cs="Arial"/>
          <w:color w:val="262626"/>
          <w:sz w:val="18"/>
          <w:szCs w:val="18"/>
        </w:rPr>
        <w:t>agreements, when we deem it appropriate.</w:t>
      </w:r>
    </w:p>
    <w:p w14:paraId="39D98DE2" w14:textId="77777777" w:rsidR="00996AD7" w:rsidRDefault="00D96458">
      <w:pPr>
        <w:spacing w:after="180"/>
      </w:pPr>
      <w:r>
        <w:rPr>
          <w:rFonts w:ascii="Arial" w:eastAsia="宋体" w:hAnsi="Arial" w:cs="Arial"/>
          <w:color w:val="0068B5"/>
        </w:rPr>
        <w:t>Derivatives in Cash Flow Hedging Relationships</w:t>
      </w:r>
    </w:p>
    <w:p w14:paraId="39D98DE3" w14:textId="77777777" w:rsidR="00996AD7" w:rsidRDefault="00D96458">
      <w:pPr>
        <w:spacing w:after="180"/>
      </w:pPr>
      <w:r>
        <w:rPr>
          <w:rFonts w:ascii="Arial" w:eastAsia="宋体" w:hAnsi="Arial" w:cs="Arial"/>
          <w:color w:val="262626"/>
          <w:sz w:val="18"/>
          <w:szCs w:val="18"/>
        </w:rPr>
        <w:t xml:space="preserve">The before-tax net gains or losses attributed to cash flow hedges, recognized in other comprehensive income (loss), were $28 million net </w:t>
      </w:r>
      <w:r>
        <w:rPr>
          <w:rFonts w:ascii="Arial" w:eastAsia="宋体" w:hAnsi="Arial" w:cs="Arial"/>
          <w:color w:val="000000"/>
          <w:sz w:val="18"/>
          <w:szCs w:val="18"/>
        </w:rPr>
        <w:t>losses</w:t>
      </w:r>
      <w:r>
        <w:rPr>
          <w:rFonts w:ascii="Arial" w:eastAsia="宋体" w:hAnsi="Arial" w:cs="Arial"/>
          <w:color w:val="262626"/>
          <w:sz w:val="18"/>
          <w:szCs w:val="18"/>
        </w:rPr>
        <w:t xml:space="preserve"> in the third quarter of </w:t>
      </w:r>
      <w:r>
        <w:rPr>
          <w:rFonts w:ascii="Arial" w:eastAsia="宋体" w:hAnsi="Arial" w:cs="Arial"/>
          <w:color w:val="262626"/>
          <w:sz w:val="18"/>
          <w:szCs w:val="18"/>
        </w:rPr>
        <w:t xml:space="preserve">2021 and $313 million net </w:t>
      </w:r>
      <w:r>
        <w:rPr>
          <w:rFonts w:ascii="Arial" w:eastAsia="宋体" w:hAnsi="Arial" w:cs="Arial"/>
          <w:color w:val="000000"/>
          <w:sz w:val="18"/>
          <w:szCs w:val="18"/>
        </w:rPr>
        <w:t xml:space="preserve">losses </w:t>
      </w:r>
      <w:r>
        <w:rPr>
          <w:rFonts w:ascii="Arial" w:eastAsia="宋体" w:hAnsi="Arial" w:cs="Arial"/>
          <w:color w:val="262626"/>
          <w:sz w:val="18"/>
          <w:szCs w:val="18"/>
        </w:rPr>
        <w:t xml:space="preserve">in the first nine months of 2021 ($267 million net gains in the third quarter of 2020 and $286 million net </w:t>
      </w:r>
      <w:r>
        <w:rPr>
          <w:rFonts w:ascii="Arial" w:eastAsia="宋体" w:hAnsi="Arial" w:cs="Arial"/>
          <w:color w:val="000000"/>
          <w:sz w:val="18"/>
          <w:szCs w:val="18"/>
        </w:rPr>
        <w:t>gains</w:t>
      </w:r>
      <w:r>
        <w:rPr>
          <w:rFonts w:ascii="Arial" w:eastAsia="宋体" w:hAnsi="Arial" w:cs="Arial"/>
          <w:color w:val="262626"/>
          <w:sz w:val="18"/>
          <w:szCs w:val="18"/>
        </w:rPr>
        <w:t xml:space="preserve"> in the first nine months of 2020). Substantially all of our cash flow hedges were foreign currency contracts f</w:t>
      </w:r>
      <w:r>
        <w:rPr>
          <w:rFonts w:ascii="Arial" w:eastAsia="宋体" w:hAnsi="Arial" w:cs="Arial"/>
          <w:color w:val="262626"/>
          <w:sz w:val="18"/>
          <w:szCs w:val="18"/>
        </w:rPr>
        <w:t>or all periods presented.</w:t>
      </w:r>
    </w:p>
    <w:p w14:paraId="39D98DE4" w14:textId="77777777" w:rsidR="00996AD7" w:rsidRDefault="00D96458">
      <w:pPr>
        <w:spacing w:after="180"/>
      </w:pPr>
      <w:r>
        <w:rPr>
          <w:rFonts w:ascii="Arial" w:eastAsia="宋体" w:hAnsi="Arial" w:cs="Arial"/>
          <w:color w:val="262626"/>
          <w:sz w:val="18"/>
          <w:szCs w:val="18"/>
        </w:rPr>
        <w:t xml:space="preserve">During the first nine months of 2021 and 2020, the amounts excluded from effectiveness testing were insignificant. </w:t>
      </w:r>
    </w:p>
    <w:p w14:paraId="39D98DE5" w14:textId="77777777" w:rsidR="00996AD7" w:rsidRDefault="00D96458">
      <w:pPr>
        <w:spacing w:after="180"/>
      </w:pPr>
      <w:r>
        <w:rPr>
          <w:rFonts w:ascii="Arial" w:eastAsia="宋体" w:hAnsi="Arial" w:cs="Arial"/>
          <w:color w:val="0068B5"/>
        </w:rPr>
        <w:t>Derivatives in Fair Value Hedging Relationships</w:t>
      </w:r>
    </w:p>
    <w:p w14:paraId="39D98DE6" w14:textId="77777777" w:rsidR="00996AD7" w:rsidRDefault="00D96458">
      <w:pPr>
        <w:spacing w:after="180"/>
      </w:pPr>
      <w:r>
        <w:rPr>
          <w:rFonts w:ascii="Arial" w:eastAsia="宋体" w:hAnsi="Arial" w:cs="Arial"/>
          <w:color w:val="262626"/>
          <w:sz w:val="18"/>
          <w:szCs w:val="18"/>
        </w:rPr>
        <w:t>The effects of derivative instruments designated as fair value hed</w:t>
      </w:r>
      <w:r>
        <w:rPr>
          <w:rFonts w:ascii="Arial" w:eastAsia="宋体" w:hAnsi="Arial" w:cs="Arial"/>
          <w:color w:val="262626"/>
          <w:sz w:val="18"/>
          <w:szCs w:val="18"/>
        </w:rPr>
        <w:t>ges, recognized in interest and other, net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768"/>
        <w:gridCol w:w="37"/>
        <w:gridCol w:w="36"/>
        <w:gridCol w:w="36"/>
        <w:gridCol w:w="36"/>
        <w:gridCol w:w="121"/>
        <w:gridCol w:w="716"/>
        <w:gridCol w:w="36"/>
        <w:gridCol w:w="36"/>
        <w:gridCol w:w="36"/>
        <w:gridCol w:w="36"/>
        <w:gridCol w:w="121"/>
        <w:gridCol w:w="783"/>
        <w:gridCol w:w="36"/>
        <w:gridCol w:w="36"/>
        <w:gridCol w:w="36"/>
        <w:gridCol w:w="36"/>
        <w:gridCol w:w="121"/>
        <w:gridCol w:w="718"/>
        <w:gridCol w:w="36"/>
        <w:gridCol w:w="36"/>
        <w:gridCol w:w="36"/>
        <w:gridCol w:w="36"/>
        <w:gridCol w:w="121"/>
        <w:gridCol w:w="784"/>
        <w:gridCol w:w="36"/>
        <w:gridCol w:w="36"/>
        <w:gridCol w:w="36"/>
        <w:gridCol w:w="36"/>
        <w:gridCol w:w="36"/>
        <w:gridCol w:w="36"/>
        <w:gridCol w:w="36"/>
        <w:gridCol w:w="36"/>
        <w:gridCol w:w="36"/>
        <w:gridCol w:w="36"/>
        <w:gridCol w:w="36"/>
        <w:gridCol w:w="36"/>
        <w:gridCol w:w="36"/>
      </w:tblGrid>
      <w:tr w:rsidR="00996AD7" w14:paraId="39D98E06" w14:textId="77777777">
        <w:tc>
          <w:tcPr>
            <w:tcW w:w="50" w:type="pct"/>
            <w:shd w:val="clear" w:color="auto" w:fill="auto"/>
            <w:vAlign w:val="bottom"/>
          </w:tcPr>
          <w:p w14:paraId="39D98DE7" w14:textId="77777777" w:rsidR="00996AD7" w:rsidRDefault="00996AD7">
            <w:pPr>
              <w:rPr>
                <w:rFonts w:ascii="宋体"/>
              </w:rPr>
            </w:pPr>
          </w:p>
        </w:tc>
        <w:tc>
          <w:tcPr>
            <w:tcW w:w="2445" w:type="pct"/>
            <w:shd w:val="clear" w:color="auto" w:fill="auto"/>
            <w:vAlign w:val="bottom"/>
          </w:tcPr>
          <w:p w14:paraId="39D98DE8" w14:textId="77777777" w:rsidR="00996AD7" w:rsidRDefault="00996AD7">
            <w:pPr>
              <w:rPr>
                <w:rFonts w:ascii="宋体"/>
              </w:rPr>
            </w:pPr>
          </w:p>
        </w:tc>
        <w:tc>
          <w:tcPr>
            <w:tcW w:w="5" w:type="pct"/>
            <w:shd w:val="clear" w:color="auto" w:fill="auto"/>
            <w:vAlign w:val="bottom"/>
          </w:tcPr>
          <w:p w14:paraId="39D98DE9" w14:textId="77777777" w:rsidR="00996AD7" w:rsidRDefault="00996AD7">
            <w:pPr>
              <w:rPr>
                <w:rFonts w:ascii="宋体"/>
              </w:rPr>
            </w:pPr>
          </w:p>
        </w:tc>
        <w:tc>
          <w:tcPr>
            <w:tcW w:w="5" w:type="pct"/>
            <w:shd w:val="clear" w:color="auto" w:fill="auto"/>
            <w:vAlign w:val="bottom"/>
          </w:tcPr>
          <w:p w14:paraId="39D98DEA" w14:textId="77777777" w:rsidR="00996AD7" w:rsidRDefault="00996AD7">
            <w:pPr>
              <w:rPr>
                <w:rFonts w:ascii="宋体"/>
              </w:rPr>
            </w:pPr>
          </w:p>
        </w:tc>
        <w:tc>
          <w:tcPr>
            <w:tcW w:w="24" w:type="pct"/>
            <w:shd w:val="clear" w:color="auto" w:fill="auto"/>
            <w:vAlign w:val="bottom"/>
          </w:tcPr>
          <w:p w14:paraId="39D98DEB" w14:textId="77777777" w:rsidR="00996AD7" w:rsidRDefault="00996AD7">
            <w:pPr>
              <w:rPr>
                <w:rFonts w:ascii="宋体"/>
              </w:rPr>
            </w:pPr>
          </w:p>
        </w:tc>
        <w:tc>
          <w:tcPr>
            <w:tcW w:w="5" w:type="pct"/>
            <w:shd w:val="clear" w:color="auto" w:fill="auto"/>
            <w:vAlign w:val="bottom"/>
          </w:tcPr>
          <w:p w14:paraId="39D98DEC" w14:textId="77777777" w:rsidR="00996AD7" w:rsidRDefault="00996AD7">
            <w:pPr>
              <w:rPr>
                <w:rFonts w:ascii="宋体"/>
              </w:rPr>
            </w:pPr>
          </w:p>
        </w:tc>
        <w:tc>
          <w:tcPr>
            <w:tcW w:w="50" w:type="pct"/>
            <w:shd w:val="clear" w:color="auto" w:fill="auto"/>
            <w:vAlign w:val="bottom"/>
          </w:tcPr>
          <w:p w14:paraId="39D98DED" w14:textId="77777777" w:rsidR="00996AD7" w:rsidRDefault="00996AD7">
            <w:pPr>
              <w:rPr>
                <w:rFonts w:ascii="宋体"/>
              </w:rPr>
            </w:pPr>
          </w:p>
        </w:tc>
        <w:tc>
          <w:tcPr>
            <w:tcW w:w="539" w:type="pct"/>
            <w:shd w:val="clear" w:color="auto" w:fill="auto"/>
            <w:vAlign w:val="bottom"/>
          </w:tcPr>
          <w:p w14:paraId="39D98DEE" w14:textId="77777777" w:rsidR="00996AD7" w:rsidRDefault="00996AD7">
            <w:pPr>
              <w:rPr>
                <w:rFonts w:ascii="宋体"/>
              </w:rPr>
            </w:pPr>
          </w:p>
        </w:tc>
        <w:tc>
          <w:tcPr>
            <w:tcW w:w="5" w:type="pct"/>
            <w:shd w:val="clear" w:color="auto" w:fill="auto"/>
            <w:vAlign w:val="bottom"/>
          </w:tcPr>
          <w:p w14:paraId="39D98DEF" w14:textId="77777777" w:rsidR="00996AD7" w:rsidRDefault="00996AD7">
            <w:pPr>
              <w:rPr>
                <w:rFonts w:ascii="宋体"/>
              </w:rPr>
            </w:pPr>
          </w:p>
        </w:tc>
        <w:tc>
          <w:tcPr>
            <w:tcW w:w="5" w:type="pct"/>
            <w:shd w:val="clear" w:color="auto" w:fill="auto"/>
            <w:vAlign w:val="bottom"/>
          </w:tcPr>
          <w:p w14:paraId="39D98DF0" w14:textId="77777777" w:rsidR="00996AD7" w:rsidRDefault="00996AD7">
            <w:pPr>
              <w:rPr>
                <w:rFonts w:ascii="宋体"/>
              </w:rPr>
            </w:pPr>
          </w:p>
        </w:tc>
        <w:tc>
          <w:tcPr>
            <w:tcW w:w="17" w:type="pct"/>
            <w:shd w:val="clear" w:color="auto" w:fill="auto"/>
            <w:vAlign w:val="bottom"/>
          </w:tcPr>
          <w:p w14:paraId="39D98DF1" w14:textId="77777777" w:rsidR="00996AD7" w:rsidRDefault="00996AD7">
            <w:pPr>
              <w:rPr>
                <w:rFonts w:ascii="宋体"/>
              </w:rPr>
            </w:pPr>
          </w:p>
        </w:tc>
        <w:tc>
          <w:tcPr>
            <w:tcW w:w="5" w:type="pct"/>
            <w:shd w:val="clear" w:color="auto" w:fill="auto"/>
            <w:vAlign w:val="bottom"/>
          </w:tcPr>
          <w:p w14:paraId="39D98DF2" w14:textId="77777777" w:rsidR="00996AD7" w:rsidRDefault="00996AD7">
            <w:pPr>
              <w:rPr>
                <w:rFonts w:ascii="宋体"/>
              </w:rPr>
            </w:pPr>
          </w:p>
        </w:tc>
        <w:tc>
          <w:tcPr>
            <w:tcW w:w="50" w:type="pct"/>
            <w:shd w:val="clear" w:color="auto" w:fill="auto"/>
            <w:vAlign w:val="bottom"/>
          </w:tcPr>
          <w:p w14:paraId="39D98DF3" w14:textId="77777777" w:rsidR="00996AD7" w:rsidRDefault="00996AD7">
            <w:pPr>
              <w:rPr>
                <w:rFonts w:ascii="宋体"/>
              </w:rPr>
            </w:pPr>
          </w:p>
        </w:tc>
        <w:tc>
          <w:tcPr>
            <w:tcW w:w="539" w:type="pct"/>
            <w:shd w:val="clear" w:color="auto" w:fill="auto"/>
            <w:vAlign w:val="bottom"/>
          </w:tcPr>
          <w:p w14:paraId="39D98DF4" w14:textId="77777777" w:rsidR="00996AD7" w:rsidRDefault="00996AD7">
            <w:pPr>
              <w:rPr>
                <w:rFonts w:ascii="宋体"/>
              </w:rPr>
            </w:pPr>
          </w:p>
        </w:tc>
        <w:tc>
          <w:tcPr>
            <w:tcW w:w="5" w:type="pct"/>
            <w:shd w:val="clear" w:color="auto" w:fill="auto"/>
            <w:vAlign w:val="bottom"/>
          </w:tcPr>
          <w:p w14:paraId="39D98DF5" w14:textId="77777777" w:rsidR="00996AD7" w:rsidRDefault="00996AD7">
            <w:pPr>
              <w:rPr>
                <w:rFonts w:ascii="宋体"/>
              </w:rPr>
            </w:pPr>
          </w:p>
        </w:tc>
        <w:tc>
          <w:tcPr>
            <w:tcW w:w="5" w:type="pct"/>
            <w:shd w:val="clear" w:color="auto" w:fill="auto"/>
            <w:vAlign w:val="bottom"/>
          </w:tcPr>
          <w:p w14:paraId="39D98DF6" w14:textId="77777777" w:rsidR="00996AD7" w:rsidRDefault="00996AD7">
            <w:pPr>
              <w:rPr>
                <w:rFonts w:ascii="宋体"/>
              </w:rPr>
            </w:pPr>
          </w:p>
        </w:tc>
        <w:tc>
          <w:tcPr>
            <w:tcW w:w="24" w:type="pct"/>
            <w:shd w:val="clear" w:color="auto" w:fill="auto"/>
            <w:vAlign w:val="bottom"/>
          </w:tcPr>
          <w:p w14:paraId="39D98DF7" w14:textId="77777777" w:rsidR="00996AD7" w:rsidRDefault="00996AD7">
            <w:pPr>
              <w:rPr>
                <w:rFonts w:ascii="宋体"/>
              </w:rPr>
            </w:pPr>
          </w:p>
        </w:tc>
        <w:tc>
          <w:tcPr>
            <w:tcW w:w="5" w:type="pct"/>
            <w:shd w:val="clear" w:color="auto" w:fill="auto"/>
            <w:vAlign w:val="bottom"/>
          </w:tcPr>
          <w:p w14:paraId="39D98DF8" w14:textId="77777777" w:rsidR="00996AD7" w:rsidRDefault="00996AD7">
            <w:pPr>
              <w:rPr>
                <w:rFonts w:ascii="宋体"/>
              </w:rPr>
            </w:pPr>
          </w:p>
        </w:tc>
        <w:tc>
          <w:tcPr>
            <w:tcW w:w="50" w:type="pct"/>
            <w:shd w:val="clear" w:color="auto" w:fill="auto"/>
            <w:vAlign w:val="bottom"/>
          </w:tcPr>
          <w:p w14:paraId="39D98DF9" w14:textId="77777777" w:rsidR="00996AD7" w:rsidRDefault="00996AD7">
            <w:pPr>
              <w:rPr>
                <w:rFonts w:ascii="宋体"/>
              </w:rPr>
            </w:pPr>
          </w:p>
        </w:tc>
        <w:tc>
          <w:tcPr>
            <w:tcW w:w="539" w:type="pct"/>
            <w:shd w:val="clear" w:color="auto" w:fill="auto"/>
            <w:vAlign w:val="bottom"/>
          </w:tcPr>
          <w:p w14:paraId="39D98DFA" w14:textId="77777777" w:rsidR="00996AD7" w:rsidRDefault="00996AD7">
            <w:pPr>
              <w:rPr>
                <w:rFonts w:ascii="宋体"/>
              </w:rPr>
            </w:pPr>
          </w:p>
        </w:tc>
        <w:tc>
          <w:tcPr>
            <w:tcW w:w="5" w:type="pct"/>
            <w:shd w:val="clear" w:color="auto" w:fill="auto"/>
            <w:vAlign w:val="bottom"/>
          </w:tcPr>
          <w:p w14:paraId="39D98DFB" w14:textId="77777777" w:rsidR="00996AD7" w:rsidRDefault="00996AD7">
            <w:pPr>
              <w:rPr>
                <w:rFonts w:ascii="宋体"/>
              </w:rPr>
            </w:pPr>
          </w:p>
        </w:tc>
        <w:tc>
          <w:tcPr>
            <w:tcW w:w="5" w:type="pct"/>
            <w:shd w:val="clear" w:color="auto" w:fill="auto"/>
            <w:vAlign w:val="bottom"/>
          </w:tcPr>
          <w:p w14:paraId="39D98DFC" w14:textId="77777777" w:rsidR="00996AD7" w:rsidRDefault="00996AD7">
            <w:pPr>
              <w:rPr>
                <w:rFonts w:ascii="宋体"/>
              </w:rPr>
            </w:pPr>
          </w:p>
        </w:tc>
        <w:tc>
          <w:tcPr>
            <w:tcW w:w="17" w:type="pct"/>
            <w:shd w:val="clear" w:color="auto" w:fill="auto"/>
            <w:vAlign w:val="bottom"/>
          </w:tcPr>
          <w:p w14:paraId="39D98DFD" w14:textId="77777777" w:rsidR="00996AD7" w:rsidRDefault="00996AD7">
            <w:pPr>
              <w:rPr>
                <w:rFonts w:ascii="宋体"/>
              </w:rPr>
            </w:pPr>
          </w:p>
        </w:tc>
        <w:tc>
          <w:tcPr>
            <w:tcW w:w="5" w:type="pct"/>
            <w:shd w:val="clear" w:color="auto" w:fill="auto"/>
            <w:vAlign w:val="bottom"/>
          </w:tcPr>
          <w:p w14:paraId="39D98DFE" w14:textId="77777777" w:rsidR="00996AD7" w:rsidRDefault="00996AD7">
            <w:pPr>
              <w:rPr>
                <w:rFonts w:ascii="宋体"/>
              </w:rPr>
            </w:pPr>
          </w:p>
        </w:tc>
        <w:tc>
          <w:tcPr>
            <w:tcW w:w="50" w:type="pct"/>
            <w:shd w:val="clear" w:color="auto" w:fill="auto"/>
            <w:vAlign w:val="bottom"/>
          </w:tcPr>
          <w:p w14:paraId="39D98DFF" w14:textId="77777777" w:rsidR="00996AD7" w:rsidRDefault="00996AD7">
            <w:pPr>
              <w:rPr>
                <w:rFonts w:ascii="宋体"/>
              </w:rPr>
            </w:pPr>
          </w:p>
        </w:tc>
        <w:tc>
          <w:tcPr>
            <w:tcW w:w="539" w:type="pct"/>
            <w:shd w:val="clear" w:color="auto" w:fill="auto"/>
            <w:vAlign w:val="bottom"/>
          </w:tcPr>
          <w:p w14:paraId="39D98E00" w14:textId="77777777" w:rsidR="00996AD7" w:rsidRDefault="00996AD7">
            <w:pPr>
              <w:rPr>
                <w:rFonts w:ascii="宋体"/>
              </w:rPr>
            </w:pPr>
          </w:p>
        </w:tc>
        <w:tc>
          <w:tcPr>
            <w:tcW w:w="5" w:type="pct"/>
            <w:shd w:val="clear" w:color="auto" w:fill="auto"/>
            <w:vAlign w:val="bottom"/>
          </w:tcPr>
          <w:p w14:paraId="39D98E01" w14:textId="77777777" w:rsidR="00996AD7" w:rsidRDefault="00996AD7">
            <w:pPr>
              <w:rPr>
                <w:rFonts w:ascii="宋体"/>
              </w:rPr>
            </w:pPr>
          </w:p>
        </w:tc>
        <w:tc>
          <w:tcPr>
            <w:tcW w:w="0" w:type="auto"/>
            <w:gridSpan w:val="3"/>
            <w:shd w:val="clear" w:color="auto" w:fill="auto"/>
            <w:vAlign w:val="bottom"/>
          </w:tcPr>
          <w:p w14:paraId="39D98E02" w14:textId="77777777" w:rsidR="00996AD7" w:rsidRDefault="00996AD7">
            <w:pPr>
              <w:rPr>
                <w:rFonts w:ascii="宋体"/>
                <w:vanish/>
              </w:rPr>
            </w:pPr>
          </w:p>
        </w:tc>
        <w:tc>
          <w:tcPr>
            <w:tcW w:w="0" w:type="auto"/>
            <w:gridSpan w:val="3"/>
            <w:shd w:val="clear" w:color="auto" w:fill="auto"/>
            <w:vAlign w:val="bottom"/>
          </w:tcPr>
          <w:p w14:paraId="39D98E03" w14:textId="77777777" w:rsidR="00996AD7" w:rsidRDefault="00996AD7">
            <w:pPr>
              <w:rPr>
                <w:rFonts w:ascii="宋体"/>
                <w:vanish/>
              </w:rPr>
            </w:pPr>
          </w:p>
        </w:tc>
        <w:tc>
          <w:tcPr>
            <w:tcW w:w="0" w:type="auto"/>
            <w:gridSpan w:val="3"/>
            <w:shd w:val="clear" w:color="auto" w:fill="auto"/>
            <w:vAlign w:val="bottom"/>
          </w:tcPr>
          <w:p w14:paraId="39D98E04" w14:textId="77777777" w:rsidR="00996AD7" w:rsidRDefault="00996AD7">
            <w:pPr>
              <w:rPr>
                <w:rFonts w:ascii="宋体"/>
                <w:vanish/>
              </w:rPr>
            </w:pPr>
          </w:p>
        </w:tc>
        <w:tc>
          <w:tcPr>
            <w:tcW w:w="0" w:type="auto"/>
            <w:gridSpan w:val="3"/>
            <w:shd w:val="clear" w:color="auto" w:fill="auto"/>
            <w:vAlign w:val="bottom"/>
          </w:tcPr>
          <w:p w14:paraId="39D98E05" w14:textId="77777777" w:rsidR="00996AD7" w:rsidRDefault="00996AD7">
            <w:pPr>
              <w:rPr>
                <w:rFonts w:ascii="宋体"/>
                <w:vanish/>
              </w:rPr>
            </w:pPr>
          </w:p>
        </w:tc>
      </w:tr>
      <w:tr w:rsidR="00996AD7" w14:paraId="39D98E16" w14:textId="77777777">
        <w:tc>
          <w:tcPr>
            <w:tcW w:w="0" w:type="auto"/>
            <w:gridSpan w:val="3"/>
            <w:shd w:val="clear" w:color="auto" w:fill="auto"/>
            <w:tcMar>
              <w:top w:w="0" w:type="dxa"/>
              <w:left w:w="20" w:type="dxa"/>
              <w:bottom w:w="0" w:type="dxa"/>
              <w:right w:w="20" w:type="dxa"/>
            </w:tcMar>
            <w:vAlign w:val="bottom"/>
          </w:tcPr>
          <w:p w14:paraId="39D98E0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E08" w14:textId="77777777" w:rsidR="00996AD7" w:rsidRDefault="00996AD7">
            <w:pPr>
              <w:rPr>
                <w:rFonts w:ascii="宋体"/>
              </w:rPr>
            </w:pPr>
          </w:p>
        </w:tc>
        <w:tc>
          <w:tcPr>
            <w:tcW w:w="0" w:type="auto"/>
            <w:gridSpan w:val="21"/>
            <w:tcBorders>
              <w:bottom w:val="single" w:sz="4" w:space="0" w:color="0068B5"/>
            </w:tcBorders>
            <w:shd w:val="clear" w:color="auto" w:fill="FFFFFF"/>
            <w:tcMar>
              <w:top w:w="40" w:type="dxa"/>
              <w:left w:w="20" w:type="dxa"/>
              <w:bottom w:w="40" w:type="dxa"/>
              <w:right w:w="20" w:type="dxa"/>
            </w:tcMar>
            <w:vAlign w:val="bottom"/>
          </w:tcPr>
          <w:p w14:paraId="39D98E09" w14:textId="77777777" w:rsidR="00996AD7" w:rsidRDefault="00D96458">
            <w:pPr>
              <w:jc w:val="center"/>
              <w:textAlignment w:val="bottom"/>
            </w:pPr>
            <w:r>
              <w:rPr>
                <w:rFonts w:ascii="Arial" w:eastAsia="宋体" w:hAnsi="Arial" w:cs="Arial"/>
                <w:b/>
                <w:bCs/>
                <w:color w:val="262626"/>
                <w:sz w:val="18"/>
                <w:szCs w:val="18"/>
              </w:rPr>
              <w:t xml:space="preserve">Gains (Losses) Recognized in Consolidated Condensed Statements of Income on Derivatives </w:t>
            </w:r>
          </w:p>
        </w:tc>
        <w:tc>
          <w:tcPr>
            <w:tcW w:w="0" w:type="auto"/>
            <w:shd w:val="clear" w:color="auto" w:fill="auto"/>
            <w:vAlign w:val="bottom"/>
          </w:tcPr>
          <w:p w14:paraId="39D98E0A" w14:textId="77777777" w:rsidR="00996AD7" w:rsidRDefault="00996AD7">
            <w:pPr>
              <w:rPr>
                <w:rFonts w:ascii="宋体"/>
              </w:rPr>
            </w:pPr>
          </w:p>
        </w:tc>
        <w:tc>
          <w:tcPr>
            <w:tcW w:w="0" w:type="auto"/>
            <w:shd w:val="clear" w:color="auto" w:fill="auto"/>
            <w:vAlign w:val="bottom"/>
          </w:tcPr>
          <w:p w14:paraId="39D98E0B" w14:textId="77777777" w:rsidR="00996AD7" w:rsidRDefault="00996AD7">
            <w:pPr>
              <w:rPr>
                <w:rFonts w:ascii="宋体"/>
              </w:rPr>
            </w:pPr>
          </w:p>
        </w:tc>
        <w:tc>
          <w:tcPr>
            <w:tcW w:w="0" w:type="auto"/>
            <w:shd w:val="clear" w:color="auto" w:fill="auto"/>
            <w:vAlign w:val="bottom"/>
          </w:tcPr>
          <w:p w14:paraId="39D98E0C" w14:textId="77777777" w:rsidR="00996AD7" w:rsidRDefault="00996AD7">
            <w:pPr>
              <w:rPr>
                <w:rFonts w:ascii="宋体"/>
              </w:rPr>
            </w:pPr>
          </w:p>
        </w:tc>
        <w:tc>
          <w:tcPr>
            <w:tcW w:w="0" w:type="auto"/>
            <w:shd w:val="clear" w:color="auto" w:fill="auto"/>
            <w:vAlign w:val="bottom"/>
          </w:tcPr>
          <w:p w14:paraId="39D98E0D" w14:textId="77777777" w:rsidR="00996AD7" w:rsidRDefault="00996AD7">
            <w:pPr>
              <w:rPr>
                <w:rFonts w:ascii="宋体"/>
              </w:rPr>
            </w:pPr>
          </w:p>
        </w:tc>
        <w:tc>
          <w:tcPr>
            <w:tcW w:w="0" w:type="auto"/>
            <w:shd w:val="clear" w:color="auto" w:fill="auto"/>
            <w:vAlign w:val="bottom"/>
          </w:tcPr>
          <w:p w14:paraId="39D98E0E" w14:textId="77777777" w:rsidR="00996AD7" w:rsidRDefault="00996AD7">
            <w:pPr>
              <w:rPr>
                <w:rFonts w:ascii="宋体"/>
              </w:rPr>
            </w:pPr>
          </w:p>
        </w:tc>
        <w:tc>
          <w:tcPr>
            <w:tcW w:w="0" w:type="auto"/>
            <w:shd w:val="clear" w:color="auto" w:fill="auto"/>
            <w:vAlign w:val="bottom"/>
          </w:tcPr>
          <w:p w14:paraId="39D98E0F" w14:textId="77777777" w:rsidR="00996AD7" w:rsidRDefault="00996AD7">
            <w:pPr>
              <w:rPr>
                <w:rFonts w:ascii="宋体"/>
              </w:rPr>
            </w:pPr>
          </w:p>
        </w:tc>
        <w:tc>
          <w:tcPr>
            <w:tcW w:w="0" w:type="auto"/>
            <w:shd w:val="clear" w:color="auto" w:fill="auto"/>
            <w:vAlign w:val="bottom"/>
          </w:tcPr>
          <w:p w14:paraId="39D98E10" w14:textId="77777777" w:rsidR="00996AD7" w:rsidRDefault="00996AD7">
            <w:pPr>
              <w:rPr>
                <w:rFonts w:ascii="宋体"/>
              </w:rPr>
            </w:pPr>
          </w:p>
        </w:tc>
        <w:tc>
          <w:tcPr>
            <w:tcW w:w="0" w:type="auto"/>
            <w:shd w:val="clear" w:color="auto" w:fill="auto"/>
            <w:vAlign w:val="bottom"/>
          </w:tcPr>
          <w:p w14:paraId="39D98E11" w14:textId="77777777" w:rsidR="00996AD7" w:rsidRDefault="00996AD7">
            <w:pPr>
              <w:rPr>
                <w:rFonts w:ascii="宋体"/>
              </w:rPr>
            </w:pPr>
          </w:p>
        </w:tc>
        <w:tc>
          <w:tcPr>
            <w:tcW w:w="0" w:type="auto"/>
            <w:shd w:val="clear" w:color="auto" w:fill="auto"/>
            <w:vAlign w:val="bottom"/>
          </w:tcPr>
          <w:p w14:paraId="39D98E12" w14:textId="77777777" w:rsidR="00996AD7" w:rsidRDefault="00996AD7">
            <w:pPr>
              <w:rPr>
                <w:rFonts w:ascii="宋体"/>
              </w:rPr>
            </w:pPr>
          </w:p>
        </w:tc>
        <w:tc>
          <w:tcPr>
            <w:tcW w:w="0" w:type="auto"/>
            <w:shd w:val="clear" w:color="auto" w:fill="auto"/>
            <w:vAlign w:val="bottom"/>
          </w:tcPr>
          <w:p w14:paraId="39D98E13" w14:textId="77777777" w:rsidR="00996AD7" w:rsidRDefault="00996AD7">
            <w:pPr>
              <w:rPr>
                <w:rFonts w:ascii="宋体"/>
              </w:rPr>
            </w:pPr>
          </w:p>
        </w:tc>
        <w:tc>
          <w:tcPr>
            <w:tcW w:w="0" w:type="auto"/>
            <w:shd w:val="clear" w:color="auto" w:fill="auto"/>
            <w:vAlign w:val="bottom"/>
          </w:tcPr>
          <w:p w14:paraId="39D98E14" w14:textId="77777777" w:rsidR="00996AD7" w:rsidRDefault="00996AD7">
            <w:pPr>
              <w:rPr>
                <w:rFonts w:ascii="宋体"/>
              </w:rPr>
            </w:pPr>
          </w:p>
        </w:tc>
        <w:tc>
          <w:tcPr>
            <w:tcW w:w="0" w:type="auto"/>
            <w:shd w:val="clear" w:color="auto" w:fill="auto"/>
            <w:vAlign w:val="bottom"/>
          </w:tcPr>
          <w:p w14:paraId="39D98E15" w14:textId="77777777" w:rsidR="00996AD7" w:rsidRDefault="00996AD7">
            <w:pPr>
              <w:rPr>
                <w:rFonts w:ascii="宋体"/>
              </w:rPr>
            </w:pPr>
          </w:p>
        </w:tc>
      </w:tr>
      <w:tr w:rsidR="00996AD7" w14:paraId="39D98E24" w14:textId="77777777">
        <w:tc>
          <w:tcPr>
            <w:tcW w:w="0" w:type="auto"/>
            <w:gridSpan w:val="3"/>
            <w:shd w:val="clear" w:color="auto" w:fill="auto"/>
            <w:tcMar>
              <w:top w:w="0" w:type="dxa"/>
              <w:left w:w="20" w:type="dxa"/>
              <w:bottom w:w="0" w:type="dxa"/>
              <w:right w:w="20" w:type="dxa"/>
            </w:tcMar>
            <w:vAlign w:val="bottom"/>
          </w:tcPr>
          <w:p w14:paraId="39D98E1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E18" w14:textId="77777777" w:rsidR="00996AD7" w:rsidRDefault="00996AD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39D98E19" w14:textId="77777777" w:rsidR="00996AD7" w:rsidRDefault="00D96458">
            <w:pPr>
              <w:jc w:val="center"/>
              <w:textAlignment w:val="bottom"/>
            </w:pPr>
            <w:r>
              <w:rPr>
                <w:rFonts w:ascii="Arial" w:eastAsia="宋体" w:hAnsi="Arial" w:cs="Arial"/>
                <w:b/>
                <w:bCs/>
                <w:color w:val="262626"/>
                <w:sz w:val="18"/>
                <w:szCs w:val="18"/>
              </w:rPr>
              <w:t>Three Months Ended</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E1A" w14:textId="77777777" w:rsidR="00996AD7" w:rsidRDefault="00996AD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39D98E1B" w14:textId="77777777" w:rsidR="00996AD7" w:rsidRDefault="00D96458">
            <w:pPr>
              <w:jc w:val="center"/>
              <w:textAlignment w:val="bottom"/>
            </w:pPr>
            <w:r>
              <w:rPr>
                <w:rFonts w:ascii="Arial" w:eastAsia="宋体" w:hAnsi="Arial" w:cs="Arial"/>
                <w:b/>
                <w:bCs/>
                <w:color w:val="262626"/>
                <w:sz w:val="18"/>
                <w:szCs w:val="18"/>
              </w:rPr>
              <w:t>Nine Months Ended</w:t>
            </w:r>
          </w:p>
        </w:tc>
        <w:tc>
          <w:tcPr>
            <w:tcW w:w="0" w:type="auto"/>
            <w:gridSpan w:val="3"/>
            <w:shd w:val="clear" w:color="auto" w:fill="auto"/>
            <w:vAlign w:val="bottom"/>
          </w:tcPr>
          <w:p w14:paraId="39D98E1C" w14:textId="77777777" w:rsidR="00996AD7" w:rsidRDefault="00996AD7">
            <w:pPr>
              <w:rPr>
                <w:rFonts w:ascii="宋体"/>
                <w:vanish/>
              </w:rPr>
            </w:pPr>
          </w:p>
        </w:tc>
        <w:tc>
          <w:tcPr>
            <w:tcW w:w="0" w:type="auto"/>
            <w:gridSpan w:val="3"/>
            <w:shd w:val="clear" w:color="auto" w:fill="auto"/>
            <w:vAlign w:val="bottom"/>
          </w:tcPr>
          <w:p w14:paraId="39D98E1D" w14:textId="77777777" w:rsidR="00996AD7" w:rsidRDefault="00996AD7">
            <w:pPr>
              <w:rPr>
                <w:rFonts w:ascii="宋体"/>
                <w:vanish/>
              </w:rPr>
            </w:pPr>
          </w:p>
        </w:tc>
        <w:tc>
          <w:tcPr>
            <w:tcW w:w="0" w:type="auto"/>
            <w:shd w:val="clear" w:color="auto" w:fill="auto"/>
            <w:vAlign w:val="bottom"/>
          </w:tcPr>
          <w:p w14:paraId="39D98E1E" w14:textId="77777777" w:rsidR="00996AD7" w:rsidRDefault="00996AD7">
            <w:pPr>
              <w:rPr>
                <w:rFonts w:ascii="宋体"/>
              </w:rPr>
            </w:pPr>
          </w:p>
        </w:tc>
        <w:tc>
          <w:tcPr>
            <w:tcW w:w="0" w:type="auto"/>
            <w:shd w:val="clear" w:color="auto" w:fill="auto"/>
            <w:vAlign w:val="bottom"/>
          </w:tcPr>
          <w:p w14:paraId="39D98E1F" w14:textId="77777777" w:rsidR="00996AD7" w:rsidRDefault="00996AD7">
            <w:pPr>
              <w:rPr>
                <w:rFonts w:ascii="宋体"/>
              </w:rPr>
            </w:pPr>
          </w:p>
        </w:tc>
        <w:tc>
          <w:tcPr>
            <w:tcW w:w="0" w:type="auto"/>
            <w:shd w:val="clear" w:color="auto" w:fill="auto"/>
            <w:vAlign w:val="bottom"/>
          </w:tcPr>
          <w:p w14:paraId="39D98E20" w14:textId="77777777" w:rsidR="00996AD7" w:rsidRDefault="00996AD7">
            <w:pPr>
              <w:rPr>
                <w:rFonts w:ascii="宋体"/>
              </w:rPr>
            </w:pPr>
          </w:p>
        </w:tc>
        <w:tc>
          <w:tcPr>
            <w:tcW w:w="0" w:type="auto"/>
            <w:shd w:val="clear" w:color="auto" w:fill="auto"/>
            <w:vAlign w:val="bottom"/>
          </w:tcPr>
          <w:p w14:paraId="39D98E21" w14:textId="77777777" w:rsidR="00996AD7" w:rsidRDefault="00996AD7">
            <w:pPr>
              <w:rPr>
                <w:rFonts w:ascii="宋体"/>
              </w:rPr>
            </w:pPr>
          </w:p>
        </w:tc>
        <w:tc>
          <w:tcPr>
            <w:tcW w:w="0" w:type="auto"/>
            <w:shd w:val="clear" w:color="auto" w:fill="auto"/>
            <w:vAlign w:val="bottom"/>
          </w:tcPr>
          <w:p w14:paraId="39D98E22" w14:textId="77777777" w:rsidR="00996AD7" w:rsidRDefault="00996AD7">
            <w:pPr>
              <w:rPr>
                <w:rFonts w:ascii="宋体"/>
              </w:rPr>
            </w:pPr>
          </w:p>
        </w:tc>
        <w:tc>
          <w:tcPr>
            <w:tcW w:w="0" w:type="auto"/>
            <w:shd w:val="clear" w:color="auto" w:fill="auto"/>
            <w:vAlign w:val="bottom"/>
          </w:tcPr>
          <w:p w14:paraId="39D98E23" w14:textId="77777777" w:rsidR="00996AD7" w:rsidRDefault="00996AD7">
            <w:pPr>
              <w:rPr>
                <w:rFonts w:ascii="宋体"/>
              </w:rPr>
            </w:pPr>
          </w:p>
        </w:tc>
      </w:tr>
      <w:tr w:rsidR="00996AD7" w14:paraId="39D98E32" w14:textId="77777777">
        <w:tc>
          <w:tcPr>
            <w:tcW w:w="0" w:type="auto"/>
            <w:gridSpan w:val="3"/>
            <w:shd w:val="clear" w:color="auto" w:fill="auto"/>
            <w:tcMar>
              <w:top w:w="40" w:type="dxa"/>
              <w:left w:w="20" w:type="dxa"/>
              <w:bottom w:w="40" w:type="dxa"/>
              <w:right w:w="20" w:type="dxa"/>
            </w:tcMar>
            <w:vAlign w:val="bottom"/>
          </w:tcPr>
          <w:p w14:paraId="39D98E25" w14:textId="77777777" w:rsidR="00996AD7" w:rsidRDefault="00D964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E26"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E27" w14:textId="77777777" w:rsidR="00996AD7" w:rsidRDefault="00D96458">
            <w:pPr>
              <w:jc w:val="center"/>
              <w:textAlignment w:val="bottom"/>
            </w:pPr>
            <w:r>
              <w:rPr>
                <w:rFonts w:ascii="Arial" w:eastAsia="宋体" w:hAnsi="Arial" w:cs="Arial"/>
                <w:b/>
                <w:bCs/>
                <w:color w:val="262626"/>
                <w:sz w:val="18"/>
                <w:szCs w:val="18"/>
              </w:rPr>
              <w:t xml:space="preserve">Sep </w:t>
            </w:r>
            <w:r>
              <w:rPr>
                <w:rFonts w:ascii="Arial" w:eastAsia="宋体" w:hAnsi="Arial" w:cs="Arial"/>
                <w:b/>
                <w:bCs/>
                <w:color w:val="262626"/>
                <w:sz w:val="18"/>
                <w:szCs w:val="18"/>
              </w:rPr>
              <w:t>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E28"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E29"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gridSpan w:val="3"/>
            <w:shd w:val="clear" w:color="auto" w:fill="auto"/>
            <w:tcMar>
              <w:top w:w="0" w:type="dxa"/>
              <w:left w:w="20" w:type="dxa"/>
              <w:bottom w:w="0" w:type="dxa"/>
              <w:right w:w="20" w:type="dxa"/>
            </w:tcMar>
            <w:vAlign w:val="bottom"/>
          </w:tcPr>
          <w:p w14:paraId="39D98E2A"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E2B"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E2C"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E2D"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gridSpan w:val="3"/>
            <w:shd w:val="clear" w:color="auto" w:fill="auto"/>
            <w:vAlign w:val="bottom"/>
          </w:tcPr>
          <w:p w14:paraId="39D98E2E" w14:textId="77777777" w:rsidR="00996AD7" w:rsidRDefault="00996AD7">
            <w:pPr>
              <w:rPr>
                <w:rFonts w:ascii="宋体"/>
                <w:vanish/>
              </w:rPr>
            </w:pPr>
          </w:p>
        </w:tc>
        <w:tc>
          <w:tcPr>
            <w:tcW w:w="0" w:type="auto"/>
            <w:gridSpan w:val="3"/>
            <w:shd w:val="clear" w:color="auto" w:fill="auto"/>
            <w:vAlign w:val="bottom"/>
          </w:tcPr>
          <w:p w14:paraId="39D98E2F" w14:textId="77777777" w:rsidR="00996AD7" w:rsidRDefault="00996AD7">
            <w:pPr>
              <w:rPr>
                <w:rFonts w:ascii="宋体"/>
                <w:vanish/>
              </w:rPr>
            </w:pPr>
          </w:p>
        </w:tc>
        <w:tc>
          <w:tcPr>
            <w:tcW w:w="0" w:type="auto"/>
            <w:gridSpan w:val="3"/>
            <w:shd w:val="clear" w:color="auto" w:fill="auto"/>
            <w:vAlign w:val="bottom"/>
          </w:tcPr>
          <w:p w14:paraId="39D98E30" w14:textId="77777777" w:rsidR="00996AD7" w:rsidRDefault="00996AD7">
            <w:pPr>
              <w:rPr>
                <w:rFonts w:ascii="宋体"/>
                <w:vanish/>
              </w:rPr>
            </w:pPr>
          </w:p>
        </w:tc>
        <w:tc>
          <w:tcPr>
            <w:tcW w:w="0" w:type="auto"/>
            <w:gridSpan w:val="3"/>
            <w:shd w:val="clear" w:color="auto" w:fill="auto"/>
            <w:vAlign w:val="bottom"/>
          </w:tcPr>
          <w:p w14:paraId="39D98E31" w14:textId="77777777" w:rsidR="00996AD7" w:rsidRDefault="00996AD7">
            <w:pPr>
              <w:rPr>
                <w:rFonts w:ascii="宋体"/>
                <w:vanish/>
              </w:rPr>
            </w:pPr>
          </w:p>
        </w:tc>
      </w:tr>
      <w:tr w:rsidR="00996AD7" w14:paraId="39D98E48"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8E33" w14:textId="77777777" w:rsidR="00996AD7" w:rsidRDefault="00D96458">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39D98E34"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E35"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E36" w14:textId="77777777" w:rsidR="00996AD7" w:rsidRDefault="00D96458">
            <w:pPr>
              <w:jc w:val="right"/>
              <w:textAlignment w:val="bottom"/>
            </w:pPr>
            <w:r>
              <w:rPr>
                <w:rFonts w:ascii="Arial" w:eastAsia="宋体" w:hAnsi="Arial" w:cs="Arial"/>
                <w:color w:val="0068B5"/>
                <w:sz w:val="18"/>
                <w:szCs w:val="18"/>
              </w:rPr>
              <w:t>(55)</w:t>
            </w:r>
          </w:p>
        </w:tc>
        <w:tc>
          <w:tcPr>
            <w:tcW w:w="0" w:type="auto"/>
            <w:tcBorders>
              <w:top w:val="single" w:sz="8" w:space="0" w:color="0068B5"/>
            </w:tcBorders>
            <w:shd w:val="clear" w:color="auto" w:fill="auto"/>
            <w:tcMar>
              <w:top w:w="40" w:type="dxa"/>
              <w:left w:w="0" w:type="dxa"/>
              <w:bottom w:w="40" w:type="dxa"/>
              <w:right w:w="20" w:type="dxa"/>
            </w:tcMar>
            <w:vAlign w:val="bottom"/>
          </w:tcPr>
          <w:p w14:paraId="39D98E3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E38"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E39"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E3A" w14:textId="77777777" w:rsidR="00996AD7" w:rsidRDefault="00D96458">
            <w:pPr>
              <w:jc w:val="right"/>
              <w:textAlignment w:val="bottom"/>
            </w:pPr>
            <w:r>
              <w:rPr>
                <w:rFonts w:ascii="Arial" w:eastAsia="宋体" w:hAnsi="Arial" w:cs="Arial"/>
                <w:color w:val="262626"/>
                <w:sz w:val="18"/>
                <w:szCs w:val="18"/>
              </w:rPr>
              <w:t>(36)</w:t>
            </w:r>
          </w:p>
        </w:tc>
        <w:tc>
          <w:tcPr>
            <w:tcW w:w="0" w:type="auto"/>
            <w:tcBorders>
              <w:top w:val="single" w:sz="8" w:space="0" w:color="0068B5"/>
            </w:tcBorders>
            <w:shd w:val="clear" w:color="auto" w:fill="auto"/>
            <w:tcMar>
              <w:top w:w="40" w:type="dxa"/>
              <w:left w:w="0" w:type="dxa"/>
              <w:bottom w:w="40" w:type="dxa"/>
              <w:right w:w="20" w:type="dxa"/>
            </w:tcMar>
            <w:vAlign w:val="bottom"/>
          </w:tcPr>
          <w:p w14:paraId="39D98E3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E3C"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E3D"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E3E" w14:textId="77777777" w:rsidR="00996AD7" w:rsidRDefault="00D96458">
            <w:pPr>
              <w:jc w:val="right"/>
              <w:textAlignment w:val="bottom"/>
            </w:pPr>
            <w:r>
              <w:rPr>
                <w:rFonts w:ascii="Arial" w:eastAsia="宋体" w:hAnsi="Arial" w:cs="Arial"/>
                <w:color w:val="0068B5"/>
                <w:sz w:val="18"/>
                <w:szCs w:val="18"/>
              </w:rPr>
              <w:t>(532)</w:t>
            </w:r>
          </w:p>
        </w:tc>
        <w:tc>
          <w:tcPr>
            <w:tcW w:w="0" w:type="auto"/>
            <w:tcBorders>
              <w:top w:val="single" w:sz="8" w:space="0" w:color="0068B5"/>
            </w:tcBorders>
            <w:shd w:val="clear" w:color="auto" w:fill="auto"/>
            <w:tcMar>
              <w:top w:w="40" w:type="dxa"/>
              <w:left w:w="0" w:type="dxa"/>
              <w:bottom w:w="40" w:type="dxa"/>
              <w:right w:w="20" w:type="dxa"/>
            </w:tcMar>
            <w:vAlign w:val="bottom"/>
          </w:tcPr>
          <w:p w14:paraId="39D98E3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E40"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E41"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E42" w14:textId="77777777" w:rsidR="00996AD7" w:rsidRDefault="00D96458">
            <w:pPr>
              <w:jc w:val="right"/>
              <w:textAlignment w:val="bottom"/>
            </w:pPr>
            <w:r>
              <w:rPr>
                <w:rFonts w:ascii="Arial" w:eastAsia="宋体" w:hAnsi="Arial" w:cs="Arial"/>
                <w:color w:val="262626"/>
                <w:sz w:val="18"/>
                <w:szCs w:val="18"/>
              </w:rPr>
              <w:t>996 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E43" w14:textId="77777777" w:rsidR="00996AD7" w:rsidRDefault="00996AD7">
            <w:pPr>
              <w:jc w:val="right"/>
              <w:rPr>
                <w:rFonts w:ascii="宋体"/>
              </w:rPr>
            </w:pPr>
          </w:p>
        </w:tc>
        <w:tc>
          <w:tcPr>
            <w:tcW w:w="0" w:type="auto"/>
            <w:gridSpan w:val="3"/>
            <w:shd w:val="clear" w:color="auto" w:fill="auto"/>
            <w:vAlign w:val="bottom"/>
          </w:tcPr>
          <w:p w14:paraId="39D98E44" w14:textId="77777777" w:rsidR="00996AD7" w:rsidRDefault="00996AD7">
            <w:pPr>
              <w:rPr>
                <w:rFonts w:ascii="宋体"/>
                <w:vanish/>
              </w:rPr>
            </w:pPr>
          </w:p>
        </w:tc>
        <w:tc>
          <w:tcPr>
            <w:tcW w:w="0" w:type="auto"/>
            <w:gridSpan w:val="3"/>
            <w:shd w:val="clear" w:color="auto" w:fill="auto"/>
            <w:vAlign w:val="bottom"/>
          </w:tcPr>
          <w:p w14:paraId="39D98E45" w14:textId="77777777" w:rsidR="00996AD7" w:rsidRDefault="00996AD7">
            <w:pPr>
              <w:rPr>
                <w:rFonts w:ascii="宋体"/>
                <w:vanish/>
              </w:rPr>
            </w:pPr>
          </w:p>
        </w:tc>
        <w:tc>
          <w:tcPr>
            <w:tcW w:w="0" w:type="auto"/>
            <w:gridSpan w:val="3"/>
            <w:shd w:val="clear" w:color="auto" w:fill="auto"/>
            <w:vAlign w:val="bottom"/>
          </w:tcPr>
          <w:p w14:paraId="39D98E46" w14:textId="77777777" w:rsidR="00996AD7" w:rsidRDefault="00996AD7">
            <w:pPr>
              <w:rPr>
                <w:rFonts w:ascii="宋体"/>
                <w:vanish/>
              </w:rPr>
            </w:pPr>
          </w:p>
        </w:tc>
        <w:tc>
          <w:tcPr>
            <w:tcW w:w="0" w:type="auto"/>
            <w:gridSpan w:val="3"/>
            <w:shd w:val="clear" w:color="auto" w:fill="auto"/>
            <w:vAlign w:val="bottom"/>
          </w:tcPr>
          <w:p w14:paraId="39D98E47" w14:textId="77777777" w:rsidR="00996AD7" w:rsidRDefault="00996AD7">
            <w:pPr>
              <w:rPr>
                <w:rFonts w:ascii="宋体"/>
                <w:vanish/>
              </w:rPr>
            </w:pPr>
          </w:p>
        </w:tc>
      </w:tr>
      <w:tr w:rsidR="00996AD7" w14:paraId="39D98E5A" w14:textId="77777777">
        <w:tc>
          <w:tcPr>
            <w:tcW w:w="0" w:type="auto"/>
            <w:gridSpan w:val="3"/>
            <w:shd w:val="clear" w:color="auto" w:fill="auto"/>
            <w:tcMar>
              <w:top w:w="40" w:type="dxa"/>
              <w:left w:w="20" w:type="dxa"/>
              <w:bottom w:w="40" w:type="dxa"/>
              <w:right w:w="20" w:type="dxa"/>
            </w:tcMar>
            <w:vAlign w:val="bottom"/>
          </w:tcPr>
          <w:p w14:paraId="39D98E49" w14:textId="77777777" w:rsidR="00996AD7" w:rsidRDefault="00D96458">
            <w:pPr>
              <w:textAlignment w:val="bottom"/>
            </w:pPr>
            <w:r>
              <w:rPr>
                <w:rFonts w:ascii="Arial" w:eastAsia="宋体" w:hAnsi="Arial" w:cs="Arial"/>
                <w:color w:val="262626"/>
                <w:sz w:val="18"/>
                <w:szCs w:val="18"/>
              </w:rPr>
              <w:t>Hedged items</w:t>
            </w:r>
          </w:p>
        </w:tc>
        <w:tc>
          <w:tcPr>
            <w:tcW w:w="0" w:type="auto"/>
            <w:gridSpan w:val="3"/>
            <w:shd w:val="clear" w:color="auto" w:fill="auto"/>
            <w:tcMar>
              <w:top w:w="0" w:type="dxa"/>
              <w:left w:w="20" w:type="dxa"/>
              <w:bottom w:w="0" w:type="dxa"/>
              <w:right w:w="20" w:type="dxa"/>
            </w:tcMar>
            <w:vAlign w:val="bottom"/>
          </w:tcPr>
          <w:p w14:paraId="39D98E4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E4B" w14:textId="77777777" w:rsidR="00996AD7" w:rsidRDefault="00D96458">
            <w:pPr>
              <w:jc w:val="right"/>
              <w:textAlignment w:val="bottom"/>
            </w:pPr>
            <w:r>
              <w:rPr>
                <w:rFonts w:ascii="Arial" w:eastAsia="宋体" w:hAnsi="Arial" w:cs="Arial"/>
                <w:color w:val="0068B5"/>
                <w:sz w:val="18"/>
                <w:szCs w:val="18"/>
              </w:rPr>
              <w:t>55 </w:t>
            </w:r>
          </w:p>
        </w:tc>
        <w:tc>
          <w:tcPr>
            <w:tcW w:w="0" w:type="auto"/>
            <w:shd w:val="clear" w:color="auto" w:fill="auto"/>
            <w:tcMar>
              <w:top w:w="40" w:type="dxa"/>
              <w:left w:w="0" w:type="dxa"/>
              <w:bottom w:w="40" w:type="dxa"/>
              <w:right w:w="20" w:type="dxa"/>
            </w:tcMar>
            <w:vAlign w:val="bottom"/>
          </w:tcPr>
          <w:p w14:paraId="39D98E4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E4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E4E" w14:textId="77777777" w:rsidR="00996AD7" w:rsidRDefault="00D96458">
            <w:pPr>
              <w:jc w:val="right"/>
              <w:textAlignment w:val="bottom"/>
            </w:pPr>
            <w:r>
              <w:rPr>
                <w:rFonts w:ascii="Arial" w:eastAsia="宋体" w:hAnsi="Arial" w:cs="Arial"/>
                <w:color w:val="262626"/>
                <w:sz w:val="18"/>
                <w:szCs w:val="18"/>
              </w:rPr>
              <w:t>36 </w:t>
            </w:r>
          </w:p>
        </w:tc>
        <w:tc>
          <w:tcPr>
            <w:tcW w:w="0" w:type="auto"/>
            <w:shd w:val="clear" w:color="auto" w:fill="auto"/>
            <w:tcMar>
              <w:top w:w="40" w:type="dxa"/>
              <w:left w:w="0" w:type="dxa"/>
              <w:bottom w:w="40" w:type="dxa"/>
              <w:right w:w="20" w:type="dxa"/>
            </w:tcMar>
            <w:vAlign w:val="bottom"/>
          </w:tcPr>
          <w:p w14:paraId="39D98E4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E5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E51" w14:textId="77777777" w:rsidR="00996AD7" w:rsidRDefault="00D96458">
            <w:pPr>
              <w:jc w:val="right"/>
              <w:textAlignment w:val="bottom"/>
            </w:pPr>
            <w:r>
              <w:rPr>
                <w:rFonts w:ascii="Arial" w:eastAsia="宋体" w:hAnsi="Arial" w:cs="Arial"/>
                <w:color w:val="0068B5"/>
                <w:sz w:val="18"/>
                <w:szCs w:val="18"/>
              </w:rPr>
              <w:t>532 </w:t>
            </w:r>
          </w:p>
        </w:tc>
        <w:tc>
          <w:tcPr>
            <w:tcW w:w="0" w:type="auto"/>
            <w:shd w:val="clear" w:color="auto" w:fill="auto"/>
            <w:tcMar>
              <w:top w:w="40" w:type="dxa"/>
              <w:left w:w="0" w:type="dxa"/>
              <w:bottom w:w="40" w:type="dxa"/>
              <w:right w:w="20" w:type="dxa"/>
            </w:tcMar>
            <w:vAlign w:val="bottom"/>
          </w:tcPr>
          <w:p w14:paraId="39D98E5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E5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E54" w14:textId="77777777" w:rsidR="00996AD7" w:rsidRDefault="00D96458">
            <w:pPr>
              <w:jc w:val="right"/>
              <w:textAlignment w:val="bottom"/>
            </w:pPr>
            <w:r>
              <w:rPr>
                <w:rFonts w:ascii="Arial" w:eastAsia="宋体" w:hAnsi="Arial" w:cs="Arial"/>
                <w:color w:val="262626"/>
                <w:sz w:val="18"/>
                <w:szCs w:val="18"/>
              </w:rPr>
              <w:t>(996)</w:t>
            </w:r>
          </w:p>
        </w:tc>
        <w:tc>
          <w:tcPr>
            <w:tcW w:w="0" w:type="auto"/>
            <w:shd w:val="clear" w:color="auto" w:fill="auto"/>
            <w:tcMar>
              <w:top w:w="40" w:type="dxa"/>
              <w:left w:w="0" w:type="dxa"/>
              <w:bottom w:w="40" w:type="dxa"/>
              <w:right w:w="20" w:type="dxa"/>
            </w:tcMar>
            <w:vAlign w:val="bottom"/>
          </w:tcPr>
          <w:p w14:paraId="39D98E55" w14:textId="77777777" w:rsidR="00996AD7" w:rsidRDefault="00996AD7">
            <w:pPr>
              <w:jc w:val="right"/>
              <w:rPr>
                <w:rFonts w:ascii="宋体"/>
              </w:rPr>
            </w:pPr>
          </w:p>
        </w:tc>
        <w:tc>
          <w:tcPr>
            <w:tcW w:w="0" w:type="auto"/>
            <w:gridSpan w:val="3"/>
            <w:shd w:val="clear" w:color="auto" w:fill="auto"/>
            <w:vAlign w:val="bottom"/>
          </w:tcPr>
          <w:p w14:paraId="39D98E56" w14:textId="77777777" w:rsidR="00996AD7" w:rsidRDefault="00996AD7">
            <w:pPr>
              <w:rPr>
                <w:rFonts w:ascii="宋体"/>
                <w:vanish/>
              </w:rPr>
            </w:pPr>
          </w:p>
        </w:tc>
        <w:tc>
          <w:tcPr>
            <w:tcW w:w="0" w:type="auto"/>
            <w:gridSpan w:val="3"/>
            <w:shd w:val="clear" w:color="auto" w:fill="auto"/>
            <w:vAlign w:val="bottom"/>
          </w:tcPr>
          <w:p w14:paraId="39D98E57" w14:textId="77777777" w:rsidR="00996AD7" w:rsidRDefault="00996AD7">
            <w:pPr>
              <w:rPr>
                <w:rFonts w:ascii="宋体"/>
                <w:vanish/>
              </w:rPr>
            </w:pPr>
          </w:p>
        </w:tc>
        <w:tc>
          <w:tcPr>
            <w:tcW w:w="0" w:type="auto"/>
            <w:gridSpan w:val="3"/>
            <w:shd w:val="clear" w:color="auto" w:fill="auto"/>
            <w:vAlign w:val="bottom"/>
          </w:tcPr>
          <w:p w14:paraId="39D98E58" w14:textId="77777777" w:rsidR="00996AD7" w:rsidRDefault="00996AD7">
            <w:pPr>
              <w:rPr>
                <w:rFonts w:ascii="宋体"/>
                <w:vanish/>
              </w:rPr>
            </w:pPr>
          </w:p>
        </w:tc>
        <w:tc>
          <w:tcPr>
            <w:tcW w:w="0" w:type="auto"/>
            <w:gridSpan w:val="3"/>
            <w:shd w:val="clear" w:color="auto" w:fill="auto"/>
            <w:vAlign w:val="bottom"/>
          </w:tcPr>
          <w:p w14:paraId="39D98E59" w14:textId="77777777" w:rsidR="00996AD7" w:rsidRDefault="00996AD7">
            <w:pPr>
              <w:rPr>
                <w:rFonts w:ascii="宋体"/>
                <w:vanish/>
              </w:rPr>
            </w:pPr>
          </w:p>
        </w:tc>
      </w:tr>
      <w:tr w:rsidR="00996AD7" w14:paraId="39D98E70" w14:textId="77777777">
        <w:tc>
          <w:tcPr>
            <w:tcW w:w="0" w:type="auto"/>
            <w:gridSpan w:val="3"/>
            <w:shd w:val="clear" w:color="auto" w:fill="auto"/>
            <w:tcMar>
              <w:top w:w="40" w:type="dxa"/>
              <w:left w:w="20" w:type="dxa"/>
              <w:bottom w:w="40" w:type="dxa"/>
              <w:right w:w="20" w:type="dxa"/>
            </w:tcMar>
          </w:tcPr>
          <w:p w14:paraId="39D98E5B" w14:textId="77777777" w:rsidR="00996AD7" w:rsidRDefault="00D9645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39D98E5C"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E5D"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E5E" w14:textId="77777777" w:rsidR="00996AD7" w:rsidRDefault="00D9645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E5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E60"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E61"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E62" w14:textId="77777777" w:rsidR="00996AD7" w:rsidRDefault="00D9645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E6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E64"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E65"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E66" w14:textId="77777777" w:rsidR="00996AD7" w:rsidRDefault="00D9645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E6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E68"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E69"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E6A" w14:textId="77777777" w:rsidR="00996AD7" w:rsidRDefault="00D9645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E6B" w14:textId="77777777" w:rsidR="00996AD7" w:rsidRDefault="00996AD7">
            <w:pPr>
              <w:jc w:val="right"/>
              <w:rPr>
                <w:rFonts w:ascii="宋体"/>
              </w:rPr>
            </w:pPr>
          </w:p>
        </w:tc>
        <w:tc>
          <w:tcPr>
            <w:tcW w:w="0" w:type="auto"/>
            <w:gridSpan w:val="3"/>
            <w:shd w:val="clear" w:color="auto" w:fill="auto"/>
            <w:vAlign w:val="bottom"/>
          </w:tcPr>
          <w:p w14:paraId="39D98E6C" w14:textId="77777777" w:rsidR="00996AD7" w:rsidRDefault="00996AD7">
            <w:pPr>
              <w:rPr>
                <w:rFonts w:ascii="宋体"/>
                <w:vanish/>
              </w:rPr>
            </w:pPr>
          </w:p>
        </w:tc>
        <w:tc>
          <w:tcPr>
            <w:tcW w:w="0" w:type="auto"/>
            <w:gridSpan w:val="3"/>
            <w:shd w:val="clear" w:color="auto" w:fill="auto"/>
            <w:vAlign w:val="bottom"/>
          </w:tcPr>
          <w:p w14:paraId="39D98E6D" w14:textId="77777777" w:rsidR="00996AD7" w:rsidRDefault="00996AD7">
            <w:pPr>
              <w:rPr>
                <w:rFonts w:ascii="宋体"/>
                <w:vanish/>
              </w:rPr>
            </w:pPr>
          </w:p>
        </w:tc>
        <w:tc>
          <w:tcPr>
            <w:tcW w:w="0" w:type="auto"/>
            <w:gridSpan w:val="3"/>
            <w:shd w:val="clear" w:color="auto" w:fill="auto"/>
            <w:vAlign w:val="bottom"/>
          </w:tcPr>
          <w:p w14:paraId="39D98E6E" w14:textId="77777777" w:rsidR="00996AD7" w:rsidRDefault="00996AD7">
            <w:pPr>
              <w:rPr>
                <w:rFonts w:ascii="宋体"/>
                <w:vanish/>
              </w:rPr>
            </w:pPr>
          </w:p>
        </w:tc>
        <w:tc>
          <w:tcPr>
            <w:tcW w:w="0" w:type="auto"/>
            <w:gridSpan w:val="3"/>
            <w:shd w:val="clear" w:color="auto" w:fill="auto"/>
            <w:vAlign w:val="bottom"/>
          </w:tcPr>
          <w:p w14:paraId="39D98E6F" w14:textId="77777777" w:rsidR="00996AD7" w:rsidRDefault="00996AD7">
            <w:pPr>
              <w:rPr>
                <w:rFonts w:ascii="宋体"/>
                <w:vanish/>
              </w:rPr>
            </w:pPr>
          </w:p>
        </w:tc>
      </w:tr>
    </w:tbl>
    <w:p w14:paraId="39D98E71" w14:textId="77777777" w:rsidR="00996AD7" w:rsidRDefault="00D96458">
      <w:pPr>
        <w:spacing w:after="120"/>
      </w:pPr>
      <w:r>
        <w:rPr>
          <w:rFonts w:ascii="Arial" w:eastAsia="宋体" w:hAnsi="Arial" w:cs="Arial"/>
          <w:color w:val="262626"/>
          <w:sz w:val="18"/>
          <w:szCs w:val="18"/>
        </w:rPr>
        <w:t>The amounts recorded on the Consolidated Condensed Balance Sheets re</w:t>
      </w:r>
      <w:r>
        <w:rPr>
          <w:rFonts w:ascii="Arial" w:eastAsia="宋体" w:hAnsi="Arial" w:cs="Arial"/>
          <w:color w:val="262626"/>
          <w:sz w:val="18"/>
          <w:szCs w:val="18"/>
        </w:rPr>
        <w:t>lated to cumulative basis adjustments for fair value hedges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978"/>
        <w:gridCol w:w="36"/>
        <w:gridCol w:w="36"/>
        <w:gridCol w:w="36"/>
        <w:gridCol w:w="36"/>
        <w:gridCol w:w="121"/>
        <w:gridCol w:w="795"/>
        <w:gridCol w:w="36"/>
        <w:gridCol w:w="36"/>
        <w:gridCol w:w="36"/>
        <w:gridCol w:w="36"/>
        <w:gridCol w:w="121"/>
        <w:gridCol w:w="797"/>
        <w:gridCol w:w="36"/>
        <w:gridCol w:w="36"/>
        <w:gridCol w:w="36"/>
        <w:gridCol w:w="36"/>
        <w:gridCol w:w="122"/>
        <w:gridCol w:w="797"/>
        <w:gridCol w:w="37"/>
        <w:gridCol w:w="37"/>
        <w:gridCol w:w="37"/>
        <w:gridCol w:w="36"/>
        <w:gridCol w:w="121"/>
        <w:gridCol w:w="796"/>
        <w:gridCol w:w="36"/>
        <w:gridCol w:w="36"/>
      </w:tblGrid>
      <w:tr w:rsidR="00996AD7" w14:paraId="39D98E8E" w14:textId="77777777">
        <w:tc>
          <w:tcPr>
            <w:tcW w:w="50" w:type="pct"/>
            <w:shd w:val="clear" w:color="auto" w:fill="auto"/>
            <w:vAlign w:val="bottom"/>
          </w:tcPr>
          <w:p w14:paraId="39D98E72" w14:textId="77777777" w:rsidR="00996AD7" w:rsidRDefault="00996AD7">
            <w:pPr>
              <w:rPr>
                <w:rFonts w:ascii="宋体"/>
              </w:rPr>
            </w:pPr>
          </w:p>
        </w:tc>
        <w:tc>
          <w:tcPr>
            <w:tcW w:w="2431" w:type="pct"/>
            <w:shd w:val="clear" w:color="auto" w:fill="auto"/>
            <w:vAlign w:val="bottom"/>
          </w:tcPr>
          <w:p w14:paraId="39D98E73" w14:textId="77777777" w:rsidR="00996AD7" w:rsidRDefault="00996AD7">
            <w:pPr>
              <w:rPr>
                <w:rFonts w:ascii="宋体"/>
              </w:rPr>
            </w:pPr>
          </w:p>
        </w:tc>
        <w:tc>
          <w:tcPr>
            <w:tcW w:w="5" w:type="pct"/>
            <w:shd w:val="clear" w:color="auto" w:fill="auto"/>
            <w:vAlign w:val="bottom"/>
          </w:tcPr>
          <w:p w14:paraId="39D98E74" w14:textId="77777777" w:rsidR="00996AD7" w:rsidRDefault="00996AD7">
            <w:pPr>
              <w:rPr>
                <w:rFonts w:ascii="宋体"/>
              </w:rPr>
            </w:pPr>
          </w:p>
        </w:tc>
        <w:tc>
          <w:tcPr>
            <w:tcW w:w="5" w:type="pct"/>
            <w:shd w:val="clear" w:color="auto" w:fill="auto"/>
            <w:vAlign w:val="bottom"/>
          </w:tcPr>
          <w:p w14:paraId="39D98E75" w14:textId="77777777" w:rsidR="00996AD7" w:rsidRDefault="00996AD7">
            <w:pPr>
              <w:rPr>
                <w:rFonts w:ascii="宋体"/>
              </w:rPr>
            </w:pPr>
          </w:p>
        </w:tc>
        <w:tc>
          <w:tcPr>
            <w:tcW w:w="24" w:type="pct"/>
            <w:shd w:val="clear" w:color="auto" w:fill="auto"/>
            <w:vAlign w:val="bottom"/>
          </w:tcPr>
          <w:p w14:paraId="39D98E76" w14:textId="77777777" w:rsidR="00996AD7" w:rsidRDefault="00996AD7">
            <w:pPr>
              <w:rPr>
                <w:rFonts w:ascii="宋体"/>
              </w:rPr>
            </w:pPr>
          </w:p>
        </w:tc>
        <w:tc>
          <w:tcPr>
            <w:tcW w:w="5" w:type="pct"/>
            <w:shd w:val="clear" w:color="auto" w:fill="auto"/>
            <w:vAlign w:val="bottom"/>
          </w:tcPr>
          <w:p w14:paraId="39D98E77" w14:textId="77777777" w:rsidR="00996AD7" w:rsidRDefault="00996AD7">
            <w:pPr>
              <w:rPr>
                <w:rFonts w:ascii="宋体"/>
              </w:rPr>
            </w:pPr>
          </w:p>
        </w:tc>
        <w:tc>
          <w:tcPr>
            <w:tcW w:w="50" w:type="pct"/>
            <w:shd w:val="clear" w:color="auto" w:fill="auto"/>
            <w:vAlign w:val="bottom"/>
          </w:tcPr>
          <w:p w14:paraId="39D98E78" w14:textId="77777777" w:rsidR="00996AD7" w:rsidRDefault="00996AD7">
            <w:pPr>
              <w:rPr>
                <w:rFonts w:ascii="宋体"/>
              </w:rPr>
            </w:pPr>
          </w:p>
        </w:tc>
        <w:tc>
          <w:tcPr>
            <w:tcW w:w="539" w:type="pct"/>
            <w:shd w:val="clear" w:color="auto" w:fill="auto"/>
            <w:vAlign w:val="bottom"/>
          </w:tcPr>
          <w:p w14:paraId="39D98E79" w14:textId="77777777" w:rsidR="00996AD7" w:rsidRDefault="00996AD7">
            <w:pPr>
              <w:rPr>
                <w:rFonts w:ascii="宋体"/>
              </w:rPr>
            </w:pPr>
          </w:p>
        </w:tc>
        <w:tc>
          <w:tcPr>
            <w:tcW w:w="5" w:type="pct"/>
            <w:shd w:val="clear" w:color="auto" w:fill="auto"/>
            <w:vAlign w:val="bottom"/>
          </w:tcPr>
          <w:p w14:paraId="39D98E7A" w14:textId="77777777" w:rsidR="00996AD7" w:rsidRDefault="00996AD7">
            <w:pPr>
              <w:rPr>
                <w:rFonts w:ascii="宋体"/>
              </w:rPr>
            </w:pPr>
          </w:p>
        </w:tc>
        <w:tc>
          <w:tcPr>
            <w:tcW w:w="5" w:type="pct"/>
            <w:shd w:val="clear" w:color="auto" w:fill="auto"/>
            <w:vAlign w:val="bottom"/>
          </w:tcPr>
          <w:p w14:paraId="39D98E7B" w14:textId="77777777" w:rsidR="00996AD7" w:rsidRDefault="00996AD7">
            <w:pPr>
              <w:rPr>
                <w:rFonts w:ascii="宋体"/>
              </w:rPr>
            </w:pPr>
          </w:p>
        </w:tc>
        <w:tc>
          <w:tcPr>
            <w:tcW w:w="24" w:type="pct"/>
            <w:shd w:val="clear" w:color="auto" w:fill="auto"/>
            <w:vAlign w:val="bottom"/>
          </w:tcPr>
          <w:p w14:paraId="39D98E7C" w14:textId="77777777" w:rsidR="00996AD7" w:rsidRDefault="00996AD7">
            <w:pPr>
              <w:rPr>
                <w:rFonts w:ascii="宋体"/>
              </w:rPr>
            </w:pPr>
          </w:p>
        </w:tc>
        <w:tc>
          <w:tcPr>
            <w:tcW w:w="5" w:type="pct"/>
            <w:shd w:val="clear" w:color="auto" w:fill="auto"/>
            <w:vAlign w:val="bottom"/>
          </w:tcPr>
          <w:p w14:paraId="39D98E7D" w14:textId="77777777" w:rsidR="00996AD7" w:rsidRDefault="00996AD7">
            <w:pPr>
              <w:rPr>
                <w:rFonts w:ascii="宋体"/>
              </w:rPr>
            </w:pPr>
          </w:p>
        </w:tc>
        <w:tc>
          <w:tcPr>
            <w:tcW w:w="50" w:type="pct"/>
            <w:shd w:val="clear" w:color="auto" w:fill="auto"/>
            <w:vAlign w:val="bottom"/>
          </w:tcPr>
          <w:p w14:paraId="39D98E7E" w14:textId="77777777" w:rsidR="00996AD7" w:rsidRDefault="00996AD7">
            <w:pPr>
              <w:rPr>
                <w:rFonts w:ascii="宋体"/>
              </w:rPr>
            </w:pPr>
          </w:p>
        </w:tc>
        <w:tc>
          <w:tcPr>
            <w:tcW w:w="539" w:type="pct"/>
            <w:shd w:val="clear" w:color="auto" w:fill="auto"/>
            <w:vAlign w:val="bottom"/>
          </w:tcPr>
          <w:p w14:paraId="39D98E7F" w14:textId="77777777" w:rsidR="00996AD7" w:rsidRDefault="00996AD7">
            <w:pPr>
              <w:rPr>
                <w:rFonts w:ascii="宋体"/>
              </w:rPr>
            </w:pPr>
          </w:p>
        </w:tc>
        <w:tc>
          <w:tcPr>
            <w:tcW w:w="5" w:type="pct"/>
            <w:shd w:val="clear" w:color="auto" w:fill="auto"/>
            <w:vAlign w:val="bottom"/>
          </w:tcPr>
          <w:p w14:paraId="39D98E80" w14:textId="77777777" w:rsidR="00996AD7" w:rsidRDefault="00996AD7">
            <w:pPr>
              <w:rPr>
                <w:rFonts w:ascii="宋体"/>
              </w:rPr>
            </w:pPr>
          </w:p>
        </w:tc>
        <w:tc>
          <w:tcPr>
            <w:tcW w:w="5" w:type="pct"/>
            <w:shd w:val="clear" w:color="auto" w:fill="auto"/>
            <w:vAlign w:val="bottom"/>
          </w:tcPr>
          <w:p w14:paraId="39D98E81" w14:textId="77777777" w:rsidR="00996AD7" w:rsidRDefault="00996AD7">
            <w:pPr>
              <w:rPr>
                <w:rFonts w:ascii="宋体"/>
              </w:rPr>
            </w:pPr>
          </w:p>
        </w:tc>
        <w:tc>
          <w:tcPr>
            <w:tcW w:w="24" w:type="pct"/>
            <w:shd w:val="clear" w:color="auto" w:fill="auto"/>
            <w:vAlign w:val="bottom"/>
          </w:tcPr>
          <w:p w14:paraId="39D98E82" w14:textId="77777777" w:rsidR="00996AD7" w:rsidRDefault="00996AD7">
            <w:pPr>
              <w:rPr>
                <w:rFonts w:ascii="宋体"/>
              </w:rPr>
            </w:pPr>
          </w:p>
        </w:tc>
        <w:tc>
          <w:tcPr>
            <w:tcW w:w="5" w:type="pct"/>
            <w:shd w:val="clear" w:color="auto" w:fill="auto"/>
            <w:vAlign w:val="bottom"/>
          </w:tcPr>
          <w:p w14:paraId="39D98E83" w14:textId="77777777" w:rsidR="00996AD7" w:rsidRDefault="00996AD7">
            <w:pPr>
              <w:rPr>
                <w:rFonts w:ascii="宋体"/>
              </w:rPr>
            </w:pPr>
          </w:p>
        </w:tc>
        <w:tc>
          <w:tcPr>
            <w:tcW w:w="50" w:type="pct"/>
            <w:shd w:val="clear" w:color="auto" w:fill="auto"/>
            <w:vAlign w:val="bottom"/>
          </w:tcPr>
          <w:p w14:paraId="39D98E84" w14:textId="77777777" w:rsidR="00996AD7" w:rsidRDefault="00996AD7">
            <w:pPr>
              <w:rPr>
                <w:rFonts w:ascii="宋体"/>
              </w:rPr>
            </w:pPr>
          </w:p>
        </w:tc>
        <w:tc>
          <w:tcPr>
            <w:tcW w:w="539" w:type="pct"/>
            <w:shd w:val="clear" w:color="auto" w:fill="auto"/>
            <w:vAlign w:val="bottom"/>
          </w:tcPr>
          <w:p w14:paraId="39D98E85" w14:textId="77777777" w:rsidR="00996AD7" w:rsidRDefault="00996AD7">
            <w:pPr>
              <w:rPr>
                <w:rFonts w:ascii="宋体"/>
              </w:rPr>
            </w:pPr>
          </w:p>
        </w:tc>
        <w:tc>
          <w:tcPr>
            <w:tcW w:w="5" w:type="pct"/>
            <w:shd w:val="clear" w:color="auto" w:fill="auto"/>
            <w:vAlign w:val="bottom"/>
          </w:tcPr>
          <w:p w14:paraId="39D98E86" w14:textId="77777777" w:rsidR="00996AD7" w:rsidRDefault="00996AD7">
            <w:pPr>
              <w:rPr>
                <w:rFonts w:ascii="宋体"/>
              </w:rPr>
            </w:pPr>
          </w:p>
        </w:tc>
        <w:tc>
          <w:tcPr>
            <w:tcW w:w="5" w:type="pct"/>
            <w:shd w:val="clear" w:color="auto" w:fill="auto"/>
            <w:vAlign w:val="bottom"/>
          </w:tcPr>
          <w:p w14:paraId="39D98E87" w14:textId="77777777" w:rsidR="00996AD7" w:rsidRDefault="00996AD7">
            <w:pPr>
              <w:rPr>
                <w:rFonts w:ascii="宋体"/>
              </w:rPr>
            </w:pPr>
          </w:p>
        </w:tc>
        <w:tc>
          <w:tcPr>
            <w:tcW w:w="24" w:type="pct"/>
            <w:shd w:val="clear" w:color="auto" w:fill="auto"/>
            <w:vAlign w:val="bottom"/>
          </w:tcPr>
          <w:p w14:paraId="39D98E88" w14:textId="77777777" w:rsidR="00996AD7" w:rsidRDefault="00996AD7">
            <w:pPr>
              <w:rPr>
                <w:rFonts w:ascii="宋体"/>
              </w:rPr>
            </w:pPr>
          </w:p>
        </w:tc>
        <w:tc>
          <w:tcPr>
            <w:tcW w:w="5" w:type="pct"/>
            <w:shd w:val="clear" w:color="auto" w:fill="auto"/>
            <w:vAlign w:val="bottom"/>
          </w:tcPr>
          <w:p w14:paraId="39D98E89" w14:textId="77777777" w:rsidR="00996AD7" w:rsidRDefault="00996AD7">
            <w:pPr>
              <w:rPr>
                <w:rFonts w:ascii="宋体"/>
              </w:rPr>
            </w:pPr>
          </w:p>
        </w:tc>
        <w:tc>
          <w:tcPr>
            <w:tcW w:w="50" w:type="pct"/>
            <w:shd w:val="clear" w:color="auto" w:fill="auto"/>
            <w:vAlign w:val="bottom"/>
          </w:tcPr>
          <w:p w14:paraId="39D98E8A" w14:textId="77777777" w:rsidR="00996AD7" w:rsidRDefault="00996AD7">
            <w:pPr>
              <w:rPr>
                <w:rFonts w:ascii="宋体"/>
              </w:rPr>
            </w:pPr>
          </w:p>
        </w:tc>
        <w:tc>
          <w:tcPr>
            <w:tcW w:w="539" w:type="pct"/>
            <w:shd w:val="clear" w:color="auto" w:fill="auto"/>
            <w:vAlign w:val="bottom"/>
          </w:tcPr>
          <w:p w14:paraId="39D98E8B" w14:textId="77777777" w:rsidR="00996AD7" w:rsidRDefault="00996AD7">
            <w:pPr>
              <w:rPr>
                <w:rFonts w:ascii="宋体"/>
              </w:rPr>
            </w:pPr>
          </w:p>
        </w:tc>
        <w:tc>
          <w:tcPr>
            <w:tcW w:w="5" w:type="pct"/>
            <w:shd w:val="clear" w:color="auto" w:fill="auto"/>
            <w:vAlign w:val="bottom"/>
          </w:tcPr>
          <w:p w14:paraId="39D98E8C" w14:textId="77777777" w:rsidR="00996AD7" w:rsidRDefault="00996AD7">
            <w:pPr>
              <w:rPr>
                <w:rFonts w:ascii="宋体"/>
              </w:rPr>
            </w:pPr>
          </w:p>
        </w:tc>
        <w:tc>
          <w:tcPr>
            <w:tcW w:w="0" w:type="auto"/>
            <w:shd w:val="clear" w:color="auto" w:fill="auto"/>
            <w:vAlign w:val="bottom"/>
          </w:tcPr>
          <w:p w14:paraId="39D98E8D" w14:textId="77777777" w:rsidR="00996AD7" w:rsidRDefault="00996AD7">
            <w:pPr>
              <w:rPr>
                <w:rFonts w:ascii="宋体"/>
                <w:vanish/>
              </w:rPr>
            </w:pPr>
          </w:p>
        </w:tc>
      </w:tr>
      <w:tr w:rsidR="00996AD7" w14:paraId="39D98E95" w14:textId="77777777">
        <w:tc>
          <w:tcPr>
            <w:tcW w:w="0" w:type="auto"/>
            <w:gridSpan w:val="3"/>
            <w:shd w:val="clear" w:color="auto" w:fill="auto"/>
            <w:tcMar>
              <w:top w:w="40" w:type="dxa"/>
              <w:left w:w="20" w:type="dxa"/>
              <w:bottom w:w="40" w:type="dxa"/>
              <w:right w:w="20" w:type="dxa"/>
            </w:tcMar>
            <w:vAlign w:val="bottom"/>
          </w:tcPr>
          <w:p w14:paraId="39D98E8F" w14:textId="77777777" w:rsidR="00996AD7" w:rsidRDefault="00D96458">
            <w:pPr>
              <w:textAlignment w:val="bottom"/>
            </w:pPr>
            <w:r>
              <w:rPr>
                <w:rFonts w:ascii="Arial" w:eastAsia="宋体" w:hAnsi="Arial" w:cs="Arial"/>
                <w:b/>
                <w:bCs/>
                <w:color w:val="262626"/>
                <w:sz w:val="18"/>
                <w:szCs w:val="18"/>
              </w:rPr>
              <w:t>Line Item in the Consolidated Condensed Balance Sheet in Which the Hedged Item is Included</w:t>
            </w:r>
          </w:p>
        </w:tc>
        <w:tc>
          <w:tcPr>
            <w:tcW w:w="0" w:type="auto"/>
            <w:gridSpan w:val="3"/>
            <w:shd w:val="clear" w:color="auto" w:fill="auto"/>
            <w:tcMar>
              <w:top w:w="0" w:type="dxa"/>
              <w:left w:w="20" w:type="dxa"/>
              <w:bottom w:w="0" w:type="dxa"/>
              <w:right w:w="20" w:type="dxa"/>
            </w:tcMar>
            <w:vAlign w:val="bottom"/>
          </w:tcPr>
          <w:p w14:paraId="39D98E90"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E91" w14:textId="77777777" w:rsidR="00996AD7" w:rsidRDefault="00D96458">
            <w:pPr>
              <w:jc w:val="center"/>
              <w:textAlignment w:val="bottom"/>
            </w:pPr>
            <w:r>
              <w:rPr>
                <w:rFonts w:ascii="Arial" w:eastAsia="宋体" w:hAnsi="Arial" w:cs="Arial"/>
                <w:b/>
                <w:bCs/>
                <w:color w:val="262626"/>
                <w:sz w:val="18"/>
                <w:szCs w:val="18"/>
              </w:rPr>
              <w:t>Carrying Amount of the Hedged Item Asset/(Liabilities)</w:t>
            </w:r>
          </w:p>
        </w:tc>
        <w:tc>
          <w:tcPr>
            <w:tcW w:w="0" w:type="auto"/>
            <w:gridSpan w:val="3"/>
            <w:shd w:val="clear" w:color="auto" w:fill="auto"/>
            <w:tcMar>
              <w:top w:w="0" w:type="dxa"/>
              <w:left w:w="20" w:type="dxa"/>
              <w:bottom w:w="0" w:type="dxa"/>
              <w:right w:w="20" w:type="dxa"/>
            </w:tcMar>
            <w:vAlign w:val="bottom"/>
          </w:tcPr>
          <w:p w14:paraId="39D98E92"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E93" w14:textId="77777777" w:rsidR="00996AD7" w:rsidRDefault="00D96458">
            <w:pPr>
              <w:jc w:val="center"/>
              <w:textAlignment w:val="bottom"/>
            </w:pPr>
            <w:r>
              <w:rPr>
                <w:rFonts w:ascii="Arial" w:eastAsia="宋体" w:hAnsi="Arial" w:cs="Arial"/>
                <w:b/>
                <w:bCs/>
                <w:color w:val="262626"/>
                <w:sz w:val="18"/>
                <w:szCs w:val="18"/>
              </w:rPr>
              <w:t xml:space="preserve">Cumulative Amount of Fair Value Hedging </w:t>
            </w:r>
            <w:r>
              <w:rPr>
                <w:rFonts w:ascii="Arial" w:eastAsia="宋体" w:hAnsi="Arial" w:cs="Arial"/>
                <w:b/>
                <w:bCs/>
                <w:color w:val="262626"/>
                <w:sz w:val="18"/>
                <w:szCs w:val="18"/>
              </w:rPr>
              <w:t>Adjustment Included in the Carrying Amount Assets/(Liabilities)</w:t>
            </w:r>
          </w:p>
        </w:tc>
        <w:tc>
          <w:tcPr>
            <w:tcW w:w="0" w:type="auto"/>
            <w:shd w:val="clear" w:color="auto" w:fill="auto"/>
            <w:vAlign w:val="bottom"/>
          </w:tcPr>
          <w:p w14:paraId="39D98E94" w14:textId="77777777" w:rsidR="00996AD7" w:rsidRDefault="00996AD7">
            <w:pPr>
              <w:rPr>
                <w:rFonts w:ascii="宋体"/>
                <w:vanish/>
              </w:rPr>
            </w:pPr>
          </w:p>
        </w:tc>
      </w:tr>
      <w:tr w:rsidR="00996AD7" w14:paraId="39D98EA0" w14:textId="77777777">
        <w:tc>
          <w:tcPr>
            <w:tcW w:w="0" w:type="auto"/>
            <w:gridSpan w:val="3"/>
            <w:shd w:val="clear" w:color="auto" w:fill="auto"/>
            <w:tcMar>
              <w:top w:w="40" w:type="dxa"/>
              <w:left w:w="20" w:type="dxa"/>
              <w:bottom w:w="40" w:type="dxa"/>
              <w:right w:w="20" w:type="dxa"/>
            </w:tcMar>
            <w:vAlign w:val="bottom"/>
          </w:tcPr>
          <w:p w14:paraId="39D98E96"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E97"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E98"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E99"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E9A" w14:textId="77777777" w:rsidR="00996AD7" w:rsidRDefault="00D9645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39D98E9B"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E9C"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E9D"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E9E" w14:textId="77777777" w:rsidR="00996AD7" w:rsidRDefault="00D96458">
            <w:pPr>
              <w:jc w:val="center"/>
              <w:textAlignment w:val="bottom"/>
            </w:pPr>
            <w:r>
              <w:rPr>
                <w:rFonts w:ascii="Arial" w:eastAsia="宋体" w:hAnsi="Arial" w:cs="Arial"/>
                <w:b/>
                <w:bCs/>
                <w:color w:val="262626"/>
                <w:sz w:val="18"/>
                <w:szCs w:val="18"/>
              </w:rPr>
              <w:t>Dec 26, 2020</w:t>
            </w:r>
          </w:p>
        </w:tc>
        <w:tc>
          <w:tcPr>
            <w:tcW w:w="0" w:type="auto"/>
            <w:shd w:val="clear" w:color="auto" w:fill="auto"/>
            <w:vAlign w:val="bottom"/>
          </w:tcPr>
          <w:p w14:paraId="39D98E9F" w14:textId="77777777" w:rsidR="00996AD7" w:rsidRDefault="00996AD7">
            <w:pPr>
              <w:rPr>
                <w:rFonts w:ascii="宋体"/>
                <w:vanish/>
              </w:rPr>
            </w:pPr>
          </w:p>
        </w:tc>
      </w:tr>
      <w:tr w:rsidR="00996AD7" w14:paraId="39D98EB3"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8EA1" w14:textId="77777777" w:rsidR="00996AD7" w:rsidRDefault="00D96458">
            <w:pPr>
              <w:textAlignment w:val="top"/>
            </w:pPr>
            <w:r>
              <w:rPr>
                <w:rFonts w:ascii="Arial" w:eastAsia="宋体" w:hAnsi="Arial" w:cs="Arial"/>
                <w:color w:val="262626"/>
                <w:sz w:val="18"/>
                <w:szCs w:val="18"/>
              </w:rPr>
              <w:t>Long-term debt</w:t>
            </w:r>
          </w:p>
        </w:tc>
        <w:tc>
          <w:tcPr>
            <w:tcW w:w="0" w:type="auto"/>
            <w:gridSpan w:val="3"/>
            <w:shd w:val="clear" w:color="auto" w:fill="auto"/>
            <w:tcMar>
              <w:top w:w="0" w:type="dxa"/>
              <w:left w:w="20" w:type="dxa"/>
              <w:bottom w:w="0" w:type="dxa"/>
              <w:right w:w="20" w:type="dxa"/>
            </w:tcMar>
            <w:vAlign w:val="bottom"/>
          </w:tcPr>
          <w:p w14:paraId="39D98EA2"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EA3"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EA4" w14:textId="77777777" w:rsidR="00996AD7" w:rsidRDefault="00D96458">
            <w:pPr>
              <w:jc w:val="right"/>
              <w:textAlignment w:val="bottom"/>
            </w:pPr>
            <w:r>
              <w:rPr>
                <w:rFonts w:ascii="Arial" w:eastAsia="宋体" w:hAnsi="Arial" w:cs="Arial"/>
                <w:color w:val="0068B5"/>
                <w:sz w:val="18"/>
                <w:szCs w:val="18"/>
              </w:rPr>
              <w:t>(12,963)</w:t>
            </w:r>
          </w:p>
        </w:tc>
        <w:tc>
          <w:tcPr>
            <w:tcW w:w="0" w:type="auto"/>
            <w:tcBorders>
              <w:top w:val="single" w:sz="8" w:space="0" w:color="0068B5"/>
            </w:tcBorders>
            <w:shd w:val="clear" w:color="auto" w:fill="auto"/>
            <w:tcMar>
              <w:top w:w="40" w:type="dxa"/>
              <w:left w:w="0" w:type="dxa"/>
              <w:bottom w:w="40" w:type="dxa"/>
              <w:right w:w="20" w:type="dxa"/>
            </w:tcMar>
            <w:vAlign w:val="bottom"/>
          </w:tcPr>
          <w:p w14:paraId="39D98EA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EA6"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EA7"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EA8" w14:textId="77777777" w:rsidR="00996AD7" w:rsidRDefault="00D96458">
            <w:pPr>
              <w:jc w:val="right"/>
              <w:textAlignment w:val="bottom"/>
            </w:pPr>
            <w:r>
              <w:rPr>
                <w:rFonts w:ascii="Arial" w:eastAsia="宋体" w:hAnsi="Arial" w:cs="Arial"/>
                <w:color w:val="262626"/>
                <w:sz w:val="18"/>
                <w:szCs w:val="18"/>
              </w:rPr>
              <w:t>(13,495)</w:t>
            </w:r>
          </w:p>
        </w:tc>
        <w:tc>
          <w:tcPr>
            <w:tcW w:w="0" w:type="auto"/>
            <w:tcBorders>
              <w:top w:val="single" w:sz="8" w:space="0" w:color="0068B5"/>
            </w:tcBorders>
            <w:shd w:val="clear" w:color="auto" w:fill="auto"/>
            <w:tcMar>
              <w:top w:w="40" w:type="dxa"/>
              <w:left w:w="0" w:type="dxa"/>
              <w:bottom w:w="40" w:type="dxa"/>
              <w:right w:w="20" w:type="dxa"/>
            </w:tcMar>
            <w:vAlign w:val="bottom"/>
          </w:tcPr>
          <w:p w14:paraId="39D98EA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EAA"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EAB"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EAC" w14:textId="77777777" w:rsidR="00996AD7" w:rsidRDefault="00D96458">
            <w:pPr>
              <w:jc w:val="right"/>
              <w:textAlignment w:val="bottom"/>
            </w:pPr>
            <w:r>
              <w:rPr>
                <w:rFonts w:ascii="Arial" w:eastAsia="宋体" w:hAnsi="Arial" w:cs="Arial"/>
                <w:color w:val="0068B5"/>
                <w:sz w:val="18"/>
                <w:szCs w:val="18"/>
              </w:rPr>
              <w:t>(966)</w:t>
            </w:r>
          </w:p>
        </w:tc>
        <w:tc>
          <w:tcPr>
            <w:tcW w:w="0" w:type="auto"/>
            <w:tcBorders>
              <w:top w:val="single" w:sz="8" w:space="0" w:color="0068B5"/>
            </w:tcBorders>
            <w:shd w:val="clear" w:color="auto" w:fill="auto"/>
            <w:tcMar>
              <w:top w:w="40" w:type="dxa"/>
              <w:left w:w="0" w:type="dxa"/>
              <w:bottom w:w="40" w:type="dxa"/>
              <w:right w:w="20" w:type="dxa"/>
            </w:tcMar>
            <w:vAlign w:val="bottom"/>
          </w:tcPr>
          <w:p w14:paraId="39D98EA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EAE"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EAF"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EB0" w14:textId="77777777" w:rsidR="00996AD7" w:rsidRDefault="00D96458">
            <w:pPr>
              <w:jc w:val="right"/>
              <w:textAlignment w:val="bottom"/>
            </w:pPr>
            <w:r>
              <w:rPr>
                <w:rFonts w:ascii="Arial" w:eastAsia="宋体" w:hAnsi="Arial" w:cs="Arial"/>
                <w:color w:val="262626"/>
                <w:sz w:val="18"/>
                <w:szCs w:val="18"/>
              </w:rPr>
              <w:t>(1,498)</w:t>
            </w:r>
          </w:p>
        </w:tc>
        <w:tc>
          <w:tcPr>
            <w:tcW w:w="0" w:type="auto"/>
            <w:tcBorders>
              <w:top w:val="single" w:sz="8" w:space="0" w:color="0068B5"/>
            </w:tcBorders>
            <w:shd w:val="clear" w:color="auto" w:fill="auto"/>
            <w:tcMar>
              <w:top w:w="40" w:type="dxa"/>
              <w:left w:w="0" w:type="dxa"/>
              <w:bottom w:w="40" w:type="dxa"/>
              <w:right w:w="20" w:type="dxa"/>
            </w:tcMar>
            <w:vAlign w:val="bottom"/>
          </w:tcPr>
          <w:p w14:paraId="39D98EB1" w14:textId="77777777" w:rsidR="00996AD7" w:rsidRDefault="00996AD7">
            <w:pPr>
              <w:jc w:val="right"/>
              <w:rPr>
                <w:rFonts w:ascii="宋体"/>
              </w:rPr>
            </w:pPr>
          </w:p>
        </w:tc>
        <w:tc>
          <w:tcPr>
            <w:tcW w:w="0" w:type="auto"/>
            <w:shd w:val="clear" w:color="auto" w:fill="auto"/>
            <w:vAlign w:val="bottom"/>
          </w:tcPr>
          <w:p w14:paraId="39D98EB2" w14:textId="77777777" w:rsidR="00996AD7" w:rsidRDefault="00996AD7">
            <w:pPr>
              <w:rPr>
                <w:rFonts w:ascii="宋体"/>
                <w:vanish/>
              </w:rPr>
            </w:pPr>
          </w:p>
        </w:tc>
      </w:tr>
    </w:tbl>
    <w:p w14:paraId="39D98EB4" w14:textId="77777777" w:rsidR="00996AD7" w:rsidRDefault="00D96458">
      <w:pPr>
        <w:spacing w:after="180"/>
      </w:pPr>
      <w:r>
        <w:rPr>
          <w:rFonts w:ascii="Arial" w:eastAsia="宋体" w:hAnsi="Arial" w:cs="Arial"/>
          <w:color w:val="262626"/>
          <w:sz w:val="18"/>
          <w:szCs w:val="18"/>
        </w:rPr>
        <w:t>The total notional amount of pay-variable and receive-fixed interest rate swaps was $12.0 billion as of Septem</w:t>
      </w:r>
      <w:r>
        <w:rPr>
          <w:rFonts w:ascii="Arial" w:eastAsia="宋体" w:hAnsi="Arial" w:cs="Arial"/>
          <w:color w:val="262626"/>
          <w:sz w:val="18"/>
          <w:szCs w:val="18"/>
        </w:rPr>
        <w:t>ber 25, 2021 and $12.0 billion as of December 26, 2020.</w:t>
      </w:r>
    </w:p>
    <w:p w14:paraId="39D98EB5" w14:textId="77777777" w:rsidR="00996AD7" w:rsidRDefault="00996AD7">
      <w:pPr>
        <w:spacing w:after="180"/>
      </w:pPr>
    </w:p>
    <w:p w14:paraId="39D98EB6" w14:textId="77777777" w:rsidR="00996AD7" w:rsidRDefault="00996AD7">
      <w:pPr>
        <w:spacing w:after="180"/>
      </w:pPr>
    </w:p>
    <w:p w14:paraId="39D98EB7" w14:textId="77777777" w:rsidR="00996AD7" w:rsidRDefault="00996AD7">
      <w:pPr>
        <w:spacing w:after="180"/>
      </w:pPr>
    </w:p>
    <w:p w14:paraId="39D98EB8" w14:textId="77777777" w:rsidR="00996AD7" w:rsidRDefault="00996AD7">
      <w:pPr>
        <w:spacing w:after="180"/>
      </w:pPr>
    </w:p>
    <w:p w14:paraId="39D98EB9" w14:textId="77777777" w:rsidR="00996AD7" w:rsidRDefault="00996AD7">
      <w:pPr>
        <w:spacing w:after="180"/>
      </w:pPr>
    </w:p>
    <w:p w14:paraId="39D98EBA" w14:textId="77777777" w:rsidR="00996AD7" w:rsidRDefault="00996AD7">
      <w:pPr>
        <w:spacing w:after="180"/>
      </w:pPr>
    </w:p>
    <w:p w14:paraId="39D98EBB"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8EC8" w14:textId="77777777">
        <w:tc>
          <w:tcPr>
            <w:tcW w:w="50" w:type="pct"/>
            <w:shd w:val="clear" w:color="auto" w:fill="auto"/>
            <w:vAlign w:val="bottom"/>
          </w:tcPr>
          <w:p w14:paraId="39D98EBC" w14:textId="77777777" w:rsidR="00996AD7" w:rsidRDefault="00996AD7">
            <w:pPr>
              <w:rPr>
                <w:rFonts w:ascii="宋体"/>
              </w:rPr>
            </w:pPr>
          </w:p>
        </w:tc>
        <w:tc>
          <w:tcPr>
            <w:tcW w:w="238" w:type="pct"/>
            <w:shd w:val="clear" w:color="auto" w:fill="auto"/>
            <w:vAlign w:val="bottom"/>
          </w:tcPr>
          <w:p w14:paraId="39D98EBD" w14:textId="77777777" w:rsidR="00996AD7" w:rsidRDefault="00996AD7">
            <w:pPr>
              <w:rPr>
                <w:rFonts w:ascii="宋体"/>
              </w:rPr>
            </w:pPr>
          </w:p>
        </w:tc>
        <w:tc>
          <w:tcPr>
            <w:tcW w:w="5" w:type="pct"/>
            <w:shd w:val="clear" w:color="auto" w:fill="auto"/>
            <w:vAlign w:val="bottom"/>
          </w:tcPr>
          <w:p w14:paraId="39D98EBE" w14:textId="77777777" w:rsidR="00996AD7" w:rsidRDefault="00996AD7">
            <w:pPr>
              <w:rPr>
                <w:rFonts w:ascii="宋体"/>
              </w:rPr>
            </w:pPr>
          </w:p>
        </w:tc>
        <w:tc>
          <w:tcPr>
            <w:tcW w:w="50" w:type="pct"/>
            <w:shd w:val="clear" w:color="auto" w:fill="auto"/>
            <w:vAlign w:val="bottom"/>
          </w:tcPr>
          <w:p w14:paraId="39D98EBF" w14:textId="77777777" w:rsidR="00996AD7" w:rsidRDefault="00996AD7">
            <w:pPr>
              <w:rPr>
                <w:rFonts w:ascii="宋体"/>
              </w:rPr>
            </w:pPr>
          </w:p>
        </w:tc>
        <w:tc>
          <w:tcPr>
            <w:tcW w:w="983" w:type="pct"/>
            <w:shd w:val="clear" w:color="auto" w:fill="auto"/>
            <w:vAlign w:val="bottom"/>
          </w:tcPr>
          <w:p w14:paraId="39D98EC0" w14:textId="77777777" w:rsidR="00996AD7" w:rsidRDefault="00996AD7">
            <w:pPr>
              <w:rPr>
                <w:rFonts w:ascii="宋体"/>
              </w:rPr>
            </w:pPr>
          </w:p>
        </w:tc>
        <w:tc>
          <w:tcPr>
            <w:tcW w:w="5" w:type="pct"/>
            <w:shd w:val="clear" w:color="auto" w:fill="auto"/>
            <w:vAlign w:val="bottom"/>
          </w:tcPr>
          <w:p w14:paraId="39D98EC1" w14:textId="77777777" w:rsidR="00996AD7" w:rsidRDefault="00996AD7">
            <w:pPr>
              <w:rPr>
                <w:rFonts w:ascii="宋体"/>
              </w:rPr>
            </w:pPr>
          </w:p>
        </w:tc>
        <w:tc>
          <w:tcPr>
            <w:tcW w:w="50" w:type="pct"/>
            <w:shd w:val="clear" w:color="auto" w:fill="auto"/>
            <w:vAlign w:val="bottom"/>
          </w:tcPr>
          <w:p w14:paraId="39D98EC2" w14:textId="77777777" w:rsidR="00996AD7" w:rsidRDefault="00996AD7">
            <w:pPr>
              <w:rPr>
                <w:rFonts w:ascii="宋体"/>
              </w:rPr>
            </w:pPr>
          </w:p>
        </w:tc>
        <w:tc>
          <w:tcPr>
            <w:tcW w:w="2035" w:type="pct"/>
            <w:shd w:val="clear" w:color="auto" w:fill="auto"/>
            <w:vAlign w:val="bottom"/>
          </w:tcPr>
          <w:p w14:paraId="39D98EC3" w14:textId="77777777" w:rsidR="00996AD7" w:rsidRDefault="00996AD7">
            <w:pPr>
              <w:rPr>
                <w:rFonts w:ascii="宋体"/>
              </w:rPr>
            </w:pPr>
          </w:p>
        </w:tc>
        <w:tc>
          <w:tcPr>
            <w:tcW w:w="5" w:type="pct"/>
            <w:shd w:val="clear" w:color="auto" w:fill="auto"/>
            <w:vAlign w:val="bottom"/>
          </w:tcPr>
          <w:p w14:paraId="39D98EC4" w14:textId="77777777" w:rsidR="00996AD7" w:rsidRDefault="00996AD7">
            <w:pPr>
              <w:rPr>
                <w:rFonts w:ascii="宋体"/>
              </w:rPr>
            </w:pPr>
          </w:p>
        </w:tc>
        <w:tc>
          <w:tcPr>
            <w:tcW w:w="50" w:type="pct"/>
            <w:shd w:val="clear" w:color="auto" w:fill="auto"/>
            <w:vAlign w:val="bottom"/>
          </w:tcPr>
          <w:p w14:paraId="39D98EC5" w14:textId="77777777" w:rsidR="00996AD7" w:rsidRDefault="00996AD7">
            <w:pPr>
              <w:rPr>
                <w:rFonts w:ascii="宋体"/>
              </w:rPr>
            </w:pPr>
          </w:p>
        </w:tc>
        <w:tc>
          <w:tcPr>
            <w:tcW w:w="1522" w:type="pct"/>
            <w:shd w:val="clear" w:color="auto" w:fill="auto"/>
            <w:vAlign w:val="bottom"/>
          </w:tcPr>
          <w:p w14:paraId="39D98EC6" w14:textId="77777777" w:rsidR="00996AD7" w:rsidRDefault="00996AD7">
            <w:pPr>
              <w:rPr>
                <w:rFonts w:ascii="宋体"/>
              </w:rPr>
            </w:pPr>
          </w:p>
        </w:tc>
        <w:tc>
          <w:tcPr>
            <w:tcW w:w="5" w:type="pct"/>
            <w:shd w:val="clear" w:color="auto" w:fill="auto"/>
            <w:vAlign w:val="bottom"/>
          </w:tcPr>
          <w:p w14:paraId="39D98EC7" w14:textId="77777777" w:rsidR="00996AD7" w:rsidRDefault="00996AD7">
            <w:pPr>
              <w:rPr>
                <w:rFonts w:ascii="宋体"/>
              </w:rPr>
            </w:pPr>
          </w:p>
        </w:tc>
      </w:tr>
      <w:tr w:rsidR="00996AD7" w14:paraId="39D98EC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EC9"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C9" wp14:editId="39D9A3CA">
                  <wp:extent cx="304800" cy="304800"/>
                  <wp:effectExtent l="0" t="0" r="0" b="0"/>
                  <wp:docPr id="48" name="图片 75"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5"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ECA"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8ECB"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ECC" w14:textId="77777777" w:rsidR="00996AD7" w:rsidRDefault="00D96458">
            <w:pPr>
              <w:jc w:val="right"/>
              <w:textAlignment w:val="center"/>
            </w:pPr>
            <w:r>
              <w:rPr>
                <w:rFonts w:ascii="Arial" w:eastAsia="宋体" w:hAnsi="Arial" w:cs="Arial"/>
                <w:color w:val="262626"/>
                <w:sz w:val="16"/>
                <w:szCs w:val="16"/>
              </w:rPr>
              <w:t>18</w:t>
            </w:r>
          </w:p>
        </w:tc>
      </w:tr>
    </w:tbl>
    <w:p w14:paraId="39D98ECE" w14:textId="77777777" w:rsidR="00996AD7" w:rsidRDefault="00D96458">
      <w:r>
        <w:pict w14:anchorId="39D9A3CB">
          <v:rect id="_x0000_i1044" style="width:415.3pt;height:1.5pt" o:hralign="center" o:hrstd="t" o:hr="t" fillcolor="#a0a0a0" stroked="f"/>
        </w:pict>
      </w:r>
    </w:p>
    <w:p w14:paraId="39D98ECF" w14:textId="77777777" w:rsidR="00996AD7" w:rsidRDefault="00D96458">
      <w:pPr>
        <w:spacing w:after="180"/>
        <w:jc w:val="right"/>
      </w:pPr>
      <w:hyperlink r:id="rId45" w:anchor="i94e6cc3aa83643b8b968bd5bab038338_7" w:history="1">
        <w:r>
          <w:rPr>
            <w:rStyle w:val="a5"/>
            <w:rFonts w:ascii="Arial" w:eastAsia="宋体" w:hAnsi="Arial" w:cs="Arial"/>
            <w:b/>
            <w:bCs/>
            <w:color w:val="0068B5"/>
            <w:sz w:val="16"/>
            <w:szCs w:val="16"/>
          </w:rPr>
          <w:t>Table of Contents</w:t>
        </w:r>
      </w:hyperlink>
    </w:p>
    <w:p w14:paraId="39D98ED0" w14:textId="77777777" w:rsidR="00996AD7" w:rsidRDefault="00996AD7">
      <w:pPr>
        <w:spacing w:after="180"/>
        <w:jc w:val="right"/>
      </w:pPr>
    </w:p>
    <w:p w14:paraId="39D98ED1" w14:textId="77777777" w:rsidR="00996AD7" w:rsidRDefault="00D96458">
      <w:pPr>
        <w:spacing w:after="180"/>
      </w:pPr>
      <w:r>
        <w:rPr>
          <w:rFonts w:ascii="Arial" w:eastAsia="宋体" w:hAnsi="Arial" w:cs="Arial"/>
          <w:color w:val="0068B5"/>
        </w:rPr>
        <w:t>Derivatives Not Designated as Hedging Instruments</w:t>
      </w:r>
    </w:p>
    <w:p w14:paraId="39D98ED2" w14:textId="77777777" w:rsidR="00996AD7" w:rsidRDefault="00D96458">
      <w:pPr>
        <w:spacing w:after="180"/>
      </w:pPr>
      <w:r>
        <w:rPr>
          <w:rFonts w:ascii="Arial" w:eastAsia="宋体" w:hAnsi="Arial" w:cs="Arial"/>
          <w:color w:val="262626"/>
          <w:sz w:val="18"/>
          <w:szCs w:val="18"/>
        </w:rPr>
        <w:t xml:space="preserve">The effects of </w:t>
      </w:r>
      <w:r>
        <w:rPr>
          <w:rFonts w:ascii="Arial" w:eastAsia="宋体" w:hAnsi="Arial" w:cs="Arial"/>
          <w:color w:val="262626"/>
          <w:sz w:val="18"/>
          <w:szCs w:val="18"/>
        </w:rPr>
        <w:t>derivative instruments not designated as hedging instruments on the Consolidated Condensed Statements of Income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1511"/>
        <w:gridCol w:w="36"/>
        <w:gridCol w:w="36"/>
        <w:gridCol w:w="36"/>
        <w:gridCol w:w="36"/>
        <w:gridCol w:w="37"/>
        <w:gridCol w:w="2098"/>
        <w:gridCol w:w="36"/>
        <w:gridCol w:w="36"/>
        <w:gridCol w:w="36"/>
        <w:gridCol w:w="36"/>
        <w:gridCol w:w="121"/>
        <w:gridCol w:w="769"/>
        <w:gridCol w:w="36"/>
        <w:gridCol w:w="36"/>
        <w:gridCol w:w="36"/>
        <w:gridCol w:w="36"/>
        <w:gridCol w:w="121"/>
        <w:gridCol w:w="769"/>
        <w:gridCol w:w="36"/>
        <w:gridCol w:w="36"/>
        <w:gridCol w:w="36"/>
        <w:gridCol w:w="36"/>
        <w:gridCol w:w="121"/>
        <w:gridCol w:w="818"/>
        <w:gridCol w:w="36"/>
        <w:gridCol w:w="36"/>
        <w:gridCol w:w="36"/>
        <w:gridCol w:w="36"/>
        <w:gridCol w:w="121"/>
        <w:gridCol w:w="769"/>
        <w:gridCol w:w="36"/>
        <w:gridCol w:w="36"/>
        <w:gridCol w:w="36"/>
        <w:gridCol w:w="36"/>
        <w:gridCol w:w="36"/>
        <w:gridCol w:w="36"/>
        <w:gridCol w:w="36"/>
        <w:gridCol w:w="36"/>
        <w:gridCol w:w="36"/>
      </w:tblGrid>
      <w:tr w:rsidR="00996AD7" w14:paraId="39D98EF8" w14:textId="77777777">
        <w:tc>
          <w:tcPr>
            <w:tcW w:w="50" w:type="pct"/>
            <w:shd w:val="clear" w:color="auto" w:fill="auto"/>
            <w:vAlign w:val="bottom"/>
          </w:tcPr>
          <w:p w14:paraId="39D98ED3" w14:textId="77777777" w:rsidR="00996AD7" w:rsidRDefault="00996AD7">
            <w:pPr>
              <w:rPr>
                <w:rFonts w:ascii="宋体"/>
              </w:rPr>
            </w:pPr>
          </w:p>
        </w:tc>
        <w:tc>
          <w:tcPr>
            <w:tcW w:w="976" w:type="pct"/>
            <w:shd w:val="clear" w:color="auto" w:fill="auto"/>
            <w:vAlign w:val="bottom"/>
          </w:tcPr>
          <w:p w14:paraId="39D98ED4" w14:textId="77777777" w:rsidR="00996AD7" w:rsidRDefault="00996AD7">
            <w:pPr>
              <w:rPr>
                <w:rFonts w:ascii="宋体"/>
              </w:rPr>
            </w:pPr>
          </w:p>
        </w:tc>
        <w:tc>
          <w:tcPr>
            <w:tcW w:w="5" w:type="pct"/>
            <w:shd w:val="clear" w:color="auto" w:fill="auto"/>
            <w:vAlign w:val="bottom"/>
          </w:tcPr>
          <w:p w14:paraId="39D98ED5" w14:textId="77777777" w:rsidR="00996AD7" w:rsidRDefault="00996AD7">
            <w:pPr>
              <w:rPr>
                <w:rFonts w:ascii="宋体"/>
              </w:rPr>
            </w:pPr>
          </w:p>
        </w:tc>
        <w:tc>
          <w:tcPr>
            <w:tcW w:w="5" w:type="pct"/>
            <w:shd w:val="clear" w:color="auto" w:fill="auto"/>
            <w:vAlign w:val="bottom"/>
          </w:tcPr>
          <w:p w14:paraId="39D98ED6" w14:textId="77777777" w:rsidR="00996AD7" w:rsidRDefault="00996AD7">
            <w:pPr>
              <w:rPr>
                <w:rFonts w:ascii="宋体"/>
              </w:rPr>
            </w:pPr>
          </w:p>
        </w:tc>
        <w:tc>
          <w:tcPr>
            <w:tcW w:w="24" w:type="pct"/>
            <w:shd w:val="clear" w:color="auto" w:fill="auto"/>
            <w:vAlign w:val="bottom"/>
          </w:tcPr>
          <w:p w14:paraId="39D98ED7" w14:textId="77777777" w:rsidR="00996AD7" w:rsidRDefault="00996AD7">
            <w:pPr>
              <w:rPr>
                <w:rFonts w:ascii="宋体"/>
              </w:rPr>
            </w:pPr>
          </w:p>
        </w:tc>
        <w:tc>
          <w:tcPr>
            <w:tcW w:w="5" w:type="pct"/>
            <w:shd w:val="clear" w:color="auto" w:fill="auto"/>
            <w:vAlign w:val="bottom"/>
          </w:tcPr>
          <w:p w14:paraId="39D98ED8" w14:textId="77777777" w:rsidR="00996AD7" w:rsidRDefault="00996AD7">
            <w:pPr>
              <w:rPr>
                <w:rFonts w:ascii="宋体"/>
              </w:rPr>
            </w:pPr>
          </w:p>
        </w:tc>
        <w:tc>
          <w:tcPr>
            <w:tcW w:w="50" w:type="pct"/>
            <w:shd w:val="clear" w:color="auto" w:fill="auto"/>
            <w:vAlign w:val="bottom"/>
          </w:tcPr>
          <w:p w14:paraId="39D98ED9" w14:textId="77777777" w:rsidR="00996AD7" w:rsidRDefault="00996AD7">
            <w:pPr>
              <w:rPr>
                <w:rFonts w:ascii="宋体"/>
              </w:rPr>
            </w:pPr>
          </w:p>
        </w:tc>
        <w:tc>
          <w:tcPr>
            <w:tcW w:w="1372" w:type="pct"/>
            <w:shd w:val="clear" w:color="auto" w:fill="auto"/>
            <w:vAlign w:val="bottom"/>
          </w:tcPr>
          <w:p w14:paraId="39D98EDA" w14:textId="77777777" w:rsidR="00996AD7" w:rsidRDefault="00996AD7">
            <w:pPr>
              <w:rPr>
                <w:rFonts w:ascii="宋体"/>
              </w:rPr>
            </w:pPr>
          </w:p>
        </w:tc>
        <w:tc>
          <w:tcPr>
            <w:tcW w:w="5" w:type="pct"/>
            <w:shd w:val="clear" w:color="auto" w:fill="auto"/>
            <w:vAlign w:val="bottom"/>
          </w:tcPr>
          <w:p w14:paraId="39D98EDB" w14:textId="77777777" w:rsidR="00996AD7" w:rsidRDefault="00996AD7">
            <w:pPr>
              <w:rPr>
                <w:rFonts w:ascii="宋体"/>
              </w:rPr>
            </w:pPr>
          </w:p>
        </w:tc>
        <w:tc>
          <w:tcPr>
            <w:tcW w:w="5" w:type="pct"/>
            <w:shd w:val="clear" w:color="auto" w:fill="auto"/>
            <w:vAlign w:val="bottom"/>
          </w:tcPr>
          <w:p w14:paraId="39D98EDC" w14:textId="77777777" w:rsidR="00996AD7" w:rsidRDefault="00996AD7">
            <w:pPr>
              <w:rPr>
                <w:rFonts w:ascii="宋体"/>
              </w:rPr>
            </w:pPr>
          </w:p>
        </w:tc>
        <w:tc>
          <w:tcPr>
            <w:tcW w:w="24" w:type="pct"/>
            <w:shd w:val="clear" w:color="auto" w:fill="auto"/>
            <w:vAlign w:val="bottom"/>
          </w:tcPr>
          <w:p w14:paraId="39D98EDD" w14:textId="77777777" w:rsidR="00996AD7" w:rsidRDefault="00996AD7">
            <w:pPr>
              <w:rPr>
                <w:rFonts w:ascii="宋体"/>
              </w:rPr>
            </w:pPr>
          </w:p>
        </w:tc>
        <w:tc>
          <w:tcPr>
            <w:tcW w:w="5" w:type="pct"/>
            <w:shd w:val="clear" w:color="auto" w:fill="auto"/>
            <w:vAlign w:val="bottom"/>
          </w:tcPr>
          <w:p w14:paraId="39D98EDE" w14:textId="77777777" w:rsidR="00996AD7" w:rsidRDefault="00996AD7">
            <w:pPr>
              <w:rPr>
                <w:rFonts w:ascii="宋体"/>
              </w:rPr>
            </w:pPr>
          </w:p>
        </w:tc>
        <w:tc>
          <w:tcPr>
            <w:tcW w:w="50" w:type="pct"/>
            <w:shd w:val="clear" w:color="auto" w:fill="auto"/>
            <w:vAlign w:val="bottom"/>
          </w:tcPr>
          <w:p w14:paraId="39D98EDF" w14:textId="77777777" w:rsidR="00996AD7" w:rsidRDefault="00996AD7">
            <w:pPr>
              <w:rPr>
                <w:rFonts w:ascii="宋体"/>
              </w:rPr>
            </w:pPr>
          </w:p>
        </w:tc>
        <w:tc>
          <w:tcPr>
            <w:tcW w:w="539" w:type="pct"/>
            <w:shd w:val="clear" w:color="auto" w:fill="auto"/>
            <w:vAlign w:val="bottom"/>
          </w:tcPr>
          <w:p w14:paraId="39D98EE0" w14:textId="77777777" w:rsidR="00996AD7" w:rsidRDefault="00996AD7">
            <w:pPr>
              <w:rPr>
                <w:rFonts w:ascii="宋体"/>
              </w:rPr>
            </w:pPr>
          </w:p>
        </w:tc>
        <w:tc>
          <w:tcPr>
            <w:tcW w:w="5" w:type="pct"/>
            <w:shd w:val="clear" w:color="auto" w:fill="auto"/>
            <w:vAlign w:val="bottom"/>
          </w:tcPr>
          <w:p w14:paraId="39D98EE1" w14:textId="77777777" w:rsidR="00996AD7" w:rsidRDefault="00996AD7">
            <w:pPr>
              <w:rPr>
                <w:rFonts w:ascii="宋体"/>
              </w:rPr>
            </w:pPr>
          </w:p>
        </w:tc>
        <w:tc>
          <w:tcPr>
            <w:tcW w:w="5" w:type="pct"/>
            <w:shd w:val="clear" w:color="auto" w:fill="auto"/>
            <w:vAlign w:val="bottom"/>
          </w:tcPr>
          <w:p w14:paraId="39D98EE2" w14:textId="77777777" w:rsidR="00996AD7" w:rsidRDefault="00996AD7">
            <w:pPr>
              <w:rPr>
                <w:rFonts w:ascii="宋体"/>
              </w:rPr>
            </w:pPr>
          </w:p>
        </w:tc>
        <w:tc>
          <w:tcPr>
            <w:tcW w:w="24" w:type="pct"/>
            <w:shd w:val="clear" w:color="auto" w:fill="auto"/>
            <w:vAlign w:val="bottom"/>
          </w:tcPr>
          <w:p w14:paraId="39D98EE3" w14:textId="77777777" w:rsidR="00996AD7" w:rsidRDefault="00996AD7">
            <w:pPr>
              <w:rPr>
                <w:rFonts w:ascii="宋体"/>
              </w:rPr>
            </w:pPr>
          </w:p>
        </w:tc>
        <w:tc>
          <w:tcPr>
            <w:tcW w:w="5" w:type="pct"/>
            <w:shd w:val="clear" w:color="auto" w:fill="auto"/>
            <w:vAlign w:val="bottom"/>
          </w:tcPr>
          <w:p w14:paraId="39D98EE4" w14:textId="77777777" w:rsidR="00996AD7" w:rsidRDefault="00996AD7">
            <w:pPr>
              <w:rPr>
                <w:rFonts w:ascii="宋体"/>
              </w:rPr>
            </w:pPr>
          </w:p>
        </w:tc>
        <w:tc>
          <w:tcPr>
            <w:tcW w:w="50" w:type="pct"/>
            <w:shd w:val="clear" w:color="auto" w:fill="auto"/>
            <w:vAlign w:val="bottom"/>
          </w:tcPr>
          <w:p w14:paraId="39D98EE5" w14:textId="77777777" w:rsidR="00996AD7" w:rsidRDefault="00996AD7">
            <w:pPr>
              <w:rPr>
                <w:rFonts w:ascii="宋体"/>
              </w:rPr>
            </w:pPr>
          </w:p>
        </w:tc>
        <w:tc>
          <w:tcPr>
            <w:tcW w:w="539" w:type="pct"/>
            <w:shd w:val="clear" w:color="auto" w:fill="auto"/>
            <w:vAlign w:val="bottom"/>
          </w:tcPr>
          <w:p w14:paraId="39D98EE6" w14:textId="77777777" w:rsidR="00996AD7" w:rsidRDefault="00996AD7">
            <w:pPr>
              <w:rPr>
                <w:rFonts w:ascii="宋体"/>
              </w:rPr>
            </w:pPr>
          </w:p>
        </w:tc>
        <w:tc>
          <w:tcPr>
            <w:tcW w:w="5" w:type="pct"/>
            <w:shd w:val="clear" w:color="auto" w:fill="auto"/>
            <w:vAlign w:val="bottom"/>
          </w:tcPr>
          <w:p w14:paraId="39D98EE7" w14:textId="77777777" w:rsidR="00996AD7" w:rsidRDefault="00996AD7">
            <w:pPr>
              <w:rPr>
                <w:rFonts w:ascii="宋体"/>
              </w:rPr>
            </w:pPr>
          </w:p>
        </w:tc>
        <w:tc>
          <w:tcPr>
            <w:tcW w:w="5" w:type="pct"/>
            <w:shd w:val="clear" w:color="auto" w:fill="auto"/>
            <w:vAlign w:val="bottom"/>
          </w:tcPr>
          <w:p w14:paraId="39D98EE8" w14:textId="77777777" w:rsidR="00996AD7" w:rsidRDefault="00996AD7">
            <w:pPr>
              <w:rPr>
                <w:rFonts w:ascii="宋体"/>
              </w:rPr>
            </w:pPr>
          </w:p>
        </w:tc>
        <w:tc>
          <w:tcPr>
            <w:tcW w:w="17" w:type="pct"/>
            <w:shd w:val="clear" w:color="auto" w:fill="auto"/>
            <w:vAlign w:val="bottom"/>
          </w:tcPr>
          <w:p w14:paraId="39D98EE9" w14:textId="77777777" w:rsidR="00996AD7" w:rsidRDefault="00996AD7">
            <w:pPr>
              <w:rPr>
                <w:rFonts w:ascii="宋体"/>
              </w:rPr>
            </w:pPr>
          </w:p>
        </w:tc>
        <w:tc>
          <w:tcPr>
            <w:tcW w:w="5" w:type="pct"/>
            <w:shd w:val="clear" w:color="auto" w:fill="auto"/>
            <w:vAlign w:val="bottom"/>
          </w:tcPr>
          <w:p w14:paraId="39D98EEA" w14:textId="77777777" w:rsidR="00996AD7" w:rsidRDefault="00996AD7">
            <w:pPr>
              <w:rPr>
                <w:rFonts w:ascii="宋体"/>
              </w:rPr>
            </w:pPr>
          </w:p>
        </w:tc>
        <w:tc>
          <w:tcPr>
            <w:tcW w:w="50" w:type="pct"/>
            <w:shd w:val="clear" w:color="auto" w:fill="auto"/>
            <w:vAlign w:val="bottom"/>
          </w:tcPr>
          <w:p w14:paraId="39D98EEB" w14:textId="77777777" w:rsidR="00996AD7" w:rsidRDefault="00996AD7">
            <w:pPr>
              <w:rPr>
                <w:rFonts w:ascii="宋体"/>
              </w:rPr>
            </w:pPr>
          </w:p>
        </w:tc>
        <w:tc>
          <w:tcPr>
            <w:tcW w:w="539" w:type="pct"/>
            <w:shd w:val="clear" w:color="auto" w:fill="auto"/>
            <w:vAlign w:val="bottom"/>
          </w:tcPr>
          <w:p w14:paraId="39D98EEC" w14:textId="77777777" w:rsidR="00996AD7" w:rsidRDefault="00996AD7">
            <w:pPr>
              <w:rPr>
                <w:rFonts w:ascii="宋体"/>
              </w:rPr>
            </w:pPr>
          </w:p>
        </w:tc>
        <w:tc>
          <w:tcPr>
            <w:tcW w:w="5" w:type="pct"/>
            <w:shd w:val="clear" w:color="auto" w:fill="auto"/>
            <w:vAlign w:val="bottom"/>
          </w:tcPr>
          <w:p w14:paraId="39D98EED" w14:textId="77777777" w:rsidR="00996AD7" w:rsidRDefault="00996AD7">
            <w:pPr>
              <w:rPr>
                <w:rFonts w:ascii="宋体"/>
              </w:rPr>
            </w:pPr>
          </w:p>
        </w:tc>
        <w:tc>
          <w:tcPr>
            <w:tcW w:w="5" w:type="pct"/>
            <w:shd w:val="clear" w:color="auto" w:fill="auto"/>
            <w:vAlign w:val="bottom"/>
          </w:tcPr>
          <w:p w14:paraId="39D98EEE" w14:textId="77777777" w:rsidR="00996AD7" w:rsidRDefault="00996AD7">
            <w:pPr>
              <w:rPr>
                <w:rFonts w:ascii="宋体"/>
              </w:rPr>
            </w:pPr>
          </w:p>
        </w:tc>
        <w:tc>
          <w:tcPr>
            <w:tcW w:w="24" w:type="pct"/>
            <w:shd w:val="clear" w:color="auto" w:fill="auto"/>
            <w:vAlign w:val="bottom"/>
          </w:tcPr>
          <w:p w14:paraId="39D98EEF" w14:textId="77777777" w:rsidR="00996AD7" w:rsidRDefault="00996AD7">
            <w:pPr>
              <w:rPr>
                <w:rFonts w:ascii="宋体"/>
              </w:rPr>
            </w:pPr>
          </w:p>
        </w:tc>
        <w:tc>
          <w:tcPr>
            <w:tcW w:w="5" w:type="pct"/>
            <w:shd w:val="clear" w:color="auto" w:fill="auto"/>
            <w:vAlign w:val="bottom"/>
          </w:tcPr>
          <w:p w14:paraId="39D98EF0" w14:textId="77777777" w:rsidR="00996AD7" w:rsidRDefault="00996AD7">
            <w:pPr>
              <w:rPr>
                <w:rFonts w:ascii="宋体"/>
              </w:rPr>
            </w:pPr>
          </w:p>
        </w:tc>
        <w:tc>
          <w:tcPr>
            <w:tcW w:w="50" w:type="pct"/>
            <w:shd w:val="clear" w:color="auto" w:fill="auto"/>
            <w:vAlign w:val="bottom"/>
          </w:tcPr>
          <w:p w14:paraId="39D98EF1" w14:textId="77777777" w:rsidR="00996AD7" w:rsidRDefault="00996AD7">
            <w:pPr>
              <w:rPr>
                <w:rFonts w:ascii="宋体"/>
              </w:rPr>
            </w:pPr>
          </w:p>
        </w:tc>
        <w:tc>
          <w:tcPr>
            <w:tcW w:w="539" w:type="pct"/>
            <w:shd w:val="clear" w:color="auto" w:fill="auto"/>
            <w:vAlign w:val="bottom"/>
          </w:tcPr>
          <w:p w14:paraId="39D98EF2" w14:textId="77777777" w:rsidR="00996AD7" w:rsidRDefault="00996AD7">
            <w:pPr>
              <w:rPr>
                <w:rFonts w:ascii="宋体"/>
              </w:rPr>
            </w:pPr>
          </w:p>
        </w:tc>
        <w:tc>
          <w:tcPr>
            <w:tcW w:w="5" w:type="pct"/>
            <w:shd w:val="clear" w:color="auto" w:fill="auto"/>
            <w:vAlign w:val="bottom"/>
          </w:tcPr>
          <w:p w14:paraId="39D98EF3" w14:textId="77777777" w:rsidR="00996AD7" w:rsidRDefault="00996AD7">
            <w:pPr>
              <w:rPr>
                <w:rFonts w:ascii="宋体"/>
              </w:rPr>
            </w:pPr>
          </w:p>
        </w:tc>
        <w:tc>
          <w:tcPr>
            <w:tcW w:w="0" w:type="auto"/>
            <w:shd w:val="clear" w:color="auto" w:fill="auto"/>
            <w:vAlign w:val="bottom"/>
          </w:tcPr>
          <w:p w14:paraId="39D98EF4" w14:textId="77777777" w:rsidR="00996AD7" w:rsidRDefault="00996AD7">
            <w:pPr>
              <w:rPr>
                <w:rFonts w:ascii="宋体"/>
                <w:vanish/>
              </w:rPr>
            </w:pPr>
          </w:p>
        </w:tc>
        <w:tc>
          <w:tcPr>
            <w:tcW w:w="0" w:type="auto"/>
            <w:shd w:val="clear" w:color="auto" w:fill="auto"/>
            <w:vAlign w:val="bottom"/>
          </w:tcPr>
          <w:p w14:paraId="39D98EF5" w14:textId="77777777" w:rsidR="00996AD7" w:rsidRDefault="00996AD7">
            <w:pPr>
              <w:rPr>
                <w:rFonts w:ascii="宋体"/>
                <w:vanish/>
              </w:rPr>
            </w:pPr>
          </w:p>
        </w:tc>
        <w:tc>
          <w:tcPr>
            <w:tcW w:w="0" w:type="auto"/>
            <w:gridSpan w:val="3"/>
            <w:shd w:val="clear" w:color="auto" w:fill="auto"/>
            <w:vAlign w:val="bottom"/>
          </w:tcPr>
          <w:p w14:paraId="39D98EF6" w14:textId="77777777" w:rsidR="00996AD7" w:rsidRDefault="00996AD7">
            <w:pPr>
              <w:rPr>
                <w:rFonts w:ascii="宋体"/>
                <w:vanish/>
              </w:rPr>
            </w:pPr>
          </w:p>
        </w:tc>
        <w:tc>
          <w:tcPr>
            <w:tcW w:w="0" w:type="auto"/>
            <w:gridSpan w:val="3"/>
            <w:shd w:val="clear" w:color="auto" w:fill="auto"/>
            <w:vAlign w:val="bottom"/>
          </w:tcPr>
          <w:p w14:paraId="39D98EF7" w14:textId="77777777" w:rsidR="00996AD7" w:rsidRDefault="00996AD7">
            <w:pPr>
              <w:rPr>
                <w:rFonts w:ascii="宋体"/>
                <w:vanish/>
              </w:rPr>
            </w:pPr>
          </w:p>
        </w:tc>
      </w:tr>
      <w:tr w:rsidR="00996AD7" w14:paraId="39D98F08" w14:textId="77777777">
        <w:tc>
          <w:tcPr>
            <w:tcW w:w="0" w:type="auto"/>
            <w:gridSpan w:val="3"/>
            <w:shd w:val="clear" w:color="auto" w:fill="auto"/>
            <w:tcMar>
              <w:top w:w="40" w:type="dxa"/>
              <w:left w:w="20" w:type="dxa"/>
              <w:bottom w:w="40" w:type="dxa"/>
              <w:right w:w="20" w:type="dxa"/>
            </w:tcMar>
            <w:vAlign w:val="bottom"/>
          </w:tcPr>
          <w:p w14:paraId="39D98EF9" w14:textId="77777777" w:rsidR="00996AD7" w:rsidRDefault="00D96458">
            <w:pPr>
              <w:ind w:hanging="180"/>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39D98EF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EF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EFC"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EFD" w14:textId="77777777" w:rsidR="00996AD7" w:rsidRDefault="00D964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39D98EFE"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8EFF" w14:textId="77777777" w:rsidR="00996AD7" w:rsidRDefault="00D96458">
            <w:pPr>
              <w:jc w:val="center"/>
              <w:textAlignment w:val="bottom"/>
            </w:pPr>
            <w:r>
              <w:rPr>
                <w:rFonts w:ascii="Arial" w:eastAsia="宋体" w:hAnsi="Arial" w:cs="Arial"/>
                <w:b/>
                <w:bCs/>
                <w:color w:val="262626"/>
                <w:sz w:val="18"/>
                <w:szCs w:val="18"/>
              </w:rPr>
              <w:t>Nine Months Ended</w:t>
            </w:r>
          </w:p>
        </w:tc>
        <w:tc>
          <w:tcPr>
            <w:tcW w:w="0" w:type="auto"/>
            <w:shd w:val="clear" w:color="auto" w:fill="auto"/>
            <w:vAlign w:val="bottom"/>
          </w:tcPr>
          <w:p w14:paraId="39D98F00" w14:textId="77777777" w:rsidR="00996AD7" w:rsidRDefault="00996AD7">
            <w:pPr>
              <w:rPr>
                <w:rFonts w:ascii="宋体"/>
                <w:vanish/>
              </w:rPr>
            </w:pPr>
          </w:p>
        </w:tc>
        <w:tc>
          <w:tcPr>
            <w:tcW w:w="0" w:type="auto"/>
            <w:shd w:val="clear" w:color="auto" w:fill="auto"/>
            <w:vAlign w:val="bottom"/>
          </w:tcPr>
          <w:p w14:paraId="39D98F01" w14:textId="77777777" w:rsidR="00996AD7" w:rsidRDefault="00996AD7">
            <w:pPr>
              <w:rPr>
                <w:rFonts w:ascii="宋体"/>
                <w:vanish/>
              </w:rPr>
            </w:pPr>
          </w:p>
        </w:tc>
        <w:tc>
          <w:tcPr>
            <w:tcW w:w="0" w:type="auto"/>
            <w:shd w:val="clear" w:color="auto" w:fill="auto"/>
            <w:vAlign w:val="bottom"/>
          </w:tcPr>
          <w:p w14:paraId="39D98F02" w14:textId="77777777" w:rsidR="00996AD7" w:rsidRDefault="00996AD7">
            <w:pPr>
              <w:rPr>
                <w:rFonts w:ascii="宋体"/>
              </w:rPr>
            </w:pPr>
          </w:p>
        </w:tc>
        <w:tc>
          <w:tcPr>
            <w:tcW w:w="0" w:type="auto"/>
            <w:shd w:val="clear" w:color="auto" w:fill="auto"/>
            <w:vAlign w:val="bottom"/>
          </w:tcPr>
          <w:p w14:paraId="39D98F03" w14:textId="77777777" w:rsidR="00996AD7" w:rsidRDefault="00996AD7">
            <w:pPr>
              <w:rPr>
                <w:rFonts w:ascii="宋体"/>
              </w:rPr>
            </w:pPr>
          </w:p>
        </w:tc>
        <w:tc>
          <w:tcPr>
            <w:tcW w:w="0" w:type="auto"/>
            <w:shd w:val="clear" w:color="auto" w:fill="auto"/>
            <w:vAlign w:val="bottom"/>
          </w:tcPr>
          <w:p w14:paraId="39D98F04" w14:textId="77777777" w:rsidR="00996AD7" w:rsidRDefault="00996AD7">
            <w:pPr>
              <w:rPr>
                <w:rFonts w:ascii="宋体"/>
              </w:rPr>
            </w:pPr>
          </w:p>
        </w:tc>
        <w:tc>
          <w:tcPr>
            <w:tcW w:w="0" w:type="auto"/>
            <w:shd w:val="clear" w:color="auto" w:fill="auto"/>
            <w:vAlign w:val="bottom"/>
          </w:tcPr>
          <w:p w14:paraId="39D98F05" w14:textId="77777777" w:rsidR="00996AD7" w:rsidRDefault="00996AD7">
            <w:pPr>
              <w:rPr>
                <w:rFonts w:ascii="宋体"/>
              </w:rPr>
            </w:pPr>
          </w:p>
        </w:tc>
        <w:tc>
          <w:tcPr>
            <w:tcW w:w="0" w:type="auto"/>
            <w:shd w:val="clear" w:color="auto" w:fill="auto"/>
            <w:vAlign w:val="bottom"/>
          </w:tcPr>
          <w:p w14:paraId="39D98F06" w14:textId="77777777" w:rsidR="00996AD7" w:rsidRDefault="00996AD7">
            <w:pPr>
              <w:rPr>
                <w:rFonts w:ascii="宋体"/>
              </w:rPr>
            </w:pPr>
          </w:p>
        </w:tc>
        <w:tc>
          <w:tcPr>
            <w:tcW w:w="0" w:type="auto"/>
            <w:shd w:val="clear" w:color="auto" w:fill="auto"/>
            <w:vAlign w:val="bottom"/>
          </w:tcPr>
          <w:p w14:paraId="39D98F07" w14:textId="77777777" w:rsidR="00996AD7" w:rsidRDefault="00996AD7">
            <w:pPr>
              <w:rPr>
                <w:rFonts w:ascii="宋体"/>
              </w:rPr>
            </w:pPr>
          </w:p>
        </w:tc>
      </w:tr>
      <w:tr w:rsidR="00996AD7" w14:paraId="39D98F18" w14:textId="77777777">
        <w:tc>
          <w:tcPr>
            <w:tcW w:w="0" w:type="auto"/>
            <w:gridSpan w:val="3"/>
            <w:shd w:val="clear" w:color="auto" w:fill="auto"/>
            <w:tcMar>
              <w:top w:w="40" w:type="dxa"/>
              <w:left w:w="20" w:type="dxa"/>
              <w:bottom w:w="40" w:type="dxa"/>
              <w:right w:w="20" w:type="dxa"/>
            </w:tcMar>
            <w:vAlign w:val="bottom"/>
          </w:tcPr>
          <w:p w14:paraId="39D98F09" w14:textId="77777777" w:rsidR="00996AD7" w:rsidRDefault="00D964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8F0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8F0B" w14:textId="77777777" w:rsidR="00996AD7" w:rsidRDefault="00D96458">
            <w:pPr>
              <w:jc w:val="center"/>
              <w:textAlignment w:val="bottom"/>
            </w:pPr>
            <w:r>
              <w:rPr>
                <w:rFonts w:ascii="Arial" w:eastAsia="宋体" w:hAnsi="Arial" w:cs="Arial"/>
                <w:b/>
                <w:bCs/>
                <w:color w:val="262626"/>
                <w:sz w:val="18"/>
                <w:szCs w:val="18"/>
              </w:rPr>
              <w:t>Location of Gains (Losses)</w:t>
            </w:r>
            <w:r>
              <w:rPr>
                <w:rFonts w:ascii="Arial" w:eastAsia="宋体" w:hAnsi="Arial" w:cs="Arial"/>
                <w:b/>
                <w:bCs/>
                <w:color w:val="262626"/>
                <w:sz w:val="18"/>
                <w:szCs w:val="18"/>
              </w:rPr>
              <w:br/>
              <w:t xml:space="preserve">Recognized in </w:t>
            </w:r>
            <w:r>
              <w:rPr>
                <w:rFonts w:ascii="Arial" w:eastAsia="宋体" w:hAnsi="Arial" w:cs="Arial"/>
                <w:b/>
                <w:bCs/>
                <w:color w:val="262626"/>
                <w:sz w:val="18"/>
                <w:szCs w:val="18"/>
              </w:rPr>
              <w:t>Income on Derivatives</w:t>
            </w:r>
          </w:p>
        </w:tc>
        <w:tc>
          <w:tcPr>
            <w:tcW w:w="0" w:type="auto"/>
            <w:gridSpan w:val="3"/>
            <w:shd w:val="clear" w:color="auto" w:fill="auto"/>
            <w:tcMar>
              <w:top w:w="0" w:type="dxa"/>
              <w:left w:w="20" w:type="dxa"/>
              <w:bottom w:w="0" w:type="dxa"/>
              <w:right w:w="20" w:type="dxa"/>
            </w:tcMar>
            <w:vAlign w:val="bottom"/>
          </w:tcPr>
          <w:p w14:paraId="39D98F0C"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F0D"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F0E"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F0F"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gridSpan w:val="3"/>
            <w:shd w:val="clear" w:color="auto" w:fill="auto"/>
            <w:tcMar>
              <w:top w:w="0" w:type="dxa"/>
              <w:left w:w="20" w:type="dxa"/>
              <w:bottom w:w="0" w:type="dxa"/>
              <w:right w:w="20" w:type="dxa"/>
            </w:tcMar>
            <w:vAlign w:val="bottom"/>
          </w:tcPr>
          <w:p w14:paraId="39D98F10"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F11"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F12"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8F13"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shd w:val="clear" w:color="auto" w:fill="auto"/>
            <w:vAlign w:val="bottom"/>
          </w:tcPr>
          <w:p w14:paraId="39D98F14" w14:textId="77777777" w:rsidR="00996AD7" w:rsidRDefault="00996AD7">
            <w:pPr>
              <w:rPr>
                <w:rFonts w:ascii="宋体"/>
                <w:vanish/>
              </w:rPr>
            </w:pPr>
          </w:p>
        </w:tc>
        <w:tc>
          <w:tcPr>
            <w:tcW w:w="0" w:type="auto"/>
            <w:shd w:val="clear" w:color="auto" w:fill="auto"/>
            <w:vAlign w:val="bottom"/>
          </w:tcPr>
          <w:p w14:paraId="39D98F15" w14:textId="77777777" w:rsidR="00996AD7" w:rsidRDefault="00996AD7">
            <w:pPr>
              <w:rPr>
                <w:rFonts w:ascii="宋体"/>
                <w:vanish/>
              </w:rPr>
            </w:pPr>
          </w:p>
        </w:tc>
        <w:tc>
          <w:tcPr>
            <w:tcW w:w="0" w:type="auto"/>
            <w:gridSpan w:val="3"/>
            <w:shd w:val="clear" w:color="auto" w:fill="auto"/>
            <w:vAlign w:val="bottom"/>
          </w:tcPr>
          <w:p w14:paraId="39D98F16" w14:textId="77777777" w:rsidR="00996AD7" w:rsidRDefault="00996AD7">
            <w:pPr>
              <w:rPr>
                <w:rFonts w:ascii="宋体"/>
                <w:vanish/>
              </w:rPr>
            </w:pPr>
          </w:p>
        </w:tc>
        <w:tc>
          <w:tcPr>
            <w:tcW w:w="0" w:type="auto"/>
            <w:gridSpan w:val="3"/>
            <w:shd w:val="clear" w:color="auto" w:fill="auto"/>
            <w:vAlign w:val="bottom"/>
          </w:tcPr>
          <w:p w14:paraId="39D98F17" w14:textId="77777777" w:rsidR="00996AD7" w:rsidRDefault="00996AD7">
            <w:pPr>
              <w:rPr>
                <w:rFonts w:ascii="宋体"/>
                <w:vanish/>
              </w:rPr>
            </w:pPr>
          </w:p>
        </w:tc>
      </w:tr>
      <w:tr w:rsidR="00996AD7" w14:paraId="39D98F30"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8F19" w14:textId="77777777" w:rsidR="00996AD7" w:rsidRDefault="00D96458">
            <w:pPr>
              <w:ind w:hanging="180"/>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39D98F1A"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39D98F1B" w14:textId="77777777" w:rsidR="00996AD7" w:rsidRDefault="00D96458">
            <w:pPr>
              <w:ind w:hanging="180"/>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39D98F1C"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F1D"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F1E" w14:textId="77777777" w:rsidR="00996AD7" w:rsidRDefault="00D96458">
            <w:pPr>
              <w:jc w:val="right"/>
              <w:textAlignment w:val="bottom"/>
            </w:pPr>
            <w:r>
              <w:rPr>
                <w:rFonts w:ascii="Arial" w:eastAsia="宋体" w:hAnsi="Arial" w:cs="Arial"/>
                <w:color w:val="0068B5"/>
                <w:sz w:val="18"/>
                <w:szCs w:val="18"/>
              </w:rPr>
              <w:t>170 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F1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F20"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F21"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F22" w14:textId="77777777" w:rsidR="00996AD7" w:rsidRDefault="00D96458">
            <w:pPr>
              <w:jc w:val="right"/>
              <w:textAlignment w:val="bottom"/>
            </w:pPr>
            <w:r>
              <w:rPr>
                <w:rFonts w:ascii="Arial" w:eastAsia="宋体" w:hAnsi="Arial" w:cs="Arial"/>
                <w:color w:val="262626"/>
                <w:sz w:val="18"/>
                <w:szCs w:val="18"/>
              </w:rPr>
              <w:t>(166)</w:t>
            </w:r>
          </w:p>
        </w:tc>
        <w:tc>
          <w:tcPr>
            <w:tcW w:w="0" w:type="auto"/>
            <w:tcBorders>
              <w:top w:val="single" w:sz="8" w:space="0" w:color="0068B5"/>
            </w:tcBorders>
            <w:shd w:val="clear" w:color="auto" w:fill="auto"/>
            <w:tcMar>
              <w:top w:w="40" w:type="dxa"/>
              <w:left w:w="0" w:type="dxa"/>
              <w:bottom w:w="40" w:type="dxa"/>
              <w:right w:w="20" w:type="dxa"/>
            </w:tcMar>
            <w:vAlign w:val="bottom"/>
          </w:tcPr>
          <w:p w14:paraId="39D98F2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F24"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F25"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F26" w14:textId="77777777" w:rsidR="00996AD7" w:rsidRDefault="00D96458">
            <w:pPr>
              <w:jc w:val="right"/>
              <w:textAlignment w:val="bottom"/>
            </w:pPr>
            <w:r>
              <w:rPr>
                <w:rFonts w:ascii="Arial" w:eastAsia="宋体" w:hAnsi="Arial" w:cs="Arial"/>
                <w:color w:val="0068B5"/>
                <w:sz w:val="18"/>
                <w:szCs w:val="18"/>
              </w:rPr>
              <w:t>382 </w:t>
            </w:r>
          </w:p>
        </w:tc>
        <w:tc>
          <w:tcPr>
            <w:tcW w:w="0" w:type="auto"/>
            <w:tcBorders>
              <w:top w:val="single" w:sz="8" w:space="0" w:color="0068B5"/>
            </w:tcBorders>
            <w:shd w:val="clear" w:color="auto" w:fill="auto"/>
            <w:tcMar>
              <w:top w:w="40" w:type="dxa"/>
              <w:left w:w="0" w:type="dxa"/>
              <w:bottom w:w="40" w:type="dxa"/>
              <w:right w:w="20" w:type="dxa"/>
            </w:tcMar>
            <w:vAlign w:val="bottom"/>
          </w:tcPr>
          <w:p w14:paraId="39D98F2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F28"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8F29"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8F2A" w14:textId="77777777" w:rsidR="00996AD7" w:rsidRDefault="00D96458">
            <w:pPr>
              <w:jc w:val="right"/>
              <w:textAlignment w:val="bottom"/>
            </w:pPr>
            <w:r>
              <w:rPr>
                <w:rFonts w:ascii="Arial" w:eastAsia="宋体" w:hAnsi="Arial" w:cs="Arial"/>
                <w:color w:val="262626"/>
                <w:sz w:val="18"/>
                <w:szCs w:val="18"/>
              </w:rPr>
              <w:t>(228)</w:t>
            </w:r>
          </w:p>
        </w:tc>
        <w:tc>
          <w:tcPr>
            <w:tcW w:w="0" w:type="auto"/>
            <w:tcBorders>
              <w:top w:val="single" w:sz="8" w:space="0" w:color="0068B5"/>
            </w:tcBorders>
            <w:shd w:val="clear" w:color="auto" w:fill="auto"/>
            <w:tcMar>
              <w:top w:w="40" w:type="dxa"/>
              <w:left w:w="0" w:type="dxa"/>
              <w:bottom w:w="40" w:type="dxa"/>
              <w:right w:w="20" w:type="dxa"/>
            </w:tcMar>
            <w:vAlign w:val="bottom"/>
          </w:tcPr>
          <w:p w14:paraId="39D98F2B" w14:textId="77777777" w:rsidR="00996AD7" w:rsidRDefault="00996AD7">
            <w:pPr>
              <w:jc w:val="right"/>
              <w:rPr>
                <w:rFonts w:ascii="宋体"/>
              </w:rPr>
            </w:pPr>
          </w:p>
        </w:tc>
        <w:tc>
          <w:tcPr>
            <w:tcW w:w="0" w:type="auto"/>
            <w:shd w:val="clear" w:color="auto" w:fill="auto"/>
            <w:vAlign w:val="bottom"/>
          </w:tcPr>
          <w:p w14:paraId="39D98F2C" w14:textId="77777777" w:rsidR="00996AD7" w:rsidRDefault="00996AD7">
            <w:pPr>
              <w:rPr>
                <w:rFonts w:ascii="宋体"/>
                <w:vanish/>
              </w:rPr>
            </w:pPr>
          </w:p>
        </w:tc>
        <w:tc>
          <w:tcPr>
            <w:tcW w:w="0" w:type="auto"/>
            <w:shd w:val="clear" w:color="auto" w:fill="auto"/>
            <w:vAlign w:val="bottom"/>
          </w:tcPr>
          <w:p w14:paraId="39D98F2D" w14:textId="77777777" w:rsidR="00996AD7" w:rsidRDefault="00996AD7">
            <w:pPr>
              <w:rPr>
                <w:rFonts w:ascii="宋体"/>
                <w:vanish/>
              </w:rPr>
            </w:pPr>
          </w:p>
        </w:tc>
        <w:tc>
          <w:tcPr>
            <w:tcW w:w="0" w:type="auto"/>
            <w:gridSpan w:val="3"/>
            <w:shd w:val="clear" w:color="auto" w:fill="auto"/>
            <w:vAlign w:val="bottom"/>
          </w:tcPr>
          <w:p w14:paraId="39D98F2E" w14:textId="77777777" w:rsidR="00996AD7" w:rsidRDefault="00996AD7">
            <w:pPr>
              <w:rPr>
                <w:rFonts w:ascii="宋体"/>
                <w:vanish/>
              </w:rPr>
            </w:pPr>
          </w:p>
        </w:tc>
        <w:tc>
          <w:tcPr>
            <w:tcW w:w="0" w:type="auto"/>
            <w:gridSpan w:val="3"/>
            <w:shd w:val="clear" w:color="auto" w:fill="auto"/>
            <w:vAlign w:val="bottom"/>
          </w:tcPr>
          <w:p w14:paraId="39D98F2F" w14:textId="77777777" w:rsidR="00996AD7" w:rsidRDefault="00996AD7">
            <w:pPr>
              <w:rPr>
                <w:rFonts w:ascii="宋体"/>
                <w:vanish/>
              </w:rPr>
            </w:pPr>
          </w:p>
        </w:tc>
      </w:tr>
      <w:tr w:rsidR="00996AD7" w14:paraId="39D98F44" w14:textId="77777777">
        <w:tc>
          <w:tcPr>
            <w:tcW w:w="0" w:type="auto"/>
            <w:gridSpan w:val="3"/>
            <w:shd w:val="clear" w:color="auto" w:fill="auto"/>
            <w:tcMar>
              <w:top w:w="40" w:type="dxa"/>
              <w:left w:w="20" w:type="dxa"/>
              <w:bottom w:w="40" w:type="dxa"/>
              <w:right w:w="20" w:type="dxa"/>
            </w:tcMar>
          </w:tcPr>
          <w:p w14:paraId="39D98F31" w14:textId="77777777" w:rsidR="00996AD7" w:rsidRDefault="00D96458">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39D98F3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8F33" w14:textId="77777777" w:rsidR="00996AD7" w:rsidRDefault="00D96458">
            <w:pPr>
              <w:ind w:hanging="180"/>
              <w:textAlignment w:val="top"/>
            </w:pPr>
            <w:r>
              <w:rPr>
                <w:rFonts w:ascii="Arial" w:eastAsia="宋体" w:hAnsi="Arial" w:cs="Arial"/>
                <w:color w:val="262626"/>
                <w:sz w:val="18"/>
                <w:szCs w:val="18"/>
              </w:rPr>
              <w:t xml:space="preserve">Interest and </w:t>
            </w: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39D98F3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F35" w14:textId="77777777" w:rsidR="00996AD7" w:rsidRDefault="00D96458">
            <w:pPr>
              <w:jc w:val="right"/>
              <w:textAlignment w:val="bottom"/>
            </w:pPr>
            <w:r>
              <w:rPr>
                <w:rFonts w:ascii="Arial" w:eastAsia="宋体" w:hAnsi="Arial" w:cs="Arial"/>
                <w:color w:val="0068B5"/>
                <w:sz w:val="18"/>
                <w:szCs w:val="18"/>
              </w:rPr>
              <w:t>(7)</w:t>
            </w:r>
          </w:p>
        </w:tc>
        <w:tc>
          <w:tcPr>
            <w:tcW w:w="0" w:type="auto"/>
            <w:shd w:val="clear" w:color="auto" w:fill="auto"/>
            <w:tcMar>
              <w:top w:w="40" w:type="dxa"/>
              <w:left w:w="0" w:type="dxa"/>
              <w:bottom w:w="40" w:type="dxa"/>
              <w:right w:w="20" w:type="dxa"/>
            </w:tcMar>
            <w:vAlign w:val="bottom"/>
          </w:tcPr>
          <w:p w14:paraId="39D98F3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F3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F38" w14:textId="77777777" w:rsidR="00996AD7" w:rsidRDefault="00D96458">
            <w:pPr>
              <w:jc w:val="right"/>
              <w:textAlignment w:val="bottom"/>
            </w:pPr>
            <w:r>
              <w:rPr>
                <w:rFonts w:ascii="Arial" w:eastAsia="宋体" w:hAnsi="Arial" w:cs="Arial"/>
                <w:color w:val="262626"/>
                <w:sz w:val="18"/>
                <w:szCs w:val="18"/>
              </w:rPr>
              <w:t>(3)</w:t>
            </w:r>
          </w:p>
        </w:tc>
        <w:tc>
          <w:tcPr>
            <w:tcW w:w="0" w:type="auto"/>
            <w:shd w:val="clear" w:color="auto" w:fill="auto"/>
            <w:tcMar>
              <w:top w:w="40" w:type="dxa"/>
              <w:left w:w="0" w:type="dxa"/>
              <w:bottom w:w="40" w:type="dxa"/>
              <w:right w:w="20" w:type="dxa"/>
            </w:tcMar>
            <w:vAlign w:val="bottom"/>
          </w:tcPr>
          <w:p w14:paraId="39D98F3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F3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F3B" w14:textId="77777777" w:rsidR="00996AD7" w:rsidRDefault="00D96458">
            <w:pPr>
              <w:jc w:val="right"/>
              <w:textAlignment w:val="bottom"/>
            </w:pPr>
            <w:r>
              <w:rPr>
                <w:rFonts w:ascii="Arial" w:eastAsia="宋体" w:hAnsi="Arial" w:cs="Arial"/>
                <w:color w:val="0068B5"/>
                <w:sz w:val="18"/>
                <w:szCs w:val="18"/>
              </w:rPr>
              <w:t>14 </w:t>
            </w:r>
          </w:p>
        </w:tc>
        <w:tc>
          <w:tcPr>
            <w:tcW w:w="0" w:type="auto"/>
            <w:shd w:val="clear" w:color="auto" w:fill="auto"/>
            <w:tcMar>
              <w:top w:w="40" w:type="dxa"/>
              <w:left w:w="0" w:type="dxa"/>
              <w:bottom w:w="40" w:type="dxa"/>
              <w:right w:w="20" w:type="dxa"/>
            </w:tcMar>
            <w:vAlign w:val="bottom"/>
          </w:tcPr>
          <w:p w14:paraId="39D98F3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F3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F3E" w14:textId="77777777" w:rsidR="00996AD7" w:rsidRDefault="00D96458">
            <w:pPr>
              <w:jc w:val="right"/>
              <w:textAlignment w:val="bottom"/>
            </w:pPr>
            <w:r>
              <w:rPr>
                <w:rFonts w:ascii="Arial" w:eastAsia="宋体" w:hAnsi="Arial" w:cs="Arial"/>
                <w:color w:val="262626"/>
                <w:sz w:val="18"/>
                <w:szCs w:val="18"/>
              </w:rPr>
              <w:t>(94)</w:t>
            </w:r>
          </w:p>
        </w:tc>
        <w:tc>
          <w:tcPr>
            <w:tcW w:w="0" w:type="auto"/>
            <w:shd w:val="clear" w:color="auto" w:fill="auto"/>
            <w:tcMar>
              <w:top w:w="40" w:type="dxa"/>
              <w:left w:w="0" w:type="dxa"/>
              <w:bottom w:w="40" w:type="dxa"/>
              <w:right w:w="20" w:type="dxa"/>
            </w:tcMar>
            <w:vAlign w:val="bottom"/>
          </w:tcPr>
          <w:p w14:paraId="39D98F3F" w14:textId="77777777" w:rsidR="00996AD7" w:rsidRDefault="00996AD7">
            <w:pPr>
              <w:jc w:val="right"/>
              <w:rPr>
                <w:rFonts w:ascii="宋体"/>
              </w:rPr>
            </w:pPr>
          </w:p>
        </w:tc>
        <w:tc>
          <w:tcPr>
            <w:tcW w:w="0" w:type="auto"/>
            <w:shd w:val="clear" w:color="auto" w:fill="auto"/>
            <w:vAlign w:val="bottom"/>
          </w:tcPr>
          <w:p w14:paraId="39D98F40" w14:textId="77777777" w:rsidR="00996AD7" w:rsidRDefault="00996AD7">
            <w:pPr>
              <w:rPr>
                <w:rFonts w:ascii="宋体"/>
                <w:vanish/>
              </w:rPr>
            </w:pPr>
          </w:p>
        </w:tc>
        <w:tc>
          <w:tcPr>
            <w:tcW w:w="0" w:type="auto"/>
            <w:shd w:val="clear" w:color="auto" w:fill="auto"/>
            <w:vAlign w:val="bottom"/>
          </w:tcPr>
          <w:p w14:paraId="39D98F41" w14:textId="77777777" w:rsidR="00996AD7" w:rsidRDefault="00996AD7">
            <w:pPr>
              <w:rPr>
                <w:rFonts w:ascii="宋体"/>
                <w:vanish/>
              </w:rPr>
            </w:pPr>
          </w:p>
        </w:tc>
        <w:tc>
          <w:tcPr>
            <w:tcW w:w="0" w:type="auto"/>
            <w:gridSpan w:val="3"/>
            <w:shd w:val="clear" w:color="auto" w:fill="auto"/>
            <w:vAlign w:val="bottom"/>
          </w:tcPr>
          <w:p w14:paraId="39D98F42" w14:textId="77777777" w:rsidR="00996AD7" w:rsidRDefault="00996AD7">
            <w:pPr>
              <w:rPr>
                <w:rFonts w:ascii="宋体"/>
                <w:vanish/>
              </w:rPr>
            </w:pPr>
          </w:p>
        </w:tc>
        <w:tc>
          <w:tcPr>
            <w:tcW w:w="0" w:type="auto"/>
            <w:gridSpan w:val="3"/>
            <w:shd w:val="clear" w:color="auto" w:fill="auto"/>
            <w:vAlign w:val="bottom"/>
          </w:tcPr>
          <w:p w14:paraId="39D98F43" w14:textId="77777777" w:rsidR="00996AD7" w:rsidRDefault="00996AD7">
            <w:pPr>
              <w:rPr>
                <w:rFonts w:ascii="宋体"/>
                <w:vanish/>
              </w:rPr>
            </w:pPr>
          </w:p>
        </w:tc>
      </w:tr>
      <w:tr w:rsidR="00996AD7" w14:paraId="39D98F58" w14:textId="77777777">
        <w:tc>
          <w:tcPr>
            <w:tcW w:w="0" w:type="auto"/>
            <w:gridSpan w:val="3"/>
            <w:shd w:val="clear" w:color="auto" w:fill="auto"/>
            <w:tcMar>
              <w:top w:w="40" w:type="dxa"/>
              <w:left w:w="20" w:type="dxa"/>
              <w:bottom w:w="40" w:type="dxa"/>
              <w:right w:w="20" w:type="dxa"/>
            </w:tcMar>
          </w:tcPr>
          <w:p w14:paraId="39D98F45" w14:textId="77777777" w:rsidR="00996AD7" w:rsidRDefault="00D96458">
            <w:pPr>
              <w:ind w:hanging="180"/>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39D98F46"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8F47" w14:textId="77777777" w:rsidR="00996AD7" w:rsidRDefault="00D96458">
            <w:pPr>
              <w:ind w:hanging="180"/>
              <w:textAlignment w:val="top"/>
            </w:pPr>
            <w:r>
              <w:rPr>
                <w:rFonts w:ascii="Arial" w:eastAsia="宋体" w:hAnsi="Arial" w:cs="Arial"/>
                <w:color w:val="262626"/>
                <w:sz w:val="18"/>
                <w:szCs w:val="18"/>
              </w:rPr>
              <w:t>Various</w:t>
            </w:r>
          </w:p>
        </w:tc>
        <w:tc>
          <w:tcPr>
            <w:tcW w:w="0" w:type="auto"/>
            <w:gridSpan w:val="3"/>
            <w:shd w:val="clear" w:color="auto" w:fill="auto"/>
            <w:tcMar>
              <w:top w:w="0" w:type="dxa"/>
              <w:left w:w="20" w:type="dxa"/>
              <w:bottom w:w="0" w:type="dxa"/>
              <w:right w:w="20" w:type="dxa"/>
            </w:tcMar>
            <w:vAlign w:val="bottom"/>
          </w:tcPr>
          <w:p w14:paraId="39D98F4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F49" w14:textId="77777777" w:rsidR="00996AD7" w:rsidRDefault="00D96458">
            <w:pPr>
              <w:jc w:val="right"/>
              <w:textAlignment w:val="bottom"/>
            </w:pPr>
            <w:r>
              <w:rPr>
                <w:rFonts w:ascii="Arial" w:eastAsia="宋体" w:hAnsi="Arial" w:cs="Arial"/>
                <w:color w:val="0068B5"/>
                <w:sz w:val="18"/>
                <w:szCs w:val="18"/>
              </w:rPr>
              <w:t>84 </w:t>
            </w:r>
          </w:p>
        </w:tc>
        <w:tc>
          <w:tcPr>
            <w:tcW w:w="0" w:type="auto"/>
            <w:shd w:val="clear" w:color="auto" w:fill="auto"/>
            <w:tcMar>
              <w:top w:w="40" w:type="dxa"/>
              <w:left w:w="0" w:type="dxa"/>
              <w:bottom w:w="40" w:type="dxa"/>
              <w:right w:w="20" w:type="dxa"/>
            </w:tcMar>
            <w:vAlign w:val="bottom"/>
          </w:tcPr>
          <w:p w14:paraId="39D98F4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F4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F4C" w14:textId="77777777" w:rsidR="00996AD7" w:rsidRDefault="00D96458">
            <w:pPr>
              <w:jc w:val="right"/>
              <w:textAlignment w:val="bottom"/>
            </w:pPr>
            <w:r>
              <w:rPr>
                <w:rFonts w:ascii="Arial" w:eastAsia="宋体" w:hAnsi="Arial" w:cs="Arial"/>
                <w:color w:val="262626"/>
                <w:sz w:val="18"/>
                <w:szCs w:val="18"/>
              </w:rPr>
              <w:t>138 </w:t>
            </w:r>
          </w:p>
        </w:tc>
        <w:tc>
          <w:tcPr>
            <w:tcW w:w="0" w:type="auto"/>
            <w:shd w:val="clear" w:color="auto" w:fill="auto"/>
            <w:tcMar>
              <w:top w:w="40" w:type="dxa"/>
              <w:left w:w="0" w:type="dxa"/>
              <w:bottom w:w="40" w:type="dxa"/>
              <w:right w:w="20" w:type="dxa"/>
            </w:tcMar>
            <w:vAlign w:val="bottom"/>
          </w:tcPr>
          <w:p w14:paraId="39D98F4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F4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F4F" w14:textId="77777777" w:rsidR="00996AD7" w:rsidRDefault="00D96458">
            <w:pPr>
              <w:jc w:val="right"/>
              <w:textAlignment w:val="bottom"/>
            </w:pPr>
            <w:r>
              <w:rPr>
                <w:rFonts w:ascii="Arial" w:eastAsia="宋体" w:hAnsi="Arial" w:cs="Arial"/>
                <w:color w:val="0068B5"/>
                <w:sz w:val="18"/>
                <w:szCs w:val="18"/>
              </w:rPr>
              <w:t>279 </w:t>
            </w:r>
          </w:p>
        </w:tc>
        <w:tc>
          <w:tcPr>
            <w:tcW w:w="0" w:type="auto"/>
            <w:shd w:val="clear" w:color="auto" w:fill="auto"/>
            <w:tcMar>
              <w:top w:w="40" w:type="dxa"/>
              <w:left w:w="0" w:type="dxa"/>
              <w:bottom w:w="40" w:type="dxa"/>
              <w:right w:w="20" w:type="dxa"/>
            </w:tcMar>
            <w:vAlign w:val="bottom"/>
          </w:tcPr>
          <w:p w14:paraId="39D98F5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F5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8F52" w14:textId="77777777" w:rsidR="00996AD7" w:rsidRDefault="00D96458">
            <w:pPr>
              <w:jc w:val="right"/>
              <w:textAlignment w:val="bottom"/>
            </w:pPr>
            <w:r>
              <w:rPr>
                <w:rFonts w:ascii="Arial" w:eastAsia="宋体" w:hAnsi="Arial" w:cs="Arial"/>
                <w:color w:val="262626"/>
                <w:sz w:val="18"/>
                <w:szCs w:val="18"/>
              </w:rPr>
              <w:t>95 </w:t>
            </w:r>
          </w:p>
        </w:tc>
        <w:tc>
          <w:tcPr>
            <w:tcW w:w="0" w:type="auto"/>
            <w:shd w:val="clear" w:color="auto" w:fill="auto"/>
            <w:tcMar>
              <w:top w:w="40" w:type="dxa"/>
              <w:left w:w="0" w:type="dxa"/>
              <w:bottom w:w="40" w:type="dxa"/>
              <w:right w:w="20" w:type="dxa"/>
            </w:tcMar>
            <w:vAlign w:val="bottom"/>
          </w:tcPr>
          <w:p w14:paraId="39D98F53" w14:textId="77777777" w:rsidR="00996AD7" w:rsidRDefault="00996AD7">
            <w:pPr>
              <w:jc w:val="right"/>
              <w:rPr>
                <w:rFonts w:ascii="宋体"/>
              </w:rPr>
            </w:pPr>
          </w:p>
        </w:tc>
        <w:tc>
          <w:tcPr>
            <w:tcW w:w="0" w:type="auto"/>
            <w:shd w:val="clear" w:color="auto" w:fill="auto"/>
            <w:vAlign w:val="bottom"/>
          </w:tcPr>
          <w:p w14:paraId="39D98F54" w14:textId="77777777" w:rsidR="00996AD7" w:rsidRDefault="00996AD7">
            <w:pPr>
              <w:rPr>
                <w:rFonts w:ascii="宋体"/>
                <w:vanish/>
              </w:rPr>
            </w:pPr>
          </w:p>
        </w:tc>
        <w:tc>
          <w:tcPr>
            <w:tcW w:w="0" w:type="auto"/>
            <w:shd w:val="clear" w:color="auto" w:fill="auto"/>
            <w:vAlign w:val="bottom"/>
          </w:tcPr>
          <w:p w14:paraId="39D98F55" w14:textId="77777777" w:rsidR="00996AD7" w:rsidRDefault="00996AD7">
            <w:pPr>
              <w:rPr>
                <w:rFonts w:ascii="宋体"/>
                <w:vanish/>
              </w:rPr>
            </w:pPr>
          </w:p>
        </w:tc>
        <w:tc>
          <w:tcPr>
            <w:tcW w:w="0" w:type="auto"/>
            <w:gridSpan w:val="3"/>
            <w:shd w:val="clear" w:color="auto" w:fill="auto"/>
            <w:vAlign w:val="bottom"/>
          </w:tcPr>
          <w:p w14:paraId="39D98F56" w14:textId="77777777" w:rsidR="00996AD7" w:rsidRDefault="00996AD7">
            <w:pPr>
              <w:rPr>
                <w:rFonts w:ascii="宋体"/>
                <w:vanish/>
              </w:rPr>
            </w:pPr>
          </w:p>
        </w:tc>
        <w:tc>
          <w:tcPr>
            <w:tcW w:w="0" w:type="auto"/>
            <w:gridSpan w:val="3"/>
            <w:shd w:val="clear" w:color="auto" w:fill="auto"/>
            <w:vAlign w:val="bottom"/>
          </w:tcPr>
          <w:p w14:paraId="39D98F57" w14:textId="77777777" w:rsidR="00996AD7" w:rsidRDefault="00996AD7">
            <w:pPr>
              <w:rPr>
                <w:rFonts w:ascii="宋体"/>
                <w:vanish/>
              </w:rPr>
            </w:pPr>
          </w:p>
        </w:tc>
      </w:tr>
      <w:tr w:rsidR="00996AD7" w14:paraId="39D98F70" w14:textId="77777777">
        <w:tc>
          <w:tcPr>
            <w:tcW w:w="0" w:type="auto"/>
            <w:gridSpan w:val="3"/>
            <w:shd w:val="clear" w:color="auto" w:fill="auto"/>
            <w:tcMar>
              <w:top w:w="40" w:type="dxa"/>
              <w:left w:w="20" w:type="dxa"/>
              <w:bottom w:w="40" w:type="dxa"/>
              <w:right w:w="20" w:type="dxa"/>
            </w:tcMar>
          </w:tcPr>
          <w:p w14:paraId="39D98F59" w14:textId="77777777" w:rsidR="00996AD7" w:rsidRDefault="00D9645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39D98F5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F5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8F5C"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F5D"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F5E" w14:textId="77777777" w:rsidR="00996AD7" w:rsidRDefault="00D96458">
            <w:pPr>
              <w:jc w:val="right"/>
              <w:textAlignment w:val="bottom"/>
            </w:pPr>
            <w:r>
              <w:rPr>
                <w:rFonts w:ascii="Arial" w:eastAsia="宋体" w:hAnsi="Arial" w:cs="Arial"/>
                <w:b/>
                <w:bCs/>
                <w:color w:val="0068B5"/>
                <w:sz w:val="18"/>
                <w:szCs w:val="18"/>
              </w:rPr>
              <w:t>247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F5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F60"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F61"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F62" w14:textId="77777777" w:rsidR="00996AD7" w:rsidRDefault="00D96458">
            <w:pPr>
              <w:jc w:val="right"/>
              <w:textAlignment w:val="bottom"/>
            </w:pPr>
            <w:r>
              <w:rPr>
                <w:rFonts w:ascii="Arial" w:eastAsia="宋体" w:hAnsi="Arial" w:cs="Arial"/>
                <w:b/>
                <w:bCs/>
                <w:color w:val="262626"/>
                <w:sz w:val="18"/>
                <w:szCs w:val="18"/>
              </w:rPr>
              <w:t>(31)</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F6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F64"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F65"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F66" w14:textId="77777777" w:rsidR="00996AD7" w:rsidRDefault="00D96458">
            <w:pPr>
              <w:jc w:val="right"/>
              <w:textAlignment w:val="bottom"/>
            </w:pPr>
            <w:r>
              <w:rPr>
                <w:rFonts w:ascii="Arial" w:eastAsia="宋体" w:hAnsi="Arial" w:cs="Arial"/>
                <w:b/>
                <w:bCs/>
                <w:color w:val="0068B5"/>
                <w:sz w:val="18"/>
                <w:szCs w:val="18"/>
              </w:rPr>
              <w:t>675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F6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8F68"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8F69"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8F6A" w14:textId="77777777" w:rsidR="00996AD7" w:rsidRDefault="00D96458">
            <w:pPr>
              <w:jc w:val="right"/>
              <w:textAlignment w:val="bottom"/>
            </w:pPr>
            <w:r>
              <w:rPr>
                <w:rFonts w:ascii="Arial" w:eastAsia="宋体" w:hAnsi="Arial" w:cs="Arial"/>
                <w:b/>
                <w:bCs/>
                <w:color w:val="262626"/>
                <w:sz w:val="18"/>
                <w:szCs w:val="18"/>
              </w:rPr>
              <w:t>(227)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8F6B" w14:textId="77777777" w:rsidR="00996AD7" w:rsidRDefault="00996AD7">
            <w:pPr>
              <w:jc w:val="right"/>
              <w:rPr>
                <w:rFonts w:ascii="宋体"/>
              </w:rPr>
            </w:pPr>
          </w:p>
        </w:tc>
        <w:tc>
          <w:tcPr>
            <w:tcW w:w="0" w:type="auto"/>
            <w:shd w:val="clear" w:color="auto" w:fill="auto"/>
            <w:vAlign w:val="bottom"/>
          </w:tcPr>
          <w:p w14:paraId="39D98F6C" w14:textId="77777777" w:rsidR="00996AD7" w:rsidRDefault="00996AD7">
            <w:pPr>
              <w:rPr>
                <w:rFonts w:ascii="宋体"/>
                <w:vanish/>
              </w:rPr>
            </w:pPr>
          </w:p>
        </w:tc>
        <w:tc>
          <w:tcPr>
            <w:tcW w:w="0" w:type="auto"/>
            <w:shd w:val="clear" w:color="auto" w:fill="auto"/>
            <w:vAlign w:val="bottom"/>
          </w:tcPr>
          <w:p w14:paraId="39D98F6D" w14:textId="77777777" w:rsidR="00996AD7" w:rsidRDefault="00996AD7">
            <w:pPr>
              <w:rPr>
                <w:rFonts w:ascii="宋体"/>
                <w:vanish/>
              </w:rPr>
            </w:pPr>
          </w:p>
        </w:tc>
        <w:tc>
          <w:tcPr>
            <w:tcW w:w="0" w:type="auto"/>
            <w:gridSpan w:val="3"/>
            <w:shd w:val="clear" w:color="auto" w:fill="auto"/>
            <w:vAlign w:val="bottom"/>
          </w:tcPr>
          <w:p w14:paraId="39D98F6E" w14:textId="77777777" w:rsidR="00996AD7" w:rsidRDefault="00996AD7">
            <w:pPr>
              <w:rPr>
                <w:rFonts w:ascii="宋体"/>
                <w:vanish/>
              </w:rPr>
            </w:pPr>
          </w:p>
        </w:tc>
        <w:tc>
          <w:tcPr>
            <w:tcW w:w="0" w:type="auto"/>
            <w:gridSpan w:val="3"/>
            <w:shd w:val="clear" w:color="auto" w:fill="auto"/>
            <w:vAlign w:val="bottom"/>
          </w:tcPr>
          <w:p w14:paraId="39D98F6F" w14:textId="77777777" w:rsidR="00996AD7" w:rsidRDefault="00996AD7">
            <w:pPr>
              <w:rPr>
                <w:rFonts w:ascii="宋体"/>
                <w:vanish/>
              </w:rPr>
            </w:pPr>
          </w:p>
        </w:tc>
      </w:tr>
    </w:tbl>
    <w:p w14:paraId="39D98F71"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996AD7" w14:paraId="39D98F78" w14:textId="77777777">
        <w:tc>
          <w:tcPr>
            <w:tcW w:w="50" w:type="pct"/>
            <w:shd w:val="clear" w:color="auto" w:fill="auto"/>
            <w:vAlign w:val="bottom"/>
          </w:tcPr>
          <w:p w14:paraId="39D98F72" w14:textId="77777777" w:rsidR="00996AD7" w:rsidRDefault="00996AD7">
            <w:pPr>
              <w:rPr>
                <w:rFonts w:ascii="宋体"/>
              </w:rPr>
            </w:pPr>
          </w:p>
        </w:tc>
        <w:tc>
          <w:tcPr>
            <w:tcW w:w="511" w:type="pct"/>
            <w:shd w:val="clear" w:color="auto" w:fill="auto"/>
            <w:vAlign w:val="bottom"/>
          </w:tcPr>
          <w:p w14:paraId="39D98F73" w14:textId="77777777" w:rsidR="00996AD7" w:rsidRDefault="00996AD7">
            <w:pPr>
              <w:rPr>
                <w:rFonts w:ascii="宋体"/>
              </w:rPr>
            </w:pPr>
          </w:p>
        </w:tc>
        <w:tc>
          <w:tcPr>
            <w:tcW w:w="5" w:type="pct"/>
            <w:shd w:val="clear" w:color="auto" w:fill="auto"/>
            <w:vAlign w:val="bottom"/>
          </w:tcPr>
          <w:p w14:paraId="39D98F74" w14:textId="77777777" w:rsidR="00996AD7" w:rsidRDefault="00996AD7">
            <w:pPr>
              <w:rPr>
                <w:rFonts w:ascii="宋体"/>
              </w:rPr>
            </w:pPr>
          </w:p>
        </w:tc>
        <w:tc>
          <w:tcPr>
            <w:tcW w:w="50" w:type="pct"/>
            <w:shd w:val="clear" w:color="auto" w:fill="auto"/>
            <w:vAlign w:val="bottom"/>
          </w:tcPr>
          <w:p w14:paraId="39D98F75" w14:textId="77777777" w:rsidR="00996AD7" w:rsidRDefault="00996AD7">
            <w:pPr>
              <w:rPr>
                <w:rFonts w:ascii="宋体"/>
              </w:rPr>
            </w:pPr>
          </w:p>
        </w:tc>
        <w:tc>
          <w:tcPr>
            <w:tcW w:w="4378" w:type="pct"/>
            <w:shd w:val="clear" w:color="auto" w:fill="auto"/>
            <w:vAlign w:val="bottom"/>
          </w:tcPr>
          <w:p w14:paraId="39D98F76" w14:textId="77777777" w:rsidR="00996AD7" w:rsidRDefault="00996AD7">
            <w:pPr>
              <w:rPr>
                <w:rFonts w:ascii="宋体"/>
              </w:rPr>
            </w:pPr>
          </w:p>
        </w:tc>
        <w:tc>
          <w:tcPr>
            <w:tcW w:w="5" w:type="pct"/>
            <w:shd w:val="clear" w:color="auto" w:fill="auto"/>
            <w:vAlign w:val="bottom"/>
          </w:tcPr>
          <w:p w14:paraId="39D98F77" w14:textId="77777777" w:rsidR="00996AD7" w:rsidRDefault="00996AD7">
            <w:pPr>
              <w:rPr>
                <w:rFonts w:ascii="宋体"/>
              </w:rPr>
            </w:pPr>
          </w:p>
        </w:tc>
      </w:tr>
      <w:tr w:rsidR="00996AD7" w14:paraId="39D98F7B"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39D98F79" w14:textId="77777777" w:rsidR="00996AD7" w:rsidRDefault="00D96458">
            <w:pPr>
              <w:textAlignment w:val="bottom"/>
            </w:pPr>
            <w:r>
              <w:rPr>
                <w:rFonts w:ascii="Arial" w:eastAsia="宋体" w:hAnsi="Arial" w:cs="Arial"/>
                <w:color w:val="FFFFFF"/>
                <w:sz w:val="28"/>
                <w:szCs w:val="28"/>
              </w:rPr>
              <w:t xml:space="preserve">Note 13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8F7A" w14:textId="77777777" w:rsidR="00996AD7" w:rsidRDefault="00D96458">
            <w:pPr>
              <w:textAlignment w:val="bottom"/>
            </w:pPr>
            <w:r>
              <w:rPr>
                <w:rFonts w:ascii="Arial" w:eastAsia="宋体" w:hAnsi="Arial" w:cs="Arial"/>
                <w:color w:val="0068B5"/>
                <w:sz w:val="28"/>
                <w:szCs w:val="28"/>
              </w:rPr>
              <w:t>Contingencies</w:t>
            </w:r>
          </w:p>
        </w:tc>
      </w:tr>
    </w:tbl>
    <w:p w14:paraId="39D98F7C" w14:textId="77777777" w:rsidR="00996AD7" w:rsidRDefault="00D96458">
      <w:pPr>
        <w:spacing w:after="180"/>
      </w:pPr>
      <w:r>
        <w:rPr>
          <w:rFonts w:ascii="Arial" w:eastAsia="宋体" w:hAnsi="Arial" w:cs="Arial"/>
          <w:color w:val="0068B5"/>
        </w:rPr>
        <w:t xml:space="preserve">Legal </w:t>
      </w:r>
      <w:r>
        <w:rPr>
          <w:rFonts w:ascii="Arial" w:eastAsia="宋体" w:hAnsi="Arial" w:cs="Arial"/>
          <w:color w:val="0068B5"/>
        </w:rPr>
        <w:t>Proceedings</w:t>
      </w:r>
    </w:p>
    <w:p w14:paraId="39D98F7D" w14:textId="77777777" w:rsidR="00996AD7" w:rsidRDefault="00D96458">
      <w:pPr>
        <w:spacing w:after="180"/>
      </w:pPr>
      <w:r>
        <w:rPr>
          <w:rFonts w:ascii="Arial" w:eastAsia="宋体" w:hAnsi="Arial" w:cs="Arial"/>
          <w:color w:val="262626"/>
          <w:sz w:val="18"/>
          <w:szCs w:val="18"/>
        </w:rPr>
        <w:t>We are a party to various legal proceedings, including those noted in this section. In the first quarter of 2021, we accrued a charge of $2.2 billion related to litigation involving VLSI, described below. Excluding this charge, management at pr</w:t>
      </w:r>
      <w:r>
        <w:rPr>
          <w:rFonts w:ascii="Arial" w:eastAsia="宋体" w:hAnsi="Arial" w:cs="Arial"/>
          <w:color w:val="262626"/>
          <w:sz w:val="18"/>
          <w:szCs w:val="18"/>
        </w:rPr>
        <w:t>esent believes that the ultimate outcome of these proceedings, individually and in the aggregate, will not materially harm our financial position, results of operations, cash flows, or overall trends; however, legal proceedings and related government inves</w:t>
      </w:r>
      <w:r>
        <w:rPr>
          <w:rFonts w:ascii="Arial" w:eastAsia="宋体" w:hAnsi="Arial" w:cs="Arial"/>
          <w:color w:val="262626"/>
          <w:sz w:val="18"/>
          <w:szCs w:val="18"/>
        </w:rPr>
        <w:t>tigations are subject to inherent uncertainties, and unfavorable rulings or other events could occur. Unfavorable resolutions could include substantial monetary damages. In addition, in matters for which injunctive relief or other conduct remedies are soug</w:t>
      </w:r>
      <w:r>
        <w:rPr>
          <w:rFonts w:ascii="Arial" w:eastAsia="宋体" w:hAnsi="Arial" w:cs="Arial"/>
          <w:color w:val="262626"/>
          <w:sz w:val="18"/>
          <w:szCs w:val="18"/>
        </w:rPr>
        <w:t>ht, unfavorable resolutions could include an injunction or other order prohibiting us from selling one or more products at all or in particular ways, precluding particular business practices, or requiring other remedies. An unfavorable outcome may result i</w:t>
      </w:r>
      <w:r>
        <w:rPr>
          <w:rFonts w:ascii="Arial" w:eastAsia="宋体" w:hAnsi="Arial" w:cs="Arial"/>
          <w:color w:val="262626"/>
          <w:sz w:val="18"/>
          <w:szCs w:val="18"/>
        </w:rPr>
        <w:t>n a material adverse impact on our business, results of operations, financial position, and overall trends. We might also conclude that settling one or more such matters is in the best interests of our stockholders, employees, and customers, and any such s</w:t>
      </w:r>
      <w:r>
        <w:rPr>
          <w:rFonts w:ascii="Arial" w:eastAsia="宋体" w:hAnsi="Arial" w:cs="Arial"/>
          <w:color w:val="262626"/>
          <w:sz w:val="18"/>
          <w:szCs w:val="18"/>
        </w:rPr>
        <w:t>ettlement could include substantial payments. Except as specifically described below, we have not concluded that settlement of any of the legal proceedings noted in this section is appropriate at this time.</w:t>
      </w:r>
    </w:p>
    <w:p w14:paraId="39D98F7E" w14:textId="77777777" w:rsidR="00996AD7" w:rsidRDefault="00D96458">
      <w:pPr>
        <w:spacing w:after="120"/>
      </w:pPr>
      <w:r>
        <w:rPr>
          <w:rFonts w:ascii="Arial" w:eastAsia="宋体" w:hAnsi="Arial" w:cs="Arial"/>
          <w:color w:val="0068B5"/>
          <w:sz w:val="20"/>
          <w:szCs w:val="20"/>
        </w:rPr>
        <w:t>European Commission Competition Matter</w:t>
      </w:r>
    </w:p>
    <w:p w14:paraId="39D98F7F" w14:textId="77777777" w:rsidR="00996AD7" w:rsidRDefault="00D96458">
      <w:pPr>
        <w:spacing w:after="180"/>
      </w:pPr>
      <w:r>
        <w:rPr>
          <w:rFonts w:ascii="Arial" w:eastAsia="宋体" w:hAnsi="Arial" w:cs="Arial"/>
          <w:color w:val="262626"/>
          <w:sz w:val="18"/>
          <w:szCs w:val="18"/>
        </w:rPr>
        <w:t xml:space="preserve">In </w:t>
      </w:r>
      <w:r>
        <w:rPr>
          <w:rFonts w:ascii="Arial" w:eastAsia="宋体" w:hAnsi="Arial" w:cs="Arial"/>
          <w:color w:val="262626"/>
          <w:sz w:val="18"/>
          <w:szCs w:val="18"/>
        </w:rPr>
        <w:t xml:space="preserve">2001, the EC commenced an investigation regarding claims by Advanced Micro Devices, Inc. (AMD) that we used unfair business practices to persuade customers to buy our microprocessors. We received numerous requests for information and documents from the EC </w:t>
      </w:r>
      <w:r>
        <w:rPr>
          <w:rFonts w:ascii="Arial" w:eastAsia="宋体" w:hAnsi="Arial" w:cs="Arial"/>
          <w:color w:val="262626"/>
          <w:sz w:val="18"/>
          <w:szCs w:val="18"/>
        </w:rPr>
        <w:t>and we responded to each of those requests. The EC issued a Statement of Objections in July 2007 and held a hearing on that Statement in March 2008. The EC issued a Supplemental Statement of Objections in July 2008. In May 2009, the EC issued a decision fi</w:t>
      </w:r>
      <w:r>
        <w:rPr>
          <w:rFonts w:ascii="Arial" w:eastAsia="宋体" w:hAnsi="Arial" w:cs="Arial"/>
          <w:color w:val="262626"/>
          <w:sz w:val="18"/>
          <w:szCs w:val="18"/>
        </w:rPr>
        <w:t>nding that we had violated Article 82 of the EC Treaty and Article 54 of the European Economic Area Agreement. In general, the EC found that we violated Article 82 (later renumbered as Article 102 by a new treaty) by offering alleged "conditional rebates a</w:t>
      </w:r>
      <w:r>
        <w:rPr>
          <w:rFonts w:ascii="Arial" w:eastAsia="宋体" w:hAnsi="Arial" w:cs="Arial"/>
          <w:color w:val="262626"/>
          <w:sz w:val="18"/>
          <w:szCs w:val="18"/>
        </w:rPr>
        <w:t>nd payments" that required our customers to purchase all or most of their x86 microprocessors from us. The EC also found that we violated Article 82 by making alleged "payments to prevent sales of specific rival products." The EC imposed a fine in the amou</w:t>
      </w:r>
      <w:r>
        <w:rPr>
          <w:rFonts w:ascii="Arial" w:eastAsia="宋体" w:hAnsi="Arial" w:cs="Arial"/>
          <w:color w:val="262626"/>
          <w:sz w:val="18"/>
          <w:szCs w:val="18"/>
        </w:rPr>
        <w:t>nt of €1.1 billion ($1.4 billion as of May 2009), which we subsequently paid during the third quarter of 2009, and ordered us to "immediately bring to an end the infringement referred to in" the EC decision.</w:t>
      </w:r>
    </w:p>
    <w:p w14:paraId="39D98F80" w14:textId="77777777" w:rsidR="00996AD7" w:rsidRDefault="00D96458">
      <w:pPr>
        <w:spacing w:after="180"/>
      </w:pPr>
      <w:r>
        <w:rPr>
          <w:rFonts w:ascii="Arial" w:eastAsia="宋体" w:hAnsi="Arial" w:cs="Arial"/>
          <w:color w:val="262626"/>
          <w:sz w:val="18"/>
          <w:szCs w:val="18"/>
        </w:rPr>
        <w:t xml:space="preserve">The EC decision contained no specific direction </w:t>
      </w:r>
      <w:r>
        <w:rPr>
          <w:rFonts w:ascii="Arial" w:eastAsia="宋体" w:hAnsi="Arial" w:cs="Arial"/>
          <w:color w:val="262626"/>
          <w:sz w:val="18"/>
          <w:szCs w:val="18"/>
        </w:rPr>
        <w:t>on whether or how we should modify our business practices. Instead, the decision stated that we should "cease and desist" from further conduct that, in the EC's opinion, would violate applicable law. We took steps, which are subject to the EC's ongoing rev</w:t>
      </w:r>
      <w:r>
        <w:rPr>
          <w:rFonts w:ascii="Arial" w:eastAsia="宋体" w:hAnsi="Arial" w:cs="Arial"/>
          <w:color w:val="262626"/>
          <w:sz w:val="18"/>
          <w:szCs w:val="18"/>
        </w:rPr>
        <w:t>iew, to comply with that decision pending appeal. We had discussions with the EC to better understand the decision and to explain changes to our business practices.</w:t>
      </w:r>
    </w:p>
    <w:p w14:paraId="39D98F81" w14:textId="77777777" w:rsidR="00996AD7" w:rsidRDefault="00D96458">
      <w:pPr>
        <w:spacing w:after="180"/>
      </w:pPr>
      <w:r>
        <w:rPr>
          <w:rFonts w:ascii="Arial" w:eastAsia="宋体" w:hAnsi="Arial" w:cs="Arial"/>
          <w:color w:val="262626"/>
          <w:sz w:val="18"/>
          <w:szCs w:val="18"/>
        </w:rPr>
        <w:t>We appealed the EC decision to the Court of First Instance (which has been renamed the Gene</w:t>
      </w:r>
      <w:r>
        <w:rPr>
          <w:rFonts w:ascii="Arial" w:eastAsia="宋体" w:hAnsi="Arial" w:cs="Arial"/>
          <w:color w:val="262626"/>
          <w:sz w:val="18"/>
          <w:szCs w:val="18"/>
        </w:rPr>
        <w:t>ral Court) in July 2009. The hearing of our appeal took place in July 2012. In June 2014, the General Court rejected our appeal in its entirety. In August 2014, we filed an appeal with the European Court of Justice. In November 2014, Intervener Association</w:t>
      </w:r>
      <w:r>
        <w:rPr>
          <w:rFonts w:ascii="Arial" w:eastAsia="宋体" w:hAnsi="Arial" w:cs="Arial"/>
          <w:color w:val="262626"/>
          <w:sz w:val="18"/>
          <w:szCs w:val="18"/>
        </w:rPr>
        <w:t xml:space="preserve"> for Competitive Technologies filed comments in support of Intel’s grounds of appeal. The EC and interveners filed briefs in November 2014, we filed a reply in February 2015, and the EC filed a rejoinder in April 2015. The Court of Justice held oral argume</w:t>
      </w:r>
      <w:r>
        <w:rPr>
          <w:rFonts w:ascii="Arial" w:eastAsia="宋体" w:hAnsi="Arial" w:cs="Arial"/>
          <w:color w:val="262626"/>
          <w:sz w:val="18"/>
          <w:szCs w:val="18"/>
        </w:rPr>
        <w:t>nt in June 2016. In October 2016, Advocate General Wahl, an advisor to the Court of Justice, issued a non-binding advisory opinion that favored Intel on a number of grounds. The Court of Justice issued its decision in September 2017, setting aside the judg</w:t>
      </w:r>
      <w:r>
        <w:rPr>
          <w:rFonts w:ascii="Arial" w:eastAsia="宋体" w:hAnsi="Arial" w:cs="Arial"/>
          <w:color w:val="262626"/>
          <w:sz w:val="18"/>
          <w:szCs w:val="18"/>
        </w:rPr>
        <w:t>ment of the General Court and sending the case back to the General Court to examine whether the rebates at issue were capable of restricting competition. The General Court has appointed a panel of five judges to consider our appeal of the EC’s 2009 decisio</w:t>
      </w:r>
      <w:r>
        <w:rPr>
          <w:rFonts w:ascii="Arial" w:eastAsia="宋体" w:hAnsi="Arial" w:cs="Arial"/>
          <w:color w:val="262626"/>
          <w:sz w:val="18"/>
          <w:szCs w:val="18"/>
        </w:rPr>
        <w:t>n in light of the Court of Justice’s clarifications of the law. In November 2017, the parties filed initial “Observations” about the Court of Justice’s decision and the appeal and were invited by the General Court to offer supplemental comments to each oth</w:t>
      </w:r>
      <w:r>
        <w:rPr>
          <w:rFonts w:ascii="Arial" w:eastAsia="宋体" w:hAnsi="Arial" w:cs="Arial"/>
          <w:color w:val="262626"/>
          <w:sz w:val="18"/>
          <w:szCs w:val="18"/>
        </w:rPr>
        <w:t>er’s “Observations,” which the parties submitted in March 2018. Responses to other questions posed by the General Court were filed in May and June 2018. The General Court heard oral argument in March 2020. Pending the final decision in this matter, the fin</w:t>
      </w:r>
      <w:r>
        <w:rPr>
          <w:rFonts w:ascii="Arial" w:eastAsia="宋体" w:hAnsi="Arial" w:cs="Arial"/>
          <w:color w:val="262626"/>
          <w:sz w:val="18"/>
          <w:szCs w:val="18"/>
        </w:rPr>
        <w:t>e paid by Intel has been placed by the EC in commercial bank accounts where it accrues interest.</w:t>
      </w:r>
    </w:p>
    <w:p w14:paraId="39D98F82" w14:textId="77777777" w:rsidR="00996AD7" w:rsidRDefault="00996AD7">
      <w:pPr>
        <w:spacing w:after="180"/>
      </w:pPr>
    </w:p>
    <w:p w14:paraId="39D98F83" w14:textId="77777777" w:rsidR="00996AD7" w:rsidRDefault="00996AD7">
      <w:pPr>
        <w:spacing w:after="180"/>
      </w:pPr>
    </w:p>
    <w:p w14:paraId="39D98F84" w14:textId="77777777" w:rsidR="00996AD7" w:rsidRDefault="00996AD7">
      <w:pPr>
        <w:spacing w:after="180"/>
      </w:pPr>
    </w:p>
    <w:p w14:paraId="39D98F85" w14:textId="77777777" w:rsidR="00996AD7" w:rsidRDefault="00996AD7">
      <w:pPr>
        <w:spacing w:after="180"/>
      </w:pPr>
    </w:p>
    <w:p w14:paraId="39D98F86" w14:textId="77777777" w:rsidR="00996AD7" w:rsidRDefault="00996AD7">
      <w:pPr>
        <w:spacing w:after="180"/>
      </w:pPr>
    </w:p>
    <w:p w14:paraId="39D98F87" w14:textId="77777777" w:rsidR="00996AD7" w:rsidRDefault="00996AD7">
      <w:pPr>
        <w:spacing w:after="180"/>
      </w:pPr>
    </w:p>
    <w:p w14:paraId="39D98F88"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8F95" w14:textId="77777777">
        <w:tc>
          <w:tcPr>
            <w:tcW w:w="50" w:type="pct"/>
            <w:shd w:val="clear" w:color="auto" w:fill="auto"/>
            <w:vAlign w:val="bottom"/>
          </w:tcPr>
          <w:p w14:paraId="39D98F89" w14:textId="77777777" w:rsidR="00996AD7" w:rsidRDefault="00996AD7">
            <w:pPr>
              <w:rPr>
                <w:rFonts w:ascii="宋体"/>
              </w:rPr>
            </w:pPr>
          </w:p>
        </w:tc>
        <w:tc>
          <w:tcPr>
            <w:tcW w:w="238" w:type="pct"/>
            <w:shd w:val="clear" w:color="auto" w:fill="auto"/>
            <w:vAlign w:val="bottom"/>
          </w:tcPr>
          <w:p w14:paraId="39D98F8A" w14:textId="77777777" w:rsidR="00996AD7" w:rsidRDefault="00996AD7">
            <w:pPr>
              <w:rPr>
                <w:rFonts w:ascii="宋体"/>
              </w:rPr>
            </w:pPr>
          </w:p>
        </w:tc>
        <w:tc>
          <w:tcPr>
            <w:tcW w:w="5" w:type="pct"/>
            <w:shd w:val="clear" w:color="auto" w:fill="auto"/>
            <w:vAlign w:val="bottom"/>
          </w:tcPr>
          <w:p w14:paraId="39D98F8B" w14:textId="77777777" w:rsidR="00996AD7" w:rsidRDefault="00996AD7">
            <w:pPr>
              <w:rPr>
                <w:rFonts w:ascii="宋体"/>
              </w:rPr>
            </w:pPr>
          </w:p>
        </w:tc>
        <w:tc>
          <w:tcPr>
            <w:tcW w:w="50" w:type="pct"/>
            <w:shd w:val="clear" w:color="auto" w:fill="auto"/>
            <w:vAlign w:val="bottom"/>
          </w:tcPr>
          <w:p w14:paraId="39D98F8C" w14:textId="77777777" w:rsidR="00996AD7" w:rsidRDefault="00996AD7">
            <w:pPr>
              <w:rPr>
                <w:rFonts w:ascii="宋体"/>
              </w:rPr>
            </w:pPr>
          </w:p>
        </w:tc>
        <w:tc>
          <w:tcPr>
            <w:tcW w:w="983" w:type="pct"/>
            <w:shd w:val="clear" w:color="auto" w:fill="auto"/>
            <w:vAlign w:val="bottom"/>
          </w:tcPr>
          <w:p w14:paraId="39D98F8D" w14:textId="77777777" w:rsidR="00996AD7" w:rsidRDefault="00996AD7">
            <w:pPr>
              <w:rPr>
                <w:rFonts w:ascii="宋体"/>
              </w:rPr>
            </w:pPr>
          </w:p>
        </w:tc>
        <w:tc>
          <w:tcPr>
            <w:tcW w:w="5" w:type="pct"/>
            <w:shd w:val="clear" w:color="auto" w:fill="auto"/>
            <w:vAlign w:val="bottom"/>
          </w:tcPr>
          <w:p w14:paraId="39D98F8E" w14:textId="77777777" w:rsidR="00996AD7" w:rsidRDefault="00996AD7">
            <w:pPr>
              <w:rPr>
                <w:rFonts w:ascii="宋体"/>
              </w:rPr>
            </w:pPr>
          </w:p>
        </w:tc>
        <w:tc>
          <w:tcPr>
            <w:tcW w:w="50" w:type="pct"/>
            <w:shd w:val="clear" w:color="auto" w:fill="auto"/>
            <w:vAlign w:val="bottom"/>
          </w:tcPr>
          <w:p w14:paraId="39D98F8F" w14:textId="77777777" w:rsidR="00996AD7" w:rsidRDefault="00996AD7">
            <w:pPr>
              <w:rPr>
                <w:rFonts w:ascii="宋体"/>
              </w:rPr>
            </w:pPr>
          </w:p>
        </w:tc>
        <w:tc>
          <w:tcPr>
            <w:tcW w:w="2035" w:type="pct"/>
            <w:shd w:val="clear" w:color="auto" w:fill="auto"/>
            <w:vAlign w:val="bottom"/>
          </w:tcPr>
          <w:p w14:paraId="39D98F90" w14:textId="77777777" w:rsidR="00996AD7" w:rsidRDefault="00996AD7">
            <w:pPr>
              <w:rPr>
                <w:rFonts w:ascii="宋体"/>
              </w:rPr>
            </w:pPr>
          </w:p>
        </w:tc>
        <w:tc>
          <w:tcPr>
            <w:tcW w:w="5" w:type="pct"/>
            <w:shd w:val="clear" w:color="auto" w:fill="auto"/>
            <w:vAlign w:val="bottom"/>
          </w:tcPr>
          <w:p w14:paraId="39D98F91" w14:textId="77777777" w:rsidR="00996AD7" w:rsidRDefault="00996AD7">
            <w:pPr>
              <w:rPr>
                <w:rFonts w:ascii="宋体"/>
              </w:rPr>
            </w:pPr>
          </w:p>
        </w:tc>
        <w:tc>
          <w:tcPr>
            <w:tcW w:w="50" w:type="pct"/>
            <w:shd w:val="clear" w:color="auto" w:fill="auto"/>
            <w:vAlign w:val="bottom"/>
          </w:tcPr>
          <w:p w14:paraId="39D98F92" w14:textId="77777777" w:rsidR="00996AD7" w:rsidRDefault="00996AD7">
            <w:pPr>
              <w:rPr>
                <w:rFonts w:ascii="宋体"/>
              </w:rPr>
            </w:pPr>
          </w:p>
        </w:tc>
        <w:tc>
          <w:tcPr>
            <w:tcW w:w="1522" w:type="pct"/>
            <w:shd w:val="clear" w:color="auto" w:fill="auto"/>
            <w:vAlign w:val="bottom"/>
          </w:tcPr>
          <w:p w14:paraId="39D98F93" w14:textId="77777777" w:rsidR="00996AD7" w:rsidRDefault="00996AD7">
            <w:pPr>
              <w:rPr>
                <w:rFonts w:ascii="宋体"/>
              </w:rPr>
            </w:pPr>
          </w:p>
        </w:tc>
        <w:tc>
          <w:tcPr>
            <w:tcW w:w="5" w:type="pct"/>
            <w:shd w:val="clear" w:color="auto" w:fill="auto"/>
            <w:vAlign w:val="bottom"/>
          </w:tcPr>
          <w:p w14:paraId="39D98F94" w14:textId="77777777" w:rsidR="00996AD7" w:rsidRDefault="00996AD7">
            <w:pPr>
              <w:rPr>
                <w:rFonts w:ascii="宋体"/>
              </w:rPr>
            </w:pPr>
          </w:p>
        </w:tc>
      </w:tr>
      <w:tr w:rsidR="00996AD7" w14:paraId="39D98F9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F96"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CC" wp14:editId="39D9A3CD">
                  <wp:extent cx="304800" cy="304800"/>
                  <wp:effectExtent l="0" t="0" r="0" b="0"/>
                  <wp:docPr id="100" name="图片 7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7"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F97"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8F98"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F99" w14:textId="77777777" w:rsidR="00996AD7" w:rsidRDefault="00D96458">
            <w:pPr>
              <w:jc w:val="right"/>
              <w:textAlignment w:val="center"/>
            </w:pPr>
            <w:r>
              <w:rPr>
                <w:rFonts w:ascii="Arial" w:eastAsia="宋体" w:hAnsi="Arial" w:cs="Arial"/>
                <w:color w:val="262626"/>
                <w:sz w:val="16"/>
                <w:szCs w:val="16"/>
              </w:rPr>
              <w:t>19</w:t>
            </w:r>
          </w:p>
        </w:tc>
      </w:tr>
    </w:tbl>
    <w:p w14:paraId="39D98F9B" w14:textId="77777777" w:rsidR="00996AD7" w:rsidRDefault="00D96458">
      <w:r>
        <w:pict w14:anchorId="39D9A3CE">
          <v:rect id="_x0000_i1045" style="width:415.3pt;height:1.5pt" o:hralign="center" o:hrstd="t" o:hr="t" fillcolor="#a0a0a0" stroked="f"/>
        </w:pict>
      </w:r>
    </w:p>
    <w:p w14:paraId="39D98F9C" w14:textId="77777777" w:rsidR="00996AD7" w:rsidRDefault="00D96458">
      <w:pPr>
        <w:spacing w:after="180"/>
        <w:jc w:val="right"/>
      </w:pPr>
      <w:hyperlink r:id="rId46" w:anchor="i94e6cc3aa83643b8b968bd5bab038338_7" w:history="1">
        <w:r>
          <w:rPr>
            <w:rStyle w:val="a5"/>
            <w:rFonts w:ascii="Arial" w:eastAsia="宋体" w:hAnsi="Arial" w:cs="Arial"/>
            <w:b/>
            <w:bCs/>
            <w:color w:val="0068B5"/>
            <w:sz w:val="16"/>
            <w:szCs w:val="16"/>
          </w:rPr>
          <w:t>Table of Contents</w:t>
        </w:r>
      </w:hyperlink>
    </w:p>
    <w:p w14:paraId="39D98F9D" w14:textId="77777777" w:rsidR="00996AD7" w:rsidRDefault="00996AD7">
      <w:pPr>
        <w:spacing w:after="180"/>
        <w:jc w:val="right"/>
      </w:pPr>
    </w:p>
    <w:p w14:paraId="39D98F9E" w14:textId="77777777" w:rsidR="00996AD7" w:rsidRDefault="00D96458">
      <w:pPr>
        <w:spacing w:after="120"/>
      </w:pPr>
      <w:r>
        <w:rPr>
          <w:rFonts w:ascii="Arial" w:eastAsia="宋体" w:hAnsi="Arial" w:cs="Arial"/>
          <w:color w:val="0068B5"/>
          <w:sz w:val="20"/>
          <w:szCs w:val="20"/>
        </w:rPr>
        <w:t>Litigation Related to Security Vulnerabilities</w:t>
      </w:r>
    </w:p>
    <w:p w14:paraId="39D98F9F" w14:textId="77777777" w:rsidR="00996AD7" w:rsidRDefault="00D96458">
      <w:pPr>
        <w:spacing w:after="180"/>
      </w:pPr>
      <w:r>
        <w:rPr>
          <w:rFonts w:ascii="Arial" w:eastAsia="宋体" w:hAnsi="Arial" w:cs="Arial"/>
          <w:color w:val="262626"/>
          <w:sz w:val="18"/>
          <w:szCs w:val="18"/>
        </w:rPr>
        <w:t>In June 2017, a Google research team notified us and other companies that it had identified security vulnerabilities (now commonly referred to as “Spectre” and “Meltdown”) that affect many types of microprocessors, including our products. As is standard wh</w:t>
      </w:r>
      <w:r>
        <w:rPr>
          <w:rFonts w:ascii="Arial" w:eastAsia="宋体" w:hAnsi="Arial" w:cs="Arial"/>
          <w:color w:val="262626"/>
          <w:sz w:val="18"/>
          <w:szCs w:val="18"/>
        </w:rPr>
        <w:t>en findings like these are presented, we worked together with other companies in the industry to verify the research and develop and validate software and firmware updates for impacted technologies. On January 3, 2018, information on the security vulnerabi</w:t>
      </w:r>
      <w:r>
        <w:rPr>
          <w:rFonts w:ascii="Arial" w:eastAsia="宋体" w:hAnsi="Arial" w:cs="Arial"/>
          <w:color w:val="262626"/>
          <w:sz w:val="18"/>
          <w:szCs w:val="18"/>
        </w:rPr>
        <w:t xml:space="preserve">lities was publicly reported, before software and firmware updates to address the vulnerabilities were made widely available. </w:t>
      </w:r>
    </w:p>
    <w:p w14:paraId="39D98FA0" w14:textId="77777777" w:rsidR="00996AD7" w:rsidRDefault="00D96458">
      <w:pPr>
        <w:spacing w:after="180"/>
      </w:pPr>
      <w:r>
        <w:rPr>
          <w:rFonts w:ascii="Arial" w:eastAsia="宋体" w:hAnsi="Arial" w:cs="Arial"/>
          <w:color w:val="262626"/>
          <w:sz w:val="18"/>
          <w:szCs w:val="18"/>
        </w:rPr>
        <w:t>Numerous lawsuits have been filed against Intel and, in certain cases, our current and former executives and directors, in U.S. f</w:t>
      </w:r>
      <w:r>
        <w:rPr>
          <w:rFonts w:ascii="Arial" w:eastAsia="宋体" w:hAnsi="Arial" w:cs="Arial"/>
          <w:color w:val="262626"/>
          <w:sz w:val="18"/>
          <w:szCs w:val="18"/>
        </w:rPr>
        <w:t>ederal and state courts and in certain courts in other countries relating to the Spectre and Meltdown security vulnerabilities, as well as other variants of these vulnerabilities that have since been identified.</w:t>
      </w:r>
    </w:p>
    <w:p w14:paraId="39D98FA1" w14:textId="77777777" w:rsidR="00996AD7" w:rsidRDefault="00D96458">
      <w:pPr>
        <w:spacing w:after="180"/>
      </w:pPr>
      <w:r>
        <w:rPr>
          <w:rFonts w:ascii="Arial" w:eastAsia="宋体" w:hAnsi="Arial" w:cs="Arial"/>
          <w:color w:val="262626"/>
          <w:sz w:val="18"/>
          <w:szCs w:val="18"/>
        </w:rPr>
        <w:t>As of October 20, 2021, consumer class actio</w:t>
      </w:r>
      <w:r>
        <w:rPr>
          <w:rFonts w:ascii="Arial" w:eastAsia="宋体" w:hAnsi="Arial" w:cs="Arial"/>
          <w:color w:val="262626"/>
          <w:sz w:val="18"/>
          <w:szCs w:val="18"/>
        </w:rPr>
        <w:t xml:space="preserve">n lawsuits relating to the above class of security vulnerabilities publicly disclosed since 2018 were pending in the United States, Canada, and Israel. The plaintiffs, who purport to represent various classes of purchasers of our products, generally claim </w:t>
      </w:r>
      <w:r>
        <w:rPr>
          <w:rFonts w:ascii="Arial" w:eastAsia="宋体" w:hAnsi="Arial" w:cs="Arial"/>
          <w:color w:val="262626"/>
          <w:sz w:val="18"/>
          <w:szCs w:val="18"/>
        </w:rPr>
        <w:t>to have been harmed by Intel's actions and/or omissions in connection with the security vulnerabilities and assert a variety of common law and statutory claims seeking monetary damages and equitable relief. In the United States, numerous individual class a</w:t>
      </w:r>
      <w:r>
        <w:rPr>
          <w:rFonts w:ascii="Arial" w:eastAsia="宋体" w:hAnsi="Arial" w:cs="Arial"/>
          <w:color w:val="262626"/>
          <w:sz w:val="18"/>
          <w:szCs w:val="18"/>
        </w:rPr>
        <w:t>ction suits filed in various jurisdictions were consolidated in April 2018 for all pretrial proceedings in the U.S. District Court for the District of Oregon. In March 2020, the court granted Intel's motion to dismiss the complaint in that consolidated act</w:t>
      </w:r>
      <w:r>
        <w:rPr>
          <w:rFonts w:ascii="Arial" w:eastAsia="宋体" w:hAnsi="Arial" w:cs="Arial"/>
          <w:color w:val="262626"/>
          <w:sz w:val="18"/>
          <w:szCs w:val="18"/>
        </w:rPr>
        <w:t>ion but granted plaintiffs leave to amend. In March 2021, the court granted Intel’s motion to dismiss the amended complaint, but granted plaintiffs leave to further amend in part. Plaintiffs filed a further amended complaint in May 2021 which Intel moved t</w:t>
      </w:r>
      <w:r>
        <w:rPr>
          <w:rFonts w:ascii="Arial" w:eastAsia="宋体" w:hAnsi="Arial" w:cs="Arial"/>
          <w:color w:val="262626"/>
          <w:sz w:val="18"/>
          <w:szCs w:val="18"/>
        </w:rPr>
        <w:t>o dismiss in July 2021. In Canada, in one case pending in the Superior Court of Justice of Ontario, an initial status conference has not yet been scheduled. In a second case pending in the Superior Court of Justice of Quebec, a stay of the case is in effec</w:t>
      </w:r>
      <w:r>
        <w:rPr>
          <w:rFonts w:ascii="Arial" w:eastAsia="宋体" w:hAnsi="Arial" w:cs="Arial"/>
          <w:color w:val="262626"/>
          <w:sz w:val="18"/>
          <w:szCs w:val="18"/>
        </w:rPr>
        <w:t>t until December 2021. In Israel, two consumer class action lawsuits were filed in the District Court of Haifa. The plaintiff voluntarily dismissed the first lawsuit in July 2021. Intel filed a motion to stay the second case pending resolution of the conso</w:t>
      </w:r>
      <w:r>
        <w:rPr>
          <w:rFonts w:ascii="Arial" w:eastAsia="宋体" w:hAnsi="Arial" w:cs="Arial"/>
          <w:color w:val="262626"/>
          <w:sz w:val="18"/>
          <w:szCs w:val="18"/>
        </w:rPr>
        <w:t>lidated proceeding in the United States, and a hearing on that motion has been scheduled for April 2022. Additional lawsuits and claims may be asserted seeking monetary damages or other related relief. We dispute the pending claims described above and inte</w:t>
      </w:r>
      <w:r>
        <w:rPr>
          <w:rFonts w:ascii="Arial" w:eastAsia="宋体" w:hAnsi="Arial" w:cs="Arial"/>
          <w:color w:val="262626"/>
          <w:sz w:val="18"/>
          <w:szCs w:val="18"/>
        </w:rPr>
        <w:t>nd to defend those lawsuits vigorously. Given the procedural posture and the nature of those cases, including that the pending proceedings are in the early stages, that alleged damages have not been specified, that uncertainty exists as to the likelihood o</w:t>
      </w:r>
      <w:r>
        <w:rPr>
          <w:rFonts w:ascii="Arial" w:eastAsia="宋体" w:hAnsi="Arial" w:cs="Arial"/>
          <w:color w:val="262626"/>
          <w:sz w:val="18"/>
          <w:szCs w:val="18"/>
        </w:rPr>
        <w:t>f a class or classes being certified or the ultimate size of any class or classes if certified, and that there are significant factual and legal issues to be resolved, we are unable to make a reasonable estimate of the potential loss or range of losses, if</w:t>
      </w:r>
      <w:r>
        <w:rPr>
          <w:rFonts w:ascii="Arial" w:eastAsia="宋体" w:hAnsi="Arial" w:cs="Arial"/>
          <w:color w:val="262626"/>
          <w:sz w:val="18"/>
          <w:szCs w:val="18"/>
        </w:rPr>
        <w:t xml:space="preserve"> any, that might arise from those matters. In addition to these lawsuits, Intel stockholders filed multiple shareholder derivative lawsuits since January 2018 against certain current and former members of our Board of Directors and certain current and form</w:t>
      </w:r>
      <w:r>
        <w:rPr>
          <w:rFonts w:ascii="Arial" w:eastAsia="宋体" w:hAnsi="Arial" w:cs="Arial"/>
          <w:color w:val="262626"/>
          <w:sz w:val="18"/>
          <w:szCs w:val="18"/>
        </w:rPr>
        <w:t xml:space="preserve">er officers, alleging that the defendants breached their duties to Intel in connection with the disclosure of the security vulnerabilities and the failure to take action in relation to alleged insider trading. The complaints sought to recover damages from </w:t>
      </w:r>
      <w:r>
        <w:rPr>
          <w:rFonts w:ascii="Arial" w:eastAsia="宋体" w:hAnsi="Arial" w:cs="Arial"/>
          <w:color w:val="262626"/>
          <w:sz w:val="18"/>
          <w:szCs w:val="18"/>
        </w:rPr>
        <w:t>the defendants on behalf of Intel. Some of the derivative actions were filed in the U.S. District Court for the Northern District of California and were consolidated, and the others were filed in the Superior Court of the State of California in San Mateo C</w:t>
      </w:r>
      <w:r>
        <w:rPr>
          <w:rFonts w:ascii="Arial" w:eastAsia="宋体" w:hAnsi="Arial" w:cs="Arial"/>
          <w:color w:val="262626"/>
          <w:sz w:val="18"/>
          <w:szCs w:val="18"/>
        </w:rPr>
        <w:t>ounty and were consolidated. The federal court granted defendants' motion to dismiss in August 2018 on the ground that plaintiffs failed to plead facts sufficient to show they were excused from making a pre-lawsuit demand on the Board. The federal court gr</w:t>
      </w:r>
      <w:r>
        <w:rPr>
          <w:rFonts w:ascii="Arial" w:eastAsia="宋体" w:hAnsi="Arial" w:cs="Arial"/>
          <w:color w:val="262626"/>
          <w:sz w:val="18"/>
          <w:szCs w:val="18"/>
        </w:rPr>
        <w:t>anted plaintiffs leave to amend their complaint, but subsequently dismissed the cases in January 2019 at plaintiffs' request. The California Superior Court entered judgment in defendants' favor in August 2020 after granting defendants' motions to dismiss p</w:t>
      </w:r>
      <w:r>
        <w:rPr>
          <w:rFonts w:ascii="Arial" w:eastAsia="宋体" w:hAnsi="Arial" w:cs="Arial"/>
          <w:color w:val="262626"/>
          <w:sz w:val="18"/>
          <w:szCs w:val="18"/>
        </w:rPr>
        <w:t xml:space="preserve">laintiffs' consolidated complaint and three successive amended complaints, all for failure to plead facts sufficient to show plaintiffs were excused from making pre-lawsuit demand on the Board. Plaintiffs filed a notice of appeal of the California court's </w:t>
      </w:r>
      <w:r>
        <w:rPr>
          <w:rFonts w:ascii="Arial" w:eastAsia="宋体" w:hAnsi="Arial" w:cs="Arial"/>
          <w:color w:val="262626"/>
          <w:sz w:val="18"/>
          <w:szCs w:val="18"/>
        </w:rPr>
        <w:t>judgment in October 2020.</w:t>
      </w:r>
    </w:p>
    <w:p w14:paraId="39D98FA2" w14:textId="77777777" w:rsidR="00996AD7" w:rsidRDefault="00D96458">
      <w:pPr>
        <w:spacing w:after="180"/>
      </w:pPr>
      <w:r>
        <w:rPr>
          <w:rFonts w:ascii="Arial" w:eastAsia="宋体" w:hAnsi="Arial" w:cs="Arial"/>
          <w:color w:val="262626"/>
          <w:sz w:val="18"/>
          <w:szCs w:val="18"/>
        </w:rPr>
        <w:t xml:space="preserve">In January 2021, another Intel stockholder filed a derivative lawsuit in the Superior Court in San Mateo County against certain current and former officers and members of our Board of Directors. The lawsuit asserts claims similar </w:t>
      </w:r>
      <w:r>
        <w:rPr>
          <w:rFonts w:ascii="Arial" w:eastAsia="宋体" w:hAnsi="Arial" w:cs="Arial"/>
          <w:color w:val="262626"/>
          <w:sz w:val="18"/>
          <w:szCs w:val="18"/>
        </w:rPr>
        <w:t xml:space="preserve">to those dismissed in August 2020, except that it alleges that the stockholder made a pre-lawsuit demand on our Board of Directors and that the demand was wrongfully refused. In May 2021, the court granted defendants' motion to stay the action pending the </w:t>
      </w:r>
      <w:r>
        <w:rPr>
          <w:rFonts w:ascii="Arial" w:eastAsia="宋体" w:hAnsi="Arial" w:cs="Arial"/>
          <w:color w:val="262626"/>
          <w:sz w:val="18"/>
          <w:szCs w:val="18"/>
        </w:rPr>
        <w:t xml:space="preserve">outcome of any litigation plaintiff may choose to file in Delaware where Intel’s bylaws require such claims be filed. </w:t>
      </w:r>
    </w:p>
    <w:p w14:paraId="39D98FA3" w14:textId="77777777" w:rsidR="00996AD7" w:rsidRDefault="00996AD7">
      <w:pPr>
        <w:spacing w:after="180"/>
      </w:pPr>
    </w:p>
    <w:p w14:paraId="39D98FA4" w14:textId="77777777" w:rsidR="00996AD7" w:rsidRDefault="00996AD7">
      <w:pPr>
        <w:spacing w:after="180"/>
      </w:pPr>
    </w:p>
    <w:p w14:paraId="39D98FA5" w14:textId="77777777" w:rsidR="00996AD7" w:rsidRDefault="00996AD7">
      <w:pPr>
        <w:spacing w:after="180"/>
      </w:pPr>
    </w:p>
    <w:p w14:paraId="39D98FA6" w14:textId="77777777" w:rsidR="00996AD7" w:rsidRDefault="00996AD7">
      <w:pPr>
        <w:spacing w:after="180"/>
      </w:pPr>
    </w:p>
    <w:p w14:paraId="39D98FA7" w14:textId="77777777" w:rsidR="00996AD7" w:rsidRDefault="00996AD7">
      <w:pPr>
        <w:spacing w:after="180"/>
      </w:pPr>
    </w:p>
    <w:p w14:paraId="39D98FA8" w14:textId="77777777" w:rsidR="00996AD7" w:rsidRDefault="00996AD7">
      <w:pPr>
        <w:spacing w:after="180"/>
      </w:pPr>
    </w:p>
    <w:p w14:paraId="39D98FA9"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8FB6" w14:textId="77777777">
        <w:tc>
          <w:tcPr>
            <w:tcW w:w="50" w:type="pct"/>
            <w:shd w:val="clear" w:color="auto" w:fill="auto"/>
            <w:vAlign w:val="bottom"/>
          </w:tcPr>
          <w:p w14:paraId="39D98FAA" w14:textId="77777777" w:rsidR="00996AD7" w:rsidRDefault="00996AD7">
            <w:pPr>
              <w:rPr>
                <w:rFonts w:ascii="宋体"/>
              </w:rPr>
            </w:pPr>
          </w:p>
        </w:tc>
        <w:tc>
          <w:tcPr>
            <w:tcW w:w="238" w:type="pct"/>
            <w:shd w:val="clear" w:color="auto" w:fill="auto"/>
            <w:vAlign w:val="bottom"/>
          </w:tcPr>
          <w:p w14:paraId="39D98FAB" w14:textId="77777777" w:rsidR="00996AD7" w:rsidRDefault="00996AD7">
            <w:pPr>
              <w:rPr>
                <w:rFonts w:ascii="宋体"/>
              </w:rPr>
            </w:pPr>
          </w:p>
        </w:tc>
        <w:tc>
          <w:tcPr>
            <w:tcW w:w="5" w:type="pct"/>
            <w:shd w:val="clear" w:color="auto" w:fill="auto"/>
            <w:vAlign w:val="bottom"/>
          </w:tcPr>
          <w:p w14:paraId="39D98FAC" w14:textId="77777777" w:rsidR="00996AD7" w:rsidRDefault="00996AD7">
            <w:pPr>
              <w:rPr>
                <w:rFonts w:ascii="宋体"/>
              </w:rPr>
            </w:pPr>
          </w:p>
        </w:tc>
        <w:tc>
          <w:tcPr>
            <w:tcW w:w="50" w:type="pct"/>
            <w:shd w:val="clear" w:color="auto" w:fill="auto"/>
            <w:vAlign w:val="bottom"/>
          </w:tcPr>
          <w:p w14:paraId="39D98FAD" w14:textId="77777777" w:rsidR="00996AD7" w:rsidRDefault="00996AD7">
            <w:pPr>
              <w:rPr>
                <w:rFonts w:ascii="宋体"/>
              </w:rPr>
            </w:pPr>
          </w:p>
        </w:tc>
        <w:tc>
          <w:tcPr>
            <w:tcW w:w="983" w:type="pct"/>
            <w:shd w:val="clear" w:color="auto" w:fill="auto"/>
            <w:vAlign w:val="bottom"/>
          </w:tcPr>
          <w:p w14:paraId="39D98FAE" w14:textId="77777777" w:rsidR="00996AD7" w:rsidRDefault="00996AD7">
            <w:pPr>
              <w:rPr>
                <w:rFonts w:ascii="宋体"/>
              </w:rPr>
            </w:pPr>
          </w:p>
        </w:tc>
        <w:tc>
          <w:tcPr>
            <w:tcW w:w="5" w:type="pct"/>
            <w:shd w:val="clear" w:color="auto" w:fill="auto"/>
            <w:vAlign w:val="bottom"/>
          </w:tcPr>
          <w:p w14:paraId="39D98FAF" w14:textId="77777777" w:rsidR="00996AD7" w:rsidRDefault="00996AD7">
            <w:pPr>
              <w:rPr>
                <w:rFonts w:ascii="宋体"/>
              </w:rPr>
            </w:pPr>
          </w:p>
        </w:tc>
        <w:tc>
          <w:tcPr>
            <w:tcW w:w="50" w:type="pct"/>
            <w:shd w:val="clear" w:color="auto" w:fill="auto"/>
            <w:vAlign w:val="bottom"/>
          </w:tcPr>
          <w:p w14:paraId="39D98FB0" w14:textId="77777777" w:rsidR="00996AD7" w:rsidRDefault="00996AD7">
            <w:pPr>
              <w:rPr>
                <w:rFonts w:ascii="宋体"/>
              </w:rPr>
            </w:pPr>
          </w:p>
        </w:tc>
        <w:tc>
          <w:tcPr>
            <w:tcW w:w="2035" w:type="pct"/>
            <w:shd w:val="clear" w:color="auto" w:fill="auto"/>
            <w:vAlign w:val="bottom"/>
          </w:tcPr>
          <w:p w14:paraId="39D98FB1" w14:textId="77777777" w:rsidR="00996AD7" w:rsidRDefault="00996AD7">
            <w:pPr>
              <w:rPr>
                <w:rFonts w:ascii="宋体"/>
              </w:rPr>
            </w:pPr>
          </w:p>
        </w:tc>
        <w:tc>
          <w:tcPr>
            <w:tcW w:w="5" w:type="pct"/>
            <w:shd w:val="clear" w:color="auto" w:fill="auto"/>
            <w:vAlign w:val="bottom"/>
          </w:tcPr>
          <w:p w14:paraId="39D98FB2" w14:textId="77777777" w:rsidR="00996AD7" w:rsidRDefault="00996AD7">
            <w:pPr>
              <w:rPr>
                <w:rFonts w:ascii="宋体"/>
              </w:rPr>
            </w:pPr>
          </w:p>
        </w:tc>
        <w:tc>
          <w:tcPr>
            <w:tcW w:w="50" w:type="pct"/>
            <w:shd w:val="clear" w:color="auto" w:fill="auto"/>
            <w:vAlign w:val="bottom"/>
          </w:tcPr>
          <w:p w14:paraId="39D98FB3" w14:textId="77777777" w:rsidR="00996AD7" w:rsidRDefault="00996AD7">
            <w:pPr>
              <w:rPr>
                <w:rFonts w:ascii="宋体"/>
              </w:rPr>
            </w:pPr>
          </w:p>
        </w:tc>
        <w:tc>
          <w:tcPr>
            <w:tcW w:w="1522" w:type="pct"/>
            <w:shd w:val="clear" w:color="auto" w:fill="auto"/>
            <w:vAlign w:val="bottom"/>
          </w:tcPr>
          <w:p w14:paraId="39D98FB4" w14:textId="77777777" w:rsidR="00996AD7" w:rsidRDefault="00996AD7">
            <w:pPr>
              <w:rPr>
                <w:rFonts w:ascii="宋体"/>
              </w:rPr>
            </w:pPr>
          </w:p>
        </w:tc>
        <w:tc>
          <w:tcPr>
            <w:tcW w:w="5" w:type="pct"/>
            <w:shd w:val="clear" w:color="auto" w:fill="auto"/>
            <w:vAlign w:val="bottom"/>
          </w:tcPr>
          <w:p w14:paraId="39D98FB5" w14:textId="77777777" w:rsidR="00996AD7" w:rsidRDefault="00996AD7">
            <w:pPr>
              <w:rPr>
                <w:rFonts w:ascii="宋体"/>
              </w:rPr>
            </w:pPr>
          </w:p>
        </w:tc>
      </w:tr>
      <w:tr w:rsidR="00996AD7" w14:paraId="39D98FB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FB7"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CF" wp14:editId="39D9A3D0">
                  <wp:extent cx="304800" cy="304800"/>
                  <wp:effectExtent l="0" t="0" r="0" b="0"/>
                  <wp:docPr id="87" name="图片 79"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9"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FB8"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8FB9"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FBA" w14:textId="77777777" w:rsidR="00996AD7" w:rsidRDefault="00D96458">
            <w:pPr>
              <w:jc w:val="right"/>
              <w:textAlignment w:val="center"/>
            </w:pPr>
            <w:r>
              <w:rPr>
                <w:rFonts w:ascii="Arial" w:eastAsia="宋体" w:hAnsi="Arial" w:cs="Arial"/>
                <w:color w:val="262626"/>
                <w:sz w:val="16"/>
                <w:szCs w:val="16"/>
              </w:rPr>
              <w:t>20</w:t>
            </w:r>
          </w:p>
        </w:tc>
      </w:tr>
    </w:tbl>
    <w:p w14:paraId="39D98FBC" w14:textId="77777777" w:rsidR="00996AD7" w:rsidRDefault="00D96458">
      <w:r>
        <w:pict w14:anchorId="39D9A3D1">
          <v:rect id="_x0000_i1046" style="width:415.3pt;height:1.5pt" o:hralign="center" o:hrstd="t" o:hr="t" fillcolor="#a0a0a0" stroked="f"/>
        </w:pict>
      </w:r>
    </w:p>
    <w:p w14:paraId="39D98FBD" w14:textId="77777777" w:rsidR="00996AD7" w:rsidRDefault="00D96458">
      <w:pPr>
        <w:spacing w:after="180"/>
        <w:jc w:val="right"/>
      </w:pPr>
      <w:hyperlink r:id="rId47" w:anchor="i94e6cc3aa83643b8b968bd5bab038338_7" w:history="1">
        <w:r>
          <w:rPr>
            <w:rStyle w:val="a5"/>
            <w:rFonts w:ascii="Arial" w:eastAsia="宋体" w:hAnsi="Arial" w:cs="Arial"/>
            <w:b/>
            <w:bCs/>
            <w:color w:val="0068B5"/>
            <w:sz w:val="16"/>
            <w:szCs w:val="16"/>
          </w:rPr>
          <w:t>Table of Contents</w:t>
        </w:r>
      </w:hyperlink>
    </w:p>
    <w:p w14:paraId="39D98FBE" w14:textId="77777777" w:rsidR="00996AD7" w:rsidRDefault="00996AD7">
      <w:pPr>
        <w:spacing w:after="180"/>
        <w:jc w:val="right"/>
      </w:pPr>
    </w:p>
    <w:p w14:paraId="39D98FBF" w14:textId="77777777" w:rsidR="00996AD7" w:rsidRDefault="00D96458">
      <w:pPr>
        <w:spacing w:after="120"/>
      </w:pPr>
      <w:r>
        <w:rPr>
          <w:rFonts w:ascii="Arial" w:eastAsia="宋体" w:hAnsi="Arial" w:cs="Arial"/>
          <w:color w:val="0068B5"/>
          <w:sz w:val="20"/>
          <w:szCs w:val="20"/>
        </w:rPr>
        <w:t xml:space="preserve">Institute of Microelectronics, Chinese Academy of Sciences v. Intel China, </w:t>
      </w:r>
      <w:r>
        <w:rPr>
          <w:rFonts w:ascii="Arial" w:eastAsia="宋体" w:hAnsi="Arial" w:cs="Arial"/>
          <w:color w:val="0068B5"/>
          <w:sz w:val="20"/>
          <w:szCs w:val="20"/>
        </w:rPr>
        <w:t>Ltd., et al.</w:t>
      </w:r>
    </w:p>
    <w:p w14:paraId="39D98FC0" w14:textId="77777777" w:rsidR="00996AD7" w:rsidRDefault="00D96458">
      <w:pPr>
        <w:spacing w:after="180"/>
      </w:pPr>
      <w:r>
        <w:rPr>
          <w:rFonts w:ascii="Arial" w:eastAsia="宋体" w:hAnsi="Arial" w:cs="Arial"/>
          <w:color w:val="262626"/>
          <w:sz w:val="18"/>
          <w:szCs w:val="18"/>
        </w:rPr>
        <w:t>In February 2018, the Institute of Microelectronics of the Chinese Academy of Sciences (IMECAS) sued Intel China, Ltd., Dell China, Ltd. (Dell), and Beijing JingDong Century Information Technology, Ltd. (JD) for patent infringement in the Beij</w:t>
      </w:r>
      <w:r>
        <w:rPr>
          <w:rFonts w:ascii="Arial" w:eastAsia="宋体" w:hAnsi="Arial" w:cs="Arial"/>
          <w:color w:val="262626"/>
          <w:sz w:val="18"/>
          <w:szCs w:val="18"/>
        </w:rPr>
        <w:t>ing Higher People's Court. IMECAS alleges that Intel’s Core series processors infringe Chinese patent CN 102956457 (’457 Patent). The complaint demands an injunction and damages of at least RMB 200 million plus the cost of litigation. In March 2018, Dell t</w:t>
      </w:r>
      <w:r>
        <w:rPr>
          <w:rFonts w:ascii="Arial" w:eastAsia="宋体" w:hAnsi="Arial" w:cs="Arial"/>
          <w:color w:val="262626"/>
          <w:sz w:val="18"/>
          <w:szCs w:val="18"/>
        </w:rPr>
        <w:t>endered indemnity to Intel, which Intel granted in April 2018. JD also tendered indemnity to Intel, which Intel granted in October 2018. The Beijing Higher People’s Court held a final trial hearing in September 2021. No ruling has been issued. In March 201</w:t>
      </w:r>
      <w:r>
        <w:rPr>
          <w:rFonts w:ascii="Arial" w:eastAsia="宋体" w:hAnsi="Arial" w:cs="Arial"/>
          <w:color w:val="262626"/>
          <w:sz w:val="18"/>
          <w:szCs w:val="18"/>
        </w:rPr>
        <w:t xml:space="preserve">8, Intel filed an invalidation request on the ‘457 patent with the China National Intellectual Property Administration (CNIPA). The CNIPA held an oral hearing in September 2018 and in February 2019 upheld the validity of the challenged claims. Intel filed </w:t>
      </w:r>
      <w:r>
        <w:rPr>
          <w:rFonts w:ascii="Arial" w:eastAsia="宋体" w:hAnsi="Arial" w:cs="Arial"/>
          <w:color w:val="262626"/>
          <w:sz w:val="18"/>
          <w:szCs w:val="18"/>
        </w:rPr>
        <w:t>a complaint in April 2019 with the Beijing Intellectual Property Court challenging the February 2019 CNIPA ruling, and the Beijing IP Court held oral arguments in July 2021. In January 2020, Intel filed a second invalidation request on the ‘457 patent with</w:t>
      </w:r>
      <w:r>
        <w:rPr>
          <w:rFonts w:ascii="Arial" w:eastAsia="宋体" w:hAnsi="Arial" w:cs="Arial"/>
          <w:color w:val="262626"/>
          <w:sz w:val="18"/>
          <w:szCs w:val="18"/>
        </w:rPr>
        <w:t xml:space="preserve"> the CNIPA, for which the CNIPA heard oral argument in July 2020 and in November 2020 held the challenged apparatus claims invalid. IMECAS filed a complaint in February 2021 with the Beijing IP Court challenging the November 2020 CNIPA ruling. In December </w:t>
      </w:r>
      <w:r>
        <w:rPr>
          <w:rFonts w:ascii="Arial" w:eastAsia="宋体" w:hAnsi="Arial" w:cs="Arial"/>
          <w:color w:val="262626"/>
          <w:sz w:val="18"/>
          <w:szCs w:val="18"/>
        </w:rPr>
        <w:t>2020, Intel filed a third invalidation request on the ’457 patent with the CNIPA, which heard oral argument in June 2021 and issued a ruling in September 2021 holding the challenged claims not invalid. In September 2018 and March 2019, Intel filed petition</w:t>
      </w:r>
      <w:r>
        <w:rPr>
          <w:rFonts w:ascii="Arial" w:eastAsia="宋体" w:hAnsi="Arial" w:cs="Arial"/>
          <w:color w:val="262626"/>
          <w:sz w:val="18"/>
          <w:szCs w:val="18"/>
        </w:rPr>
        <w:t>s with the U.S. Patent &amp; Trademark Office (USPTO) requesting institution of inter partes review (IPR) of U.S. Patent No. 9,070,719, the U.S. counterpart to the ‘457 patent. The USPTO denied institution of Intel’s petitions in March and October 2019, respec</w:t>
      </w:r>
      <w:r>
        <w:rPr>
          <w:rFonts w:ascii="Arial" w:eastAsia="宋体" w:hAnsi="Arial" w:cs="Arial"/>
          <w:color w:val="262626"/>
          <w:sz w:val="18"/>
          <w:szCs w:val="18"/>
        </w:rPr>
        <w:t>tively. In April 2019, Intel filed a request for rehearing and a petition for a Precedential Opinion Panel (POP) in the USPTO to challenge the denial of its first IPR petition, and in November 2019 Intel filed a request for rehearing on the second IPR peti</w:t>
      </w:r>
      <w:r>
        <w:rPr>
          <w:rFonts w:ascii="Arial" w:eastAsia="宋体" w:hAnsi="Arial" w:cs="Arial"/>
          <w:color w:val="262626"/>
          <w:sz w:val="18"/>
          <w:szCs w:val="18"/>
        </w:rPr>
        <w:t>tion. In January 2020, the USPTO denied the POP petition on the first IPR petition. In June 2020, the Patent Trial and Appeal Board denied Intel's rehearing requests on both petitions.</w:t>
      </w:r>
    </w:p>
    <w:p w14:paraId="39D98FC1" w14:textId="77777777" w:rsidR="00996AD7" w:rsidRDefault="00D96458">
      <w:pPr>
        <w:spacing w:after="180"/>
      </w:pPr>
      <w:r>
        <w:rPr>
          <w:rFonts w:ascii="Arial" w:eastAsia="宋体" w:hAnsi="Arial" w:cs="Arial"/>
          <w:color w:val="262626"/>
          <w:sz w:val="18"/>
          <w:szCs w:val="18"/>
        </w:rPr>
        <w:t>In October 2019, IMECAS filed second and third lawsuits, in the Beijing</w:t>
      </w:r>
      <w:r>
        <w:rPr>
          <w:rFonts w:ascii="Arial" w:eastAsia="宋体" w:hAnsi="Arial" w:cs="Arial"/>
          <w:color w:val="262626"/>
          <w:sz w:val="18"/>
          <w:szCs w:val="18"/>
        </w:rPr>
        <w:t xml:space="preserve"> IP Court, alleging infringement of Chinese Patent No. CN 102386226 (‘226 Patent) based on the manufacturing and sale of Intel’s Core i3 microprocessors. Defendants in the second case are Lenovo (Beijing) Co., Ltd. (Lenovo) and Beijing Jiayun Huitong Techn</w:t>
      </w:r>
      <w:r>
        <w:rPr>
          <w:rFonts w:ascii="Arial" w:eastAsia="宋体" w:hAnsi="Arial" w:cs="Arial"/>
          <w:color w:val="262626"/>
          <w:sz w:val="18"/>
          <w:szCs w:val="18"/>
        </w:rPr>
        <w:t>ology Development Co. Ltd. (BJHT). Defendants in the third case are Intel Corp., Intel China Co., Ltd., the Intel China Beijing Branch, Beijing Digital China Co., Ltd. (Digital China), and JD. Both complaints demand injunctions plus litigation costs. The c</w:t>
      </w:r>
      <w:r>
        <w:rPr>
          <w:rFonts w:ascii="Arial" w:eastAsia="宋体" w:hAnsi="Arial" w:cs="Arial"/>
          <w:color w:val="262626"/>
          <w:sz w:val="18"/>
          <w:szCs w:val="18"/>
        </w:rPr>
        <w:t>omplaint in the second lawsuit reserves the right to claim damages in unspecified amounts. The complaint in the third lawsuit claims damages of RMB 10 million. Intel China's jurisdictional challenge was denied in June 2021. No trial proceedings have occurr</w:t>
      </w:r>
      <w:r>
        <w:rPr>
          <w:rFonts w:ascii="Arial" w:eastAsia="宋体" w:hAnsi="Arial" w:cs="Arial"/>
          <w:color w:val="262626"/>
          <w:sz w:val="18"/>
          <w:szCs w:val="18"/>
        </w:rPr>
        <w:t xml:space="preserve">ed or are yet scheduled in these lawsuits. In December 2019, Lenovo tendered indemnity to Intel, which Intel granted in March 2020. In July 2020, Intel and Lenovo filed invalidation requests on the '226 patent with the CNIPA. The CNIPA heard oral argument </w:t>
      </w:r>
      <w:r>
        <w:rPr>
          <w:rFonts w:ascii="Arial" w:eastAsia="宋体" w:hAnsi="Arial" w:cs="Arial"/>
          <w:color w:val="262626"/>
          <w:sz w:val="18"/>
          <w:szCs w:val="18"/>
        </w:rPr>
        <w:t>in December 2020, during which IMECAS proposed amendments to two claims. The CNIPA ruled in April 2021 on both invalidation requests, finding the two amended claims as well as the unamended claims not invalid. Intel and Lenovo filed complaints in July 2021</w:t>
      </w:r>
      <w:r>
        <w:rPr>
          <w:rFonts w:ascii="Arial" w:eastAsia="宋体" w:hAnsi="Arial" w:cs="Arial"/>
          <w:color w:val="262626"/>
          <w:sz w:val="18"/>
          <w:szCs w:val="18"/>
        </w:rPr>
        <w:t xml:space="preserve"> with the Beijing IP Court challenging the April 2021 CNIPA rulings. </w:t>
      </w:r>
    </w:p>
    <w:p w14:paraId="39D98FC2" w14:textId="77777777" w:rsidR="00996AD7" w:rsidRDefault="00D96458">
      <w:pPr>
        <w:spacing w:after="180"/>
      </w:pPr>
      <w:r>
        <w:rPr>
          <w:rFonts w:ascii="Arial" w:eastAsia="宋体" w:hAnsi="Arial" w:cs="Arial"/>
          <w:color w:val="262626"/>
          <w:sz w:val="18"/>
          <w:szCs w:val="18"/>
        </w:rPr>
        <w:t>Given the procedural posture and the nature of these cases, the unspecified nature and extent of damages claimed by IMECAS, and uncertainty regarding the availability of injunctive relie</w:t>
      </w:r>
      <w:r>
        <w:rPr>
          <w:rFonts w:ascii="Arial" w:eastAsia="宋体" w:hAnsi="Arial" w:cs="Arial"/>
          <w:color w:val="262626"/>
          <w:sz w:val="18"/>
          <w:szCs w:val="18"/>
        </w:rPr>
        <w:t>f under applicable law, we are unable to make a reasonable estimate of the potential loss or range of losses, if any, arising from these matters. We dispute IMECAS’s claims and intend to vigorously defend against them.</w:t>
      </w:r>
    </w:p>
    <w:p w14:paraId="39D98FC3" w14:textId="77777777" w:rsidR="00996AD7" w:rsidRDefault="00D96458">
      <w:pPr>
        <w:spacing w:after="120"/>
      </w:pPr>
      <w:r>
        <w:rPr>
          <w:rFonts w:ascii="Arial" w:eastAsia="宋体" w:hAnsi="Arial" w:cs="Arial"/>
          <w:color w:val="0068B5"/>
          <w:sz w:val="20"/>
          <w:szCs w:val="20"/>
        </w:rPr>
        <w:t>VLSI Technology LLC v. Intel</w:t>
      </w:r>
      <w:r>
        <w:rPr>
          <w:rFonts w:ascii="Arial" w:eastAsia="宋体" w:hAnsi="Arial" w:cs="Arial"/>
          <w:b/>
          <w:bCs/>
          <w:i/>
          <w:iCs/>
          <w:color w:val="262626"/>
          <w:sz w:val="18"/>
          <w:szCs w:val="18"/>
        </w:rPr>
        <w:t xml:space="preserve"> </w:t>
      </w:r>
    </w:p>
    <w:p w14:paraId="39D98FC4" w14:textId="77777777" w:rsidR="00996AD7" w:rsidRDefault="00D96458">
      <w:pPr>
        <w:spacing w:after="180"/>
      </w:pPr>
      <w:r>
        <w:rPr>
          <w:rFonts w:ascii="Arial" w:eastAsia="宋体" w:hAnsi="Arial" w:cs="Arial"/>
          <w:color w:val="262626"/>
          <w:sz w:val="18"/>
          <w:szCs w:val="18"/>
        </w:rPr>
        <w:t>In Octo</w:t>
      </w:r>
      <w:r>
        <w:rPr>
          <w:rFonts w:ascii="Arial" w:eastAsia="宋体" w:hAnsi="Arial" w:cs="Arial"/>
          <w:color w:val="262626"/>
          <w:sz w:val="18"/>
          <w:szCs w:val="18"/>
        </w:rPr>
        <w:t>ber 2017, VLSI filed a complaint against Intel in the U.S. District Court for the Northern District of California alleging infringement of eight patents acquired from NXP Semiconductors, N.V. (NXP). The patents, which originated at Freescale Semiconductor,</w:t>
      </w:r>
      <w:r>
        <w:rPr>
          <w:rFonts w:ascii="Arial" w:eastAsia="宋体" w:hAnsi="Arial" w:cs="Arial"/>
          <w:color w:val="262626"/>
          <w:sz w:val="18"/>
          <w:szCs w:val="18"/>
        </w:rPr>
        <w:t xml:space="preserve"> Inc. and NXP B.V., are U.S. Patent Nos. 7,268,588; 7,675,806; 7,706,207; 7,709,303; 8,004,922; 8,020,014; 8,268,672; and 8,566,836. VLSI accuses various FPGA and processor products of infringement. VLSI estimated its damages to be as high as $7.1 billion,</w:t>
      </w:r>
      <w:r>
        <w:rPr>
          <w:rFonts w:ascii="Arial" w:eastAsia="宋体" w:hAnsi="Arial" w:cs="Arial"/>
          <w:color w:val="262626"/>
          <w:sz w:val="18"/>
          <w:szCs w:val="18"/>
        </w:rPr>
        <w:t xml:space="preserve"> and its complaint further sought enhanced damages, future royalties, attorneys’ fees, costs, and interest. In May, June, September, and October 2018, Intel filed IPR petitions challenging the patentability of certain claims in all eight of the patents in-</w:t>
      </w:r>
      <w:r>
        <w:rPr>
          <w:rFonts w:ascii="Arial" w:eastAsia="宋体" w:hAnsi="Arial" w:cs="Arial"/>
          <w:color w:val="262626"/>
          <w:sz w:val="18"/>
          <w:szCs w:val="18"/>
        </w:rPr>
        <w:t xml:space="preserve">suit. The PTAB instituted review of six patents and denied institution on two patents. As a result of the institution decisions, the parties stipulated to stay the District Court action in March 2019. In December 2019 and February 2020, the PTAB found all </w:t>
      </w:r>
      <w:r>
        <w:rPr>
          <w:rFonts w:ascii="Arial" w:eastAsia="宋体" w:hAnsi="Arial" w:cs="Arial"/>
          <w:color w:val="262626"/>
          <w:sz w:val="18"/>
          <w:szCs w:val="18"/>
        </w:rPr>
        <w:t xml:space="preserve">claims of the '588 and '303 patents, and some claims of the '922 patent, to be unpatentable. The PTAB found the challenged claims of the '014, '672, and '207 patents to be patentable. Intel moved for a continuation of the stay in March 2020 as it appealed </w:t>
      </w:r>
      <w:r>
        <w:rPr>
          <w:rFonts w:ascii="Arial" w:eastAsia="宋体" w:hAnsi="Arial" w:cs="Arial"/>
          <w:color w:val="262626"/>
          <w:sz w:val="18"/>
          <w:szCs w:val="18"/>
        </w:rPr>
        <w:t>certain rulings by the PTAB. In June 2020, the District Court issued an order continuing the stay through August 2021 and setting trial for December 2022. The Federal Circuit has thus far affirmed the PTAB’s decisions as to the ‘207 and ‘672 patents, and r</w:t>
      </w:r>
      <w:r>
        <w:rPr>
          <w:rFonts w:ascii="Arial" w:eastAsia="宋体" w:hAnsi="Arial" w:cs="Arial"/>
          <w:color w:val="262626"/>
          <w:sz w:val="18"/>
          <w:szCs w:val="18"/>
        </w:rPr>
        <w:t>eversed the PTAB’s decision as to the ‘014 patent. The court lifted the stay in September 2021.</w:t>
      </w:r>
    </w:p>
    <w:p w14:paraId="39D98FC5" w14:textId="77777777" w:rsidR="00996AD7" w:rsidRDefault="00996AD7">
      <w:pPr>
        <w:spacing w:after="180"/>
      </w:pPr>
    </w:p>
    <w:p w14:paraId="39D98FC6" w14:textId="77777777" w:rsidR="00996AD7" w:rsidRDefault="00996AD7">
      <w:pPr>
        <w:spacing w:after="180"/>
      </w:pPr>
    </w:p>
    <w:p w14:paraId="39D98FC7" w14:textId="77777777" w:rsidR="00996AD7" w:rsidRDefault="00996AD7">
      <w:pPr>
        <w:spacing w:after="180"/>
      </w:pPr>
    </w:p>
    <w:p w14:paraId="39D98FC8" w14:textId="77777777" w:rsidR="00996AD7" w:rsidRDefault="00996AD7">
      <w:pPr>
        <w:spacing w:after="180"/>
      </w:pPr>
    </w:p>
    <w:p w14:paraId="39D98FC9" w14:textId="77777777" w:rsidR="00996AD7" w:rsidRDefault="00996AD7">
      <w:pPr>
        <w:spacing w:after="180"/>
      </w:pPr>
    </w:p>
    <w:p w14:paraId="39D98FCA" w14:textId="77777777" w:rsidR="00996AD7" w:rsidRDefault="00996AD7">
      <w:pPr>
        <w:spacing w:after="180"/>
      </w:pPr>
    </w:p>
    <w:p w14:paraId="39D98FCB"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8FD8" w14:textId="77777777">
        <w:tc>
          <w:tcPr>
            <w:tcW w:w="50" w:type="pct"/>
            <w:shd w:val="clear" w:color="auto" w:fill="auto"/>
            <w:vAlign w:val="bottom"/>
          </w:tcPr>
          <w:p w14:paraId="39D98FCC" w14:textId="77777777" w:rsidR="00996AD7" w:rsidRDefault="00996AD7">
            <w:pPr>
              <w:rPr>
                <w:rFonts w:ascii="宋体"/>
              </w:rPr>
            </w:pPr>
          </w:p>
        </w:tc>
        <w:tc>
          <w:tcPr>
            <w:tcW w:w="238" w:type="pct"/>
            <w:shd w:val="clear" w:color="auto" w:fill="auto"/>
            <w:vAlign w:val="bottom"/>
          </w:tcPr>
          <w:p w14:paraId="39D98FCD" w14:textId="77777777" w:rsidR="00996AD7" w:rsidRDefault="00996AD7">
            <w:pPr>
              <w:rPr>
                <w:rFonts w:ascii="宋体"/>
              </w:rPr>
            </w:pPr>
          </w:p>
        </w:tc>
        <w:tc>
          <w:tcPr>
            <w:tcW w:w="5" w:type="pct"/>
            <w:shd w:val="clear" w:color="auto" w:fill="auto"/>
            <w:vAlign w:val="bottom"/>
          </w:tcPr>
          <w:p w14:paraId="39D98FCE" w14:textId="77777777" w:rsidR="00996AD7" w:rsidRDefault="00996AD7">
            <w:pPr>
              <w:rPr>
                <w:rFonts w:ascii="宋体"/>
              </w:rPr>
            </w:pPr>
          </w:p>
        </w:tc>
        <w:tc>
          <w:tcPr>
            <w:tcW w:w="50" w:type="pct"/>
            <w:shd w:val="clear" w:color="auto" w:fill="auto"/>
            <w:vAlign w:val="bottom"/>
          </w:tcPr>
          <w:p w14:paraId="39D98FCF" w14:textId="77777777" w:rsidR="00996AD7" w:rsidRDefault="00996AD7">
            <w:pPr>
              <w:rPr>
                <w:rFonts w:ascii="宋体"/>
              </w:rPr>
            </w:pPr>
          </w:p>
        </w:tc>
        <w:tc>
          <w:tcPr>
            <w:tcW w:w="983" w:type="pct"/>
            <w:shd w:val="clear" w:color="auto" w:fill="auto"/>
            <w:vAlign w:val="bottom"/>
          </w:tcPr>
          <w:p w14:paraId="39D98FD0" w14:textId="77777777" w:rsidR="00996AD7" w:rsidRDefault="00996AD7">
            <w:pPr>
              <w:rPr>
                <w:rFonts w:ascii="宋体"/>
              </w:rPr>
            </w:pPr>
          </w:p>
        </w:tc>
        <w:tc>
          <w:tcPr>
            <w:tcW w:w="5" w:type="pct"/>
            <w:shd w:val="clear" w:color="auto" w:fill="auto"/>
            <w:vAlign w:val="bottom"/>
          </w:tcPr>
          <w:p w14:paraId="39D98FD1" w14:textId="77777777" w:rsidR="00996AD7" w:rsidRDefault="00996AD7">
            <w:pPr>
              <w:rPr>
                <w:rFonts w:ascii="宋体"/>
              </w:rPr>
            </w:pPr>
          </w:p>
        </w:tc>
        <w:tc>
          <w:tcPr>
            <w:tcW w:w="50" w:type="pct"/>
            <w:shd w:val="clear" w:color="auto" w:fill="auto"/>
            <w:vAlign w:val="bottom"/>
          </w:tcPr>
          <w:p w14:paraId="39D98FD2" w14:textId="77777777" w:rsidR="00996AD7" w:rsidRDefault="00996AD7">
            <w:pPr>
              <w:rPr>
                <w:rFonts w:ascii="宋体"/>
              </w:rPr>
            </w:pPr>
          </w:p>
        </w:tc>
        <w:tc>
          <w:tcPr>
            <w:tcW w:w="2035" w:type="pct"/>
            <w:shd w:val="clear" w:color="auto" w:fill="auto"/>
            <w:vAlign w:val="bottom"/>
          </w:tcPr>
          <w:p w14:paraId="39D98FD3" w14:textId="77777777" w:rsidR="00996AD7" w:rsidRDefault="00996AD7">
            <w:pPr>
              <w:rPr>
                <w:rFonts w:ascii="宋体"/>
              </w:rPr>
            </w:pPr>
          </w:p>
        </w:tc>
        <w:tc>
          <w:tcPr>
            <w:tcW w:w="5" w:type="pct"/>
            <w:shd w:val="clear" w:color="auto" w:fill="auto"/>
            <w:vAlign w:val="bottom"/>
          </w:tcPr>
          <w:p w14:paraId="39D98FD4" w14:textId="77777777" w:rsidR="00996AD7" w:rsidRDefault="00996AD7">
            <w:pPr>
              <w:rPr>
                <w:rFonts w:ascii="宋体"/>
              </w:rPr>
            </w:pPr>
          </w:p>
        </w:tc>
        <w:tc>
          <w:tcPr>
            <w:tcW w:w="50" w:type="pct"/>
            <w:shd w:val="clear" w:color="auto" w:fill="auto"/>
            <w:vAlign w:val="bottom"/>
          </w:tcPr>
          <w:p w14:paraId="39D98FD5" w14:textId="77777777" w:rsidR="00996AD7" w:rsidRDefault="00996AD7">
            <w:pPr>
              <w:rPr>
                <w:rFonts w:ascii="宋体"/>
              </w:rPr>
            </w:pPr>
          </w:p>
        </w:tc>
        <w:tc>
          <w:tcPr>
            <w:tcW w:w="1522" w:type="pct"/>
            <w:shd w:val="clear" w:color="auto" w:fill="auto"/>
            <w:vAlign w:val="bottom"/>
          </w:tcPr>
          <w:p w14:paraId="39D98FD6" w14:textId="77777777" w:rsidR="00996AD7" w:rsidRDefault="00996AD7">
            <w:pPr>
              <w:rPr>
                <w:rFonts w:ascii="宋体"/>
              </w:rPr>
            </w:pPr>
          </w:p>
        </w:tc>
        <w:tc>
          <w:tcPr>
            <w:tcW w:w="5" w:type="pct"/>
            <w:shd w:val="clear" w:color="auto" w:fill="auto"/>
            <w:vAlign w:val="bottom"/>
          </w:tcPr>
          <w:p w14:paraId="39D98FD7" w14:textId="77777777" w:rsidR="00996AD7" w:rsidRDefault="00996AD7">
            <w:pPr>
              <w:rPr>
                <w:rFonts w:ascii="宋体"/>
              </w:rPr>
            </w:pPr>
          </w:p>
        </w:tc>
      </w:tr>
      <w:tr w:rsidR="00996AD7" w14:paraId="39D98FD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FD9"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D2" wp14:editId="39D9A3D3">
                  <wp:extent cx="304800" cy="304800"/>
                  <wp:effectExtent l="0" t="0" r="0" b="0"/>
                  <wp:docPr id="90" name="图片 8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1"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FDA"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8FDB"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FDC" w14:textId="77777777" w:rsidR="00996AD7" w:rsidRDefault="00D96458">
            <w:pPr>
              <w:jc w:val="right"/>
              <w:textAlignment w:val="center"/>
            </w:pPr>
            <w:r>
              <w:rPr>
                <w:rFonts w:ascii="Arial" w:eastAsia="宋体" w:hAnsi="Arial" w:cs="Arial"/>
                <w:color w:val="262626"/>
                <w:sz w:val="16"/>
                <w:szCs w:val="16"/>
              </w:rPr>
              <w:t>21</w:t>
            </w:r>
          </w:p>
        </w:tc>
      </w:tr>
    </w:tbl>
    <w:p w14:paraId="39D98FDE" w14:textId="77777777" w:rsidR="00996AD7" w:rsidRDefault="00D96458">
      <w:r>
        <w:pict w14:anchorId="39D9A3D4">
          <v:rect id="_x0000_i1047" style="width:415.3pt;height:1.5pt" o:hralign="center" o:hrstd="t" o:hr="t" fillcolor="#a0a0a0" stroked="f"/>
        </w:pict>
      </w:r>
    </w:p>
    <w:p w14:paraId="39D98FDF" w14:textId="77777777" w:rsidR="00996AD7" w:rsidRDefault="00D96458">
      <w:pPr>
        <w:spacing w:after="180"/>
        <w:jc w:val="right"/>
      </w:pPr>
      <w:hyperlink r:id="rId48" w:anchor="i94e6cc3aa83643b8b968bd5bab038338_7" w:history="1">
        <w:r>
          <w:rPr>
            <w:rStyle w:val="a5"/>
            <w:rFonts w:ascii="Arial" w:eastAsia="宋体" w:hAnsi="Arial" w:cs="Arial"/>
            <w:b/>
            <w:bCs/>
            <w:color w:val="0068B5"/>
            <w:sz w:val="16"/>
            <w:szCs w:val="16"/>
          </w:rPr>
          <w:t>Table of Contents</w:t>
        </w:r>
      </w:hyperlink>
    </w:p>
    <w:p w14:paraId="39D98FE0" w14:textId="77777777" w:rsidR="00996AD7" w:rsidRDefault="00996AD7">
      <w:pPr>
        <w:spacing w:after="180"/>
        <w:jc w:val="right"/>
      </w:pPr>
    </w:p>
    <w:p w14:paraId="39D98FE1" w14:textId="77777777" w:rsidR="00996AD7" w:rsidRDefault="00D96458">
      <w:pPr>
        <w:spacing w:after="180"/>
      </w:pPr>
      <w:r>
        <w:rPr>
          <w:rFonts w:ascii="Arial" w:eastAsia="宋体" w:hAnsi="Arial" w:cs="Arial"/>
          <w:color w:val="262626"/>
          <w:sz w:val="18"/>
          <w:szCs w:val="18"/>
        </w:rPr>
        <w:t>In June 2018, VLSI filed a second suit against Intel, in U.S. District Court for the</w:t>
      </w:r>
      <w:r>
        <w:rPr>
          <w:rFonts w:ascii="Arial" w:eastAsia="宋体" w:hAnsi="Arial" w:cs="Arial"/>
          <w:color w:val="262626"/>
          <w:sz w:val="18"/>
          <w:szCs w:val="18"/>
        </w:rPr>
        <w:t xml:space="preserve"> District of Delaware, alleging infringement by various Intel processors of five additional patents acquired from NXP: U.S. Patent Nos. 6,212,663; 7,246,027; 7,247,552; 7,523,331; and 8,081,026. VLSI accused Intel of willful infringement and seeks an injun</w:t>
      </w:r>
      <w:r>
        <w:rPr>
          <w:rFonts w:ascii="Arial" w:eastAsia="宋体" w:hAnsi="Arial" w:cs="Arial"/>
          <w:color w:val="262626"/>
          <w:sz w:val="18"/>
          <w:szCs w:val="18"/>
        </w:rPr>
        <w:t>ction or, in the alternative, ongoing royalties, enhanced damages, attorneys’ fees and costs, and interest. In March 2019, the District Court dismissed VLSI’s claims for willful infringement as to all the patents-in-suit except the ‘027 patent, and also di</w:t>
      </w:r>
      <w:r>
        <w:rPr>
          <w:rFonts w:ascii="Arial" w:eastAsia="宋体" w:hAnsi="Arial" w:cs="Arial"/>
          <w:color w:val="262626"/>
          <w:sz w:val="18"/>
          <w:szCs w:val="18"/>
        </w:rPr>
        <w:t>smissed VLSI’s allegations of indirect infringement as to the ‘633, ‘331, and ‘026 patents. In June 2019, Intel filed requests for inter partes review of the patentability of claims in all five patents-in-suit. In January 2020, the District Court vacated a</w:t>
      </w:r>
      <w:r>
        <w:rPr>
          <w:rFonts w:ascii="Arial" w:eastAsia="宋体" w:hAnsi="Arial" w:cs="Arial"/>
          <w:color w:val="262626"/>
          <w:sz w:val="18"/>
          <w:szCs w:val="18"/>
        </w:rPr>
        <w:t xml:space="preserve">n earlier November 2020 trial date based on agreement of the parties; no trial date is currently set. In January 2020, VLSI said that it was no longer asserting any claims of the ‘633 patent. In January and February 2020, the PTAB instituted review of the </w:t>
      </w:r>
      <w:r>
        <w:rPr>
          <w:rFonts w:ascii="Arial" w:eastAsia="宋体" w:hAnsi="Arial" w:cs="Arial"/>
          <w:color w:val="262626"/>
          <w:sz w:val="18"/>
          <w:szCs w:val="18"/>
        </w:rPr>
        <w:t>'552, '633, '331, and '026 patents, but declined to institute review on the '027 patent. As a result, Intel moved for stay of the District Court proceedings. In May 2020, the District Court stayed the case as to the '026 and '552 patents but allowed the ca</w:t>
      </w:r>
      <w:r>
        <w:rPr>
          <w:rFonts w:ascii="Arial" w:eastAsia="宋体" w:hAnsi="Arial" w:cs="Arial"/>
          <w:color w:val="262626"/>
          <w:sz w:val="18"/>
          <w:szCs w:val="18"/>
        </w:rPr>
        <w:t>se to proceed on the '027 and '331 patents. In January 2021, the PTAB invalidated certain asserted claims of the ‘026 patent, and in February the PTAB invalidated all asserted claims of the ‘552 patent. Intel filed a notice of appeal regarding the PTAB’s d</w:t>
      </w:r>
      <w:r>
        <w:rPr>
          <w:rFonts w:ascii="Arial" w:eastAsia="宋体" w:hAnsi="Arial" w:cs="Arial"/>
          <w:color w:val="262626"/>
          <w:sz w:val="18"/>
          <w:szCs w:val="18"/>
        </w:rPr>
        <w:t>ecision as to the ‘026 patent in March 2021, and the case remains stayed as to that patent and the '552 patent. For the '027 and '331 patents, VLSI is seeking damages of approximately $4.13 billion plus enhanced damages for the '027 patent. The deadline to</w:t>
      </w:r>
      <w:r>
        <w:rPr>
          <w:rFonts w:ascii="Arial" w:eastAsia="宋体" w:hAnsi="Arial" w:cs="Arial"/>
          <w:color w:val="262626"/>
          <w:sz w:val="18"/>
          <w:szCs w:val="18"/>
        </w:rPr>
        <w:t xml:space="preserve"> file summary judgment motions and challenges to expert witnesses is in January 2022.</w:t>
      </w:r>
    </w:p>
    <w:p w14:paraId="39D98FE2" w14:textId="77777777" w:rsidR="00996AD7" w:rsidRDefault="00D96458">
      <w:pPr>
        <w:spacing w:after="180"/>
      </w:pPr>
      <w:r>
        <w:rPr>
          <w:rFonts w:ascii="Arial" w:eastAsia="宋体" w:hAnsi="Arial" w:cs="Arial"/>
          <w:color w:val="262626"/>
          <w:sz w:val="18"/>
          <w:szCs w:val="18"/>
        </w:rPr>
        <w:t>In March 2019, VLSI filed a third suit against Intel, also in U.S. District Court for the District of Delaware, alleging infringement of six more patents acquired from NX</w:t>
      </w:r>
      <w:r>
        <w:rPr>
          <w:rFonts w:ascii="Arial" w:eastAsia="宋体" w:hAnsi="Arial" w:cs="Arial"/>
          <w:color w:val="262626"/>
          <w:sz w:val="18"/>
          <w:szCs w:val="18"/>
        </w:rPr>
        <w:t>P: U.S. Patent Nos. 6,366,522; 6,663,187; 7,292,485; 7,606,983; 7,725,759; and 7,793,025. In April 2019, VLSI voluntarily dismissed this Delaware case without prejudice. In April 2019, VLSI filed three new infringement suits against Intel in the U.S. Distr</w:t>
      </w:r>
      <w:r>
        <w:rPr>
          <w:rFonts w:ascii="Arial" w:eastAsia="宋体" w:hAnsi="Arial" w:cs="Arial"/>
          <w:color w:val="262626"/>
          <w:sz w:val="18"/>
          <w:szCs w:val="18"/>
        </w:rPr>
        <w:t xml:space="preserve">ict Court for the Western District of Texas (WDTX) accusing various Intel processors of infringement. The three suits collectively assert the same six patents from the voluntarily dismissed Delaware case plus two additional patents acquired from NXP, U.S. </w:t>
      </w:r>
      <w:r>
        <w:rPr>
          <w:rFonts w:ascii="Arial" w:eastAsia="宋体" w:hAnsi="Arial" w:cs="Arial"/>
          <w:color w:val="262626"/>
          <w:sz w:val="18"/>
          <w:szCs w:val="18"/>
        </w:rPr>
        <w:t>Patent Nos. 7,523,373 and 8,156,357. VLSI accuses Intel of willful infringement and seeks an injunction or, in the alternative, ongoing royalties, enhanced damages, attorneys’ fees and costs, and interest. In the first Texas case, VLSI asserted the ‘373 an</w:t>
      </w:r>
      <w:r>
        <w:rPr>
          <w:rFonts w:ascii="Arial" w:eastAsia="宋体" w:hAnsi="Arial" w:cs="Arial"/>
          <w:color w:val="262626"/>
          <w:sz w:val="18"/>
          <w:szCs w:val="18"/>
        </w:rPr>
        <w:t xml:space="preserve">d ‘759 patents (in December 2020 the court granted Intel summary judgment of non-infringement on the ‘357 patent, which had also been asserted in the first Texas case). That case went to trial in February 2021, and the jury awarded a “lump sum” to VLSI of </w:t>
      </w:r>
      <w:r>
        <w:rPr>
          <w:rFonts w:ascii="Arial" w:eastAsia="宋体" w:hAnsi="Arial" w:cs="Arial"/>
          <w:color w:val="262626"/>
          <w:sz w:val="18"/>
          <w:szCs w:val="18"/>
        </w:rPr>
        <w:t>$1.5 billion for literal infringement of the ‘373 patent and $675 million for infringement under the doctrine of equivalents of the ‘759 patent. The jury found that Intel had not willfully infringed either patent. Intel plans to challenge the verdict in po</w:t>
      </w:r>
      <w:r>
        <w:rPr>
          <w:rFonts w:ascii="Arial" w:eastAsia="宋体" w:hAnsi="Arial" w:cs="Arial"/>
          <w:color w:val="262626"/>
          <w:sz w:val="18"/>
          <w:szCs w:val="18"/>
        </w:rPr>
        <w:t>st-trial motions and on appeal. Intel has challenged the verdict with post-trial motions, including filing in May 2021 a motion for a new trial and a motion for judgment as a matter of law that the ‘373 and ‘759 patents are not infringed and the ‘759 paten</w:t>
      </w:r>
      <w:r>
        <w:rPr>
          <w:rFonts w:ascii="Arial" w:eastAsia="宋体" w:hAnsi="Arial" w:cs="Arial"/>
          <w:color w:val="262626"/>
          <w:sz w:val="18"/>
          <w:szCs w:val="18"/>
        </w:rPr>
        <w:t>t is invalid. The court denied the motion for new trial in August 2021, but other post-trial motions, including the motion for judgment as a matter of law, remain pending. If the court does not vacate the verdict Intel will challenge it on appeal.</w:t>
      </w:r>
    </w:p>
    <w:p w14:paraId="39D98FE3" w14:textId="77777777" w:rsidR="00996AD7" w:rsidRDefault="00D96458">
      <w:pPr>
        <w:spacing w:after="180"/>
      </w:pPr>
      <w:r>
        <w:rPr>
          <w:rFonts w:ascii="Arial" w:eastAsia="宋体" w:hAnsi="Arial" w:cs="Arial"/>
          <w:color w:val="262626"/>
          <w:sz w:val="18"/>
          <w:szCs w:val="18"/>
        </w:rPr>
        <w:t>The seco</w:t>
      </w:r>
      <w:r>
        <w:rPr>
          <w:rFonts w:ascii="Arial" w:eastAsia="宋体" w:hAnsi="Arial" w:cs="Arial"/>
          <w:color w:val="262626"/>
          <w:sz w:val="18"/>
          <w:szCs w:val="18"/>
        </w:rPr>
        <w:t>nd Texas case went to trial in April 2021, and the jury found that Intel does not infringe the ‘522 and ‘187 patents. VLSI had sought approximately $3 billion for alleged infringement of those patents, plus enhanced damages for willful infringement. The th</w:t>
      </w:r>
      <w:r>
        <w:rPr>
          <w:rFonts w:ascii="Arial" w:eastAsia="宋体" w:hAnsi="Arial" w:cs="Arial"/>
          <w:color w:val="262626"/>
          <w:sz w:val="18"/>
          <w:szCs w:val="18"/>
        </w:rPr>
        <w:t>ird case is scheduled for trial in December 2021, and VLSI seeks approximately $2.2 billion to $2.4 billion for alleged infringement of the ‘983, ‘025 and ‘485 patents, plus enhanced damages for willful infringement. In October and November 2019, and in Fe</w:t>
      </w:r>
      <w:r>
        <w:rPr>
          <w:rFonts w:ascii="Arial" w:eastAsia="宋体" w:hAnsi="Arial" w:cs="Arial"/>
          <w:color w:val="262626"/>
          <w:sz w:val="18"/>
          <w:szCs w:val="18"/>
        </w:rPr>
        <w:t>bruary 2020, Intel filed IPR petitions on certain asserted claims across six of the patents-in-suit in WDTX. Between May and October 2020, the PTAB denied all of these requests and Intel requested a rehearing, as well as review from the POP as to all petit</w:t>
      </w:r>
      <w:r>
        <w:rPr>
          <w:rFonts w:ascii="Arial" w:eastAsia="宋体" w:hAnsi="Arial" w:cs="Arial"/>
          <w:color w:val="262626"/>
          <w:sz w:val="18"/>
          <w:szCs w:val="18"/>
        </w:rPr>
        <w:t>ions. All requests for POP review were denied in October and December 2020, and all requests for rehearing were denied as to all petitions between December 2020 and February 2021. Intel filed notices of appeal regarding the discretionary denials for all pe</w:t>
      </w:r>
      <w:r>
        <w:rPr>
          <w:rFonts w:ascii="Arial" w:eastAsia="宋体" w:hAnsi="Arial" w:cs="Arial"/>
          <w:color w:val="262626"/>
          <w:sz w:val="18"/>
          <w:szCs w:val="18"/>
        </w:rPr>
        <w:t xml:space="preserve">titions in February and March of 2021, and VLSI moved to dismiss those appeals in March 2021. The Court dismissed the appeals in May 2021, and Intel petitioned for hearing </w:t>
      </w:r>
      <w:r>
        <w:rPr>
          <w:rFonts w:ascii="Arial" w:eastAsia="宋体" w:hAnsi="Arial" w:cs="Arial"/>
          <w:i/>
          <w:iCs/>
          <w:color w:val="262626"/>
          <w:sz w:val="18"/>
          <w:szCs w:val="18"/>
        </w:rPr>
        <w:t>en banc</w:t>
      </w:r>
      <w:r>
        <w:rPr>
          <w:rFonts w:ascii="Arial" w:eastAsia="宋体" w:hAnsi="Arial" w:cs="Arial"/>
          <w:color w:val="262626"/>
          <w:sz w:val="18"/>
          <w:szCs w:val="18"/>
        </w:rPr>
        <w:t xml:space="preserve"> in June 2021. The Federal Circuit denied the petition in August 2021.</w:t>
      </w:r>
    </w:p>
    <w:p w14:paraId="39D98FE4" w14:textId="77777777" w:rsidR="00996AD7" w:rsidRDefault="00D96458">
      <w:pPr>
        <w:spacing w:after="180"/>
      </w:pPr>
      <w:r>
        <w:rPr>
          <w:rFonts w:ascii="Arial" w:eastAsia="宋体" w:hAnsi="Arial" w:cs="Arial"/>
          <w:color w:val="262626"/>
          <w:sz w:val="18"/>
          <w:szCs w:val="18"/>
        </w:rPr>
        <w:t>In May</w:t>
      </w:r>
      <w:r>
        <w:rPr>
          <w:rFonts w:ascii="Arial" w:eastAsia="宋体" w:hAnsi="Arial" w:cs="Arial"/>
          <w:color w:val="262626"/>
          <w:sz w:val="18"/>
          <w:szCs w:val="18"/>
        </w:rPr>
        <w:t xml:space="preserve"> 2019, VLSI filed a case in Shenzhen Intermediate People’s Court against Intel, Intel (China) Co., Ltd., Intel Trading (Shanghai) Co., Ltd., and Intel Products (Chengdu) Co., Ltd. VLSI asserts Chinese Patent 201410094015.9 accusing certain Intel Core proce</w:t>
      </w:r>
      <w:r>
        <w:rPr>
          <w:rFonts w:ascii="Arial" w:eastAsia="宋体" w:hAnsi="Arial" w:cs="Arial"/>
          <w:color w:val="262626"/>
          <w:sz w:val="18"/>
          <w:szCs w:val="18"/>
        </w:rPr>
        <w:t>ssors of infringement. VLSI requests an injunction as well as RMB 1 million in damages and RMB 300 thousand in expenses. Defendants filed an invalidation petition in October 2019 with the CNIPA, which held a hearing in September 2021. In May 2020, defendan</w:t>
      </w:r>
      <w:r>
        <w:rPr>
          <w:rFonts w:ascii="Arial" w:eastAsia="宋体" w:hAnsi="Arial" w:cs="Arial"/>
          <w:color w:val="262626"/>
          <w:sz w:val="18"/>
          <w:szCs w:val="18"/>
        </w:rPr>
        <w:t>ts filed a motion to stay the trial court proceedings pending a determination on invalidity. The court held the first evidentiary hearing in November 2020 and the second in July 2021. The court also held trial proceedings in the hearing in July 2021 and co</w:t>
      </w:r>
      <w:r>
        <w:rPr>
          <w:rFonts w:ascii="Arial" w:eastAsia="宋体" w:hAnsi="Arial" w:cs="Arial"/>
          <w:color w:val="262626"/>
          <w:sz w:val="18"/>
          <w:szCs w:val="18"/>
        </w:rPr>
        <w:t xml:space="preserve">ncluded that further trial proceedings were needed but would be stayed pending the outcome of defendants’ invalidity challenge at the CNIPA. </w:t>
      </w:r>
    </w:p>
    <w:p w14:paraId="39D98FE5" w14:textId="77777777" w:rsidR="00996AD7" w:rsidRDefault="00D96458">
      <w:pPr>
        <w:spacing w:after="180"/>
      </w:pPr>
      <w:r>
        <w:rPr>
          <w:rFonts w:ascii="Arial" w:eastAsia="宋体" w:hAnsi="Arial" w:cs="Arial"/>
          <w:color w:val="262626"/>
          <w:sz w:val="18"/>
          <w:szCs w:val="18"/>
        </w:rPr>
        <w:t>In May 2019, VLSI filed a second case in Shanghai Intellectual Property Court against Intel (China) Co., Ltd., Int</w:t>
      </w:r>
      <w:r>
        <w:rPr>
          <w:rFonts w:ascii="Arial" w:eastAsia="宋体" w:hAnsi="Arial" w:cs="Arial"/>
          <w:color w:val="262626"/>
          <w:sz w:val="18"/>
          <w:szCs w:val="18"/>
        </w:rPr>
        <w:t>el Trading (Shanghai) Co., Ltd., and Intel Products (Chengdu) Co., Ltd. VLSI asserts Chinese Patent 201080024173.7. VLSI accuses certain Intel Core processors and seeks an injunction, as well as RMB 1 million in damages and RMB 300 thousand in expenses. De</w:t>
      </w:r>
      <w:r>
        <w:rPr>
          <w:rFonts w:ascii="Arial" w:eastAsia="宋体" w:hAnsi="Arial" w:cs="Arial"/>
          <w:color w:val="262626"/>
          <w:sz w:val="18"/>
          <w:szCs w:val="18"/>
        </w:rPr>
        <w:t>fendants filed with the CNIPA an invalidation petition in October 2019, and the CNIPA held a hearing in September 2021, but has not yet issued a decision. In June 2020, defendants filed a motion to stay the trial court proceedings pending a determination o</w:t>
      </w:r>
      <w:r>
        <w:rPr>
          <w:rFonts w:ascii="Arial" w:eastAsia="宋体" w:hAnsi="Arial" w:cs="Arial"/>
          <w:color w:val="262626"/>
          <w:sz w:val="18"/>
          <w:szCs w:val="18"/>
        </w:rPr>
        <w:t>n invalidity. The court held its first evidentiary hearing in September 2020. The court held a second evidentiary hearing in December 2020, and a trial the same month. At trial, VLSI dropped its monetary damages claim, but still requested expenses (RMB 300</w:t>
      </w:r>
      <w:r>
        <w:rPr>
          <w:rFonts w:ascii="Arial" w:eastAsia="宋体" w:hAnsi="Arial" w:cs="Arial"/>
          <w:color w:val="262626"/>
          <w:sz w:val="18"/>
          <w:szCs w:val="18"/>
        </w:rPr>
        <w:t xml:space="preserve"> thousand) and an injunction. The court held a second evidentiary hearing in December 2020. The court has not yet issued a decision following the trial. Rather, the court stayed the case in December 2020 pending a determination on invalidity by the CNIPA.</w:t>
      </w:r>
    </w:p>
    <w:p w14:paraId="39D98FE6" w14:textId="77777777" w:rsidR="00996AD7" w:rsidRDefault="00996AD7">
      <w:pPr>
        <w:spacing w:after="180"/>
      </w:pPr>
    </w:p>
    <w:p w14:paraId="39D98FE7" w14:textId="77777777" w:rsidR="00996AD7" w:rsidRDefault="00996AD7">
      <w:pPr>
        <w:spacing w:after="180"/>
      </w:pPr>
    </w:p>
    <w:p w14:paraId="39D98FE8" w14:textId="77777777" w:rsidR="00996AD7" w:rsidRDefault="00996AD7">
      <w:pPr>
        <w:spacing w:after="180"/>
      </w:pPr>
    </w:p>
    <w:p w14:paraId="39D98FE9" w14:textId="77777777" w:rsidR="00996AD7" w:rsidRDefault="00996AD7">
      <w:pPr>
        <w:spacing w:after="180"/>
      </w:pPr>
    </w:p>
    <w:p w14:paraId="39D98FEA" w14:textId="77777777" w:rsidR="00996AD7" w:rsidRDefault="00996AD7">
      <w:pPr>
        <w:spacing w:after="180"/>
      </w:pPr>
    </w:p>
    <w:p w14:paraId="39D98FEB" w14:textId="77777777" w:rsidR="00996AD7" w:rsidRDefault="00996AD7">
      <w:pPr>
        <w:spacing w:after="180"/>
      </w:pPr>
    </w:p>
    <w:p w14:paraId="39D98FEC"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8FF9" w14:textId="77777777">
        <w:tc>
          <w:tcPr>
            <w:tcW w:w="50" w:type="pct"/>
            <w:shd w:val="clear" w:color="auto" w:fill="auto"/>
            <w:vAlign w:val="bottom"/>
          </w:tcPr>
          <w:p w14:paraId="39D98FED" w14:textId="77777777" w:rsidR="00996AD7" w:rsidRDefault="00996AD7">
            <w:pPr>
              <w:rPr>
                <w:rFonts w:ascii="宋体"/>
              </w:rPr>
            </w:pPr>
          </w:p>
        </w:tc>
        <w:tc>
          <w:tcPr>
            <w:tcW w:w="238" w:type="pct"/>
            <w:shd w:val="clear" w:color="auto" w:fill="auto"/>
            <w:vAlign w:val="bottom"/>
          </w:tcPr>
          <w:p w14:paraId="39D98FEE" w14:textId="77777777" w:rsidR="00996AD7" w:rsidRDefault="00996AD7">
            <w:pPr>
              <w:rPr>
                <w:rFonts w:ascii="宋体"/>
              </w:rPr>
            </w:pPr>
          </w:p>
        </w:tc>
        <w:tc>
          <w:tcPr>
            <w:tcW w:w="5" w:type="pct"/>
            <w:shd w:val="clear" w:color="auto" w:fill="auto"/>
            <w:vAlign w:val="bottom"/>
          </w:tcPr>
          <w:p w14:paraId="39D98FEF" w14:textId="77777777" w:rsidR="00996AD7" w:rsidRDefault="00996AD7">
            <w:pPr>
              <w:rPr>
                <w:rFonts w:ascii="宋体"/>
              </w:rPr>
            </w:pPr>
          </w:p>
        </w:tc>
        <w:tc>
          <w:tcPr>
            <w:tcW w:w="50" w:type="pct"/>
            <w:shd w:val="clear" w:color="auto" w:fill="auto"/>
            <w:vAlign w:val="bottom"/>
          </w:tcPr>
          <w:p w14:paraId="39D98FF0" w14:textId="77777777" w:rsidR="00996AD7" w:rsidRDefault="00996AD7">
            <w:pPr>
              <w:rPr>
                <w:rFonts w:ascii="宋体"/>
              </w:rPr>
            </w:pPr>
          </w:p>
        </w:tc>
        <w:tc>
          <w:tcPr>
            <w:tcW w:w="983" w:type="pct"/>
            <w:shd w:val="clear" w:color="auto" w:fill="auto"/>
            <w:vAlign w:val="bottom"/>
          </w:tcPr>
          <w:p w14:paraId="39D98FF1" w14:textId="77777777" w:rsidR="00996AD7" w:rsidRDefault="00996AD7">
            <w:pPr>
              <w:rPr>
                <w:rFonts w:ascii="宋体"/>
              </w:rPr>
            </w:pPr>
          </w:p>
        </w:tc>
        <w:tc>
          <w:tcPr>
            <w:tcW w:w="5" w:type="pct"/>
            <w:shd w:val="clear" w:color="auto" w:fill="auto"/>
            <w:vAlign w:val="bottom"/>
          </w:tcPr>
          <w:p w14:paraId="39D98FF2" w14:textId="77777777" w:rsidR="00996AD7" w:rsidRDefault="00996AD7">
            <w:pPr>
              <w:rPr>
                <w:rFonts w:ascii="宋体"/>
              </w:rPr>
            </w:pPr>
          </w:p>
        </w:tc>
        <w:tc>
          <w:tcPr>
            <w:tcW w:w="50" w:type="pct"/>
            <w:shd w:val="clear" w:color="auto" w:fill="auto"/>
            <w:vAlign w:val="bottom"/>
          </w:tcPr>
          <w:p w14:paraId="39D98FF3" w14:textId="77777777" w:rsidR="00996AD7" w:rsidRDefault="00996AD7">
            <w:pPr>
              <w:rPr>
                <w:rFonts w:ascii="宋体"/>
              </w:rPr>
            </w:pPr>
          </w:p>
        </w:tc>
        <w:tc>
          <w:tcPr>
            <w:tcW w:w="2035" w:type="pct"/>
            <w:shd w:val="clear" w:color="auto" w:fill="auto"/>
            <w:vAlign w:val="bottom"/>
          </w:tcPr>
          <w:p w14:paraId="39D98FF4" w14:textId="77777777" w:rsidR="00996AD7" w:rsidRDefault="00996AD7">
            <w:pPr>
              <w:rPr>
                <w:rFonts w:ascii="宋体"/>
              </w:rPr>
            </w:pPr>
          </w:p>
        </w:tc>
        <w:tc>
          <w:tcPr>
            <w:tcW w:w="5" w:type="pct"/>
            <w:shd w:val="clear" w:color="auto" w:fill="auto"/>
            <w:vAlign w:val="bottom"/>
          </w:tcPr>
          <w:p w14:paraId="39D98FF5" w14:textId="77777777" w:rsidR="00996AD7" w:rsidRDefault="00996AD7">
            <w:pPr>
              <w:rPr>
                <w:rFonts w:ascii="宋体"/>
              </w:rPr>
            </w:pPr>
          </w:p>
        </w:tc>
        <w:tc>
          <w:tcPr>
            <w:tcW w:w="50" w:type="pct"/>
            <w:shd w:val="clear" w:color="auto" w:fill="auto"/>
            <w:vAlign w:val="bottom"/>
          </w:tcPr>
          <w:p w14:paraId="39D98FF6" w14:textId="77777777" w:rsidR="00996AD7" w:rsidRDefault="00996AD7">
            <w:pPr>
              <w:rPr>
                <w:rFonts w:ascii="宋体"/>
              </w:rPr>
            </w:pPr>
          </w:p>
        </w:tc>
        <w:tc>
          <w:tcPr>
            <w:tcW w:w="1522" w:type="pct"/>
            <w:shd w:val="clear" w:color="auto" w:fill="auto"/>
            <w:vAlign w:val="bottom"/>
          </w:tcPr>
          <w:p w14:paraId="39D98FF7" w14:textId="77777777" w:rsidR="00996AD7" w:rsidRDefault="00996AD7">
            <w:pPr>
              <w:rPr>
                <w:rFonts w:ascii="宋体"/>
              </w:rPr>
            </w:pPr>
          </w:p>
        </w:tc>
        <w:tc>
          <w:tcPr>
            <w:tcW w:w="5" w:type="pct"/>
            <w:shd w:val="clear" w:color="auto" w:fill="auto"/>
            <w:vAlign w:val="bottom"/>
          </w:tcPr>
          <w:p w14:paraId="39D98FF8" w14:textId="77777777" w:rsidR="00996AD7" w:rsidRDefault="00996AD7">
            <w:pPr>
              <w:rPr>
                <w:rFonts w:ascii="宋体"/>
              </w:rPr>
            </w:pPr>
          </w:p>
        </w:tc>
      </w:tr>
      <w:tr w:rsidR="00996AD7" w14:paraId="39D98FF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8FFA"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D5" wp14:editId="39D9A3D6">
                  <wp:extent cx="304800" cy="304800"/>
                  <wp:effectExtent l="0" t="0" r="0" b="0"/>
                  <wp:docPr id="92" name="图片 83"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3"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FFB"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8FFC"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8FFD" w14:textId="77777777" w:rsidR="00996AD7" w:rsidRDefault="00D96458">
            <w:pPr>
              <w:jc w:val="right"/>
              <w:textAlignment w:val="center"/>
            </w:pPr>
            <w:r>
              <w:rPr>
                <w:rFonts w:ascii="Arial" w:eastAsia="宋体" w:hAnsi="Arial" w:cs="Arial"/>
                <w:color w:val="262626"/>
                <w:sz w:val="16"/>
                <w:szCs w:val="16"/>
              </w:rPr>
              <w:t>22</w:t>
            </w:r>
          </w:p>
        </w:tc>
      </w:tr>
    </w:tbl>
    <w:p w14:paraId="39D98FFF" w14:textId="77777777" w:rsidR="00996AD7" w:rsidRDefault="00D96458">
      <w:r>
        <w:pict w14:anchorId="39D9A3D7">
          <v:rect id="_x0000_i1048" style="width:415.3pt;height:1.5pt" o:hralign="center" o:hrstd="t" o:hr="t" fillcolor="#a0a0a0" stroked="f"/>
        </w:pict>
      </w:r>
    </w:p>
    <w:p w14:paraId="39D99000" w14:textId="77777777" w:rsidR="00996AD7" w:rsidRDefault="00D96458">
      <w:pPr>
        <w:spacing w:after="180"/>
        <w:jc w:val="right"/>
      </w:pPr>
      <w:hyperlink r:id="rId49" w:anchor="i94e6cc3aa83643b8b968bd5bab038338_7" w:history="1">
        <w:r>
          <w:rPr>
            <w:rStyle w:val="a5"/>
            <w:rFonts w:ascii="Arial" w:eastAsia="宋体" w:hAnsi="Arial" w:cs="Arial"/>
            <w:b/>
            <w:bCs/>
            <w:color w:val="0068B5"/>
            <w:sz w:val="16"/>
            <w:szCs w:val="16"/>
          </w:rPr>
          <w:t>Table of Contents</w:t>
        </w:r>
      </w:hyperlink>
    </w:p>
    <w:p w14:paraId="39D99001" w14:textId="77777777" w:rsidR="00996AD7" w:rsidRDefault="00996AD7">
      <w:pPr>
        <w:spacing w:after="180"/>
        <w:jc w:val="right"/>
      </w:pPr>
    </w:p>
    <w:p w14:paraId="39D99002" w14:textId="77777777" w:rsidR="00996AD7" w:rsidRDefault="00D96458">
      <w:pPr>
        <w:spacing w:after="180"/>
      </w:pPr>
      <w:r>
        <w:rPr>
          <w:rFonts w:ascii="Arial" w:eastAsia="宋体" w:hAnsi="Arial" w:cs="Arial"/>
          <w:color w:val="262626"/>
          <w:sz w:val="18"/>
          <w:szCs w:val="18"/>
        </w:rPr>
        <w:t>In November 2019, Intel, along with Apple Inc., filed a complaint against Fortress I</w:t>
      </w:r>
      <w:r>
        <w:rPr>
          <w:rFonts w:ascii="Arial" w:eastAsia="宋体" w:hAnsi="Arial" w:cs="Arial"/>
          <w:color w:val="262626"/>
          <w:sz w:val="18"/>
          <w:szCs w:val="18"/>
        </w:rPr>
        <w:t>nvestment Group LLC, Fortress Credit Co. LLC, Uniloc 2017 LLC, Uniloc USA, Inc., Uniloc Luxembourg S.A.R.L., VLSI, INVT SPE LLC, Inventergy Global, Inc., DSS Technology Management, Inc., IXI IP, LLC, and Seven Networks, LLC. Plaintiffs allege violations of</w:t>
      </w:r>
      <w:r>
        <w:rPr>
          <w:rFonts w:ascii="Arial" w:eastAsia="宋体" w:hAnsi="Arial" w:cs="Arial"/>
          <w:color w:val="262626"/>
          <w:sz w:val="18"/>
          <w:szCs w:val="18"/>
        </w:rPr>
        <w:t xml:space="preserve"> Section 1 of the Sherman Act by certain defendants, Section 7 of the Clayton Act by certain defendants, and California Business and Professions Code section 17200 by all defendants based on defendants' unlawful aggregation of patents. In February 2020, de</w:t>
      </w:r>
      <w:r>
        <w:rPr>
          <w:rFonts w:ascii="Arial" w:eastAsia="宋体" w:hAnsi="Arial" w:cs="Arial"/>
          <w:color w:val="262626"/>
          <w:sz w:val="18"/>
          <w:szCs w:val="18"/>
        </w:rPr>
        <w:t>fendants moved to dismiss plaintiffs' complaint. In July 2020, the court granted defendants’ motion to dismiss with leave to amend. The court dismissed antitrust claims related to two DSS patents with prejudice. The plaintiffs filed an amended complaint in</w:t>
      </w:r>
      <w:r>
        <w:rPr>
          <w:rFonts w:ascii="Arial" w:eastAsia="宋体" w:hAnsi="Arial" w:cs="Arial"/>
          <w:color w:val="262626"/>
          <w:sz w:val="18"/>
          <w:szCs w:val="18"/>
        </w:rPr>
        <w:t xml:space="preserve"> August 2020, and defendants moved to dismiss in September 2020. The court heard defendants' motion to dismiss the amended complaint in December 2020 and dismissed plaintiffs’ amended complaint in January 2021, with leave to further amend. In December 2020</w:t>
      </w:r>
      <w:r>
        <w:rPr>
          <w:rFonts w:ascii="Arial" w:eastAsia="宋体" w:hAnsi="Arial" w:cs="Arial"/>
          <w:color w:val="262626"/>
          <w:sz w:val="18"/>
          <w:szCs w:val="18"/>
        </w:rPr>
        <w:t>, the court granted a joint motion by Apple and Seven Networks to dismiss with prejudice Apple’s claims against Seven Networks. Plaintiffs filed a second amended complaint in March 2021. Defendants moved to dismiss the Second Amended Complaint in May 2021.</w:t>
      </w:r>
      <w:r>
        <w:rPr>
          <w:rFonts w:ascii="Arial" w:eastAsia="宋体" w:hAnsi="Arial" w:cs="Arial"/>
          <w:color w:val="262626"/>
          <w:sz w:val="18"/>
          <w:szCs w:val="18"/>
        </w:rPr>
        <w:t xml:space="preserve"> Apple withdrew from the case and dismissed its claims in June 2021. The court heard defendants’ motion to dismiss the Second Amended Complaint in September 2021, and dismissed Intel’s claims with prejudice that same month, entering judgment in favor of de</w:t>
      </w:r>
      <w:r>
        <w:rPr>
          <w:rFonts w:ascii="Arial" w:eastAsia="宋体" w:hAnsi="Arial" w:cs="Arial"/>
          <w:color w:val="262626"/>
          <w:sz w:val="18"/>
          <w:szCs w:val="18"/>
        </w:rPr>
        <w:t>fendants.</w:t>
      </w:r>
    </w:p>
    <w:p w14:paraId="39D99003" w14:textId="77777777" w:rsidR="00996AD7" w:rsidRDefault="00D96458">
      <w:pPr>
        <w:spacing w:after="180"/>
      </w:pPr>
      <w:r>
        <w:rPr>
          <w:rFonts w:ascii="Arial" w:eastAsia="宋体" w:hAnsi="Arial" w:cs="Arial"/>
          <w:color w:val="262626"/>
          <w:sz w:val="18"/>
          <w:szCs w:val="18"/>
        </w:rPr>
        <w:t>In June 2020, affiliates controlled by Fortress Investment Group, which also controls VLSI, acquired Finjan Holdings, Inc. Intel had signed a “Settlement, Release and Patent License Agreement” with Finjan in 2012, acquiring a license to the paten</w:t>
      </w:r>
      <w:r>
        <w:rPr>
          <w:rFonts w:ascii="Arial" w:eastAsia="宋体" w:hAnsi="Arial" w:cs="Arial"/>
          <w:color w:val="262626"/>
          <w:sz w:val="18"/>
          <w:szCs w:val="18"/>
        </w:rPr>
        <w:t xml:space="preserve">ts of Finjan and its affiliates, current or future, through a capture period of November 20, 2022. The agreement also contains covenants wherein Finjan agrees to cause its affiliates to comply with the agreement. As such, Intel maintains that it now has a </w:t>
      </w:r>
      <w:r>
        <w:rPr>
          <w:rFonts w:ascii="Arial" w:eastAsia="宋体" w:hAnsi="Arial" w:cs="Arial"/>
          <w:color w:val="262626"/>
          <w:sz w:val="18"/>
          <w:szCs w:val="18"/>
        </w:rPr>
        <w:t xml:space="preserve">license to the patents of VLSI, which has become a Finjan affiliate, and that Finjan must cause VLSI to dismiss its suits against Intel. In August 2020, Intel started dispute resolution proceedings under the agreement. As a part of this dispute resolution </w:t>
      </w:r>
      <w:r>
        <w:rPr>
          <w:rFonts w:ascii="Arial" w:eastAsia="宋体" w:hAnsi="Arial" w:cs="Arial"/>
          <w:color w:val="262626"/>
          <w:sz w:val="18"/>
          <w:szCs w:val="18"/>
        </w:rPr>
        <w:t>process, Intel and Finjan held a mediation in December 2020, but failed to resolve their differences. Intel filed suit to enforce its rights under the License Agreement with Finjan in January 2021 in Delaware Chancery Court. In March 2021, defendants filed</w:t>
      </w:r>
      <w:r>
        <w:rPr>
          <w:rFonts w:ascii="Arial" w:eastAsia="宋体" w:hAnsi="Arial" w:cs="Arial"/>
          <w:color w:val="262626"/>
          <w:sz w:val="18"/>
          <w:szCs w:val="18"/>
        </w:rPr>
        <w:t xml:space="preserve"> motions to dismiss the Chancery Court proceedings. The court heard those motions in May 2021, and dismissed all of Intel’s claims—except the breach of contract claim—with prejudice in September 2021 for lack of jurisdiction because, the court reasoned, In</w:t>
      </w:r>
      <w:r>
        <w:rPr>
          <w:rFonts w:ascii="Arial" w:eastAsia="宋体" w:hAnsi="Arial" w:cs="Arial"/>
          <w:color w:val="262626"/>
          <w:sz w:val="18"/>
          <w:szCs w:val="18"/>
        </w:rPr>
        <w:t>tel’s license defense has been raised in the other U.S. suits between Intel and VLSI and could be adjudicated in one of those actions. The court stayed Intel’s breach of contract claim pending a determination on whether Intel is licensed to VLSI’s patents.</w:t>
      </w:r>
      <w:r>
        <w:rPr>
          <w:rFonts w:ascii="Arial" w:eastAsia="宋体" w:hAnsi="Arial" w:cs="Arial"/>
          <w:color w:val="262626"/>
          <w:sz w:val="18"/>
          <w:szCs w:val="18"/>
        </w:rPr>
        <w:t xml:space="preserve"> In September 2020, Intel filed motions to stay the Texas, Delaware, and Shanghai matters pending resolution of its dispute with Finjan. In November 2020, Intel filed a motion to stay the Shenzhen matter pending resolution of its dispute with Finjan. In No</w:t>
      </w:r>
      <w:r>
        <w:rPr>
          <w:rFonts w:ascii="Arial" w:eastAsia="宋体" w:hAnsi="Arial" w:cs="Arial"/>
          <w:color w:val="262626"/>
          <w:sz w:val="18"/>
          <w:szCs w:val="18"/>
        </w:rPr>
        <w:t>vember 2020, the Delaware court denied Intel’s motion to stay. The other stay motions remain pending. Finally, Intel filed a motion to amend its answer in the Texas matters to add a license defense in November 2020, and filed a motion to amend its answer i</w:t>
      </w:r>
      <w:r>
        <w:rPr>
          <w:rFonts w:ascii="Arial" w:eastAsia="宋体" w:hAnsi="Arial" w:cs="Arial"/>
          <w:color w:val="262626"/>
          <w:sz w:val="18"/>
          <w:szCs w:val="18"/>
        </w:rPr>
        <w:t>n the Delaware matter to add a license defense in February 2021. The Texas court has not yet ruled on Intel’s motion to amend, but the Delaware court granted Intel’s motion in July 2021.</w:t>
      </w:r>
    </w:p>
    <w:p w14:paraId="39D99004" w14:textId="77777777" w:rsidR="00996AD7" w:rsidRDefault="00D96458">
      <w:pPr>
        <w:spacing w:after="180"/>
      </w:pPr>
      <w:r>
        <w:rPr>
          <w:rFonts w:ascii="Arial" w:eastAsia="宋体" w:hAnsi="Arial" w:cs="Arial"/>
          <w:color w:val="262626"/>
          <w:sz w:val="18"/>
          <w:szCs w:val="18"/>
        </w:rPr>
        <w:t>After consideration of the verdicts in the WDTX cases and the additio</w:t>
      </w:r>
      <w:r>
        <w:rPr>
          <w:rFonts w:ascii="Arial" w:eastAsia="宋体" w:hAnsi="Arial" w:cs="Arial"/>
          <w:color w:val="262626"/>
          <w:sz w:val="18"/>
          <w:szCs w:val="18"/>
        </w:rPr>
        <w:t>nal pending lawsuits filed by VLSI, Intel accrued a charge of $2.2 billion in the first quarter of 2021. We dispute VLSI’s claims and intend to vigorously defend against them.</w:t>
      </w:r>
    </w:p>
    <w:p w14:paraId="39D99005" w14:textId="77777777" w:rsidR="00996AD7" w:rsidRDefault="00D96458">
      <w:pPr>
        <w:spacing w:after="120"/>
      </w:pPr>
      <w:r>
        <w:rPr>
          <w:rFonts w:ascii="Arial" w:eastAsia="宋体" w:hAnsi="Arial" w:cs="Arial"/>
          <w:color w:val="0068B5"/>
          <w:sz w:val="20"/>
          <w:szCs w:val="20"/>
        </w:rPr>
        <w:t>Litigation Related to 7nm Product Delay Announcement</w:t>
      </w:r>
    </w:p>
    <w:p w14:paraId="39D99006" w14:textId="77777777" w:rsidR="00996AD7" w:rsidRDefault="00D96458">
      <w:pPr>
        <w:spacing w:after="180"/>
      </w:pPr>
      <w:r>
        <w:rPr>
          <w:rFonts w:ascii="Arial" w:eastAsia="宋体" w:hAnsi="Arial" w:cs="Arial"/>
          <w:color w:val="262626"/>
          <w:sz w:val="18"/>
          <w:szCs w:val="18"/>
        </w:rPr>
        <w:t>Starting in July 2020, five</w:t>
      </w:r>
      <w:r>
        <w:rPr>
          <w:rFonts w:ascii="Arial" w:eastAsia="宋体" w:hAnsi="Arial" w:cs="Arial"/>
          <w:color w:val="262626"/>
          <w:sz w:val="18"/>
          <w:szCs w:val="18"/>
        </w:rPr>
        <w:t xml:space="preserve"> securities class action lawsuits were filed in the U.S. District Court for the Northern District of California against Intel and certain current and former officers based on Intel’s July 2020 announcement of 7nm product delays. The plaintiffs, who purport</w:t>
      </w:r>
      <w:r>
        <w:rPr>
          <w:rFonts w:ascii="Arial" w:eastAsia="宋体" w:hAnsi="Arial" w:cs="Arial"/>
          <w:color w:val="262626"/>
          <w:sz w:val="18"/>
          <w:szCs w:val="18"/>
        </w:rPr>
        <w:t xml:space="preserve"> to represent classes of acquirers of Intel stock between October 2019 and July 2020, generally allege that the defendants violated securities laws by making false or misleading statements about the timeline for 7nm products in light of subsequently announ</w:t>
      </w:r>
      <w:r>
        <w:rPr>
          <w:rFonts w:ascii="Arial" w:eastAsia="宋体" w:hAnsi="Arial" w:cs="Arial"/>
          <w:color w:val="262626"/>
          <w:sz w:val="18"/>
          <w:szCs w:val="18"/>
        </w:rPr>
        <w:t>ced delays. In October 2020, the court consolidated the lawsuits and appointed lead plaintiffs, and in January 2021 the lead plaintiffs filed a consolidated complaint. Defendants moved to dismiss the consolidated complaint in March 2021. We dispute the cla</w:t>
      </w:r>
      <w:r>
        <w:rPr>
          <w:rFonts w:ascii="Arial" w:eastAsia="宋体" w:hAnsi="Arial" w:cs="Arial"/>
          <w:color w:val="262626"/>
          <w:sz w:val="18"/>
          <w:szCs w:val="18"/>
        </w:rPr>
        <w:t>ims described above and intend to defend the lawsuits vigorously. Given the procedural posture and the nature of those cases, including that the pending proceedings are in the early stages, that alleged damages have not been specified, that uncertainty exi</w:t>
      </w:r>
      <w:r>
        <w:rPr>
          <w:rFonts w:ascii="Arial" w:eastAsia="宋体" w:hAnsi="Arial" w:cs="Arial"/>
          <w:color w:val="262626"/>
          <w:sz w:val="18"/>
          <w:szCs w:val="18"/>
        </w:rPr>
        <w:t>sts as to the likelihood of a class or classes being certified or the ultimate size of any class or classes if certified, and that there are significant factual and legal issues to be resolved, we are unable to make a reasonable estimate of the potential l</w:t>
      </w:r>
      <w:r>
        <w:rPr>
          <w:rFonts w:ascii="Arial" w:eastAsia="宋体" w:hAnsi="Arial" w:cs="Arial"/>
          <w:color w:val="262626"/>
          <w:sz w:val="18"/>
          <w:szCs w:val="18"/>
        </w:rPr>
        <w:t>oss or range of losses, if any, that might arise from those matters. In July 2021, Intel introduced a new process node naming structure, and the 7nm process is now Intel 4.</w:t>
      </w:r>
    </w:p>
    <w:p w14:paraId="39D99007" w14:textId="77777777" w:rsidR="00996AD7" w:rsidRDefault="00996AD7">
      <w:pPr>
        <w:spacing w:after="180"/>
      </w:pPr>
    </w:p>
    <w:p w14:paraId="39D99008" w14:textId="77777777" w:rsidR="00996AD7" w:rsidRDefault="00996AD7">
      <w:pPr>
        <w:spacing w:after="180"/>
      </w:pPr>
    </w:p>
    <w:p w14:paraId="39D99009" w14:textId="77777777" w:rsidR="00996AD7" w:rsidRDefault="00996AD7">
      <w:pPr>
        <w:spacing w:after="180"/>
      </w:pPr>
    </w:p>
    <w:p w14:paraId="39D9900A" w14:textId="77777777" w:rsidR="00996AD7" w:rsidRDefault="00996AD7">
      <w:pPr>
        <w:spacing w:after="180"/>
      </w:pPr>
    </w:p>
    <w:p w14:paraId="39D9900B" w14:textId="77777777" w:rsidR="00996AD7" w:rsidRDefault="00996AD7">
      <w:pPr>
        <w:spacing w:after="180"/>
      </w:pPr>
    </w:p>
    <w:p w14:paraId="39D9900C" w14:textId="77777777" w:rsidR="00996AD7" w:rsidRDefault="00996AD7">
      <w:pPr>
        <w:spacing w:after="180"/>
      </w:pPr>
    </w:p>
    <w:p w14:paraId="39D9900D" w14:textId="77777777" w:rsidR="00996AD7" w:rsidRDefault="00996AD7">
      <w:pPr>
        <w:spacing w:after="180"/>
      </w:pPr>
    </w:p>
    <w:p w14:paraId="39D9900E"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901B" w14:textId="77777777">
        <w:tc>
          <w:tcPr>
            <w:tcW w:w="50" w:type="pct"/>
            <w:shd w:val="clear" w:color="auto" w:fill="auto"/>
            <w:vAlign w:val="bottom"/>
          </w:tcPr>
          <w:p w14:paraId="39D9900F" w14:textId="77777777" w:rsidR="00996AD7" w:rsidRDefault="00996AD7">
            <w:pPr>
              <w:rPr>
                <w:rFonts w:ascii="宋体"/>
              </w:rPr>
            </w:pPr>
          </w:p>
        </w:tc>
        <w:tc>
          <w:tcPr>
            <w:tcW w:w="238" w:type="pct"/>
            <w:shd w:val="clear" w:color="auto" w:fill="auto"/>
            <w:vAlign w:val="bottom"/>
          </w:tcPr>
          <w:p w14:paraId="39D99010" w14:textId="77777777" w:rsidR="00996AD7" w:rsidRDefault="00996AD7">
            <w:pPr>
              <w:rPr>
                <w:rFonts w:ascii="宋体"/>
              </w:rPr>
            </w:pPr>
          </w:p>
        </w:tc>
        <w:tc>
          <w:tcPr>
            <w:tcW w:w="5" w:type="pct"/>
            <w:shd w:val="clear" w:color="auto" w:fill="auto"/>
            <w:vAlign w:val="bottom"/>
          </w:tcPr>
          <w:p w14:paraId="39D99011" w14:textId="77777777" w:rsidR="00996AD7" w:rsidRDefault="00996AD7">
            <w:pPr>
              <w:rPr>
                <w:rFonts w:ascii="宋体"/>
              </w:rPr>
            </w:pPr>
          </w:p>
        </w:tc>
        <w:tc>
          <w:tcPr>
            <w:tcW w:w="50" w:type="pct"/>
            <w:shd w:val="clear" w:color="auto" w:fill="auto"/>
            <w:vAlign w:val="bottom"/>
          </w:tcPr>
          <w:p w14:paraId="39D99012" w14:textId="77777777" w:rsidR="00996AD7" w:rsidRDefault="00996AD7">
            <w:pPr>
              <w:rPr>
                <w:rFonts w:ascii="宋体"/>
              </w:rPr>
            </w:pPr>
          </w:p>
        </w:tc>
        <w:tc>
          <w:tcPr>
            <w:tcW w:w="983" w:type="pct"/>
            <w:shd w:val="clear" w:color="auto" w:fill="auto"/>
            <w:vAlign w:val="bottom"/>
          </w:tcPr>
          <w:p w14:paraId="39D99013" w14:textId="77777777" w:rsidR="00996AD7" w:rsidRDefault="00996AD7">
            <w:pPr>
              <w:rPr>
                <w:rFonts w:ascii="宋体"/>
              </w:rPr>
            </w:pPr>
          </w:p>
        </w:tc>
        <w:tc>
          <w:tcPr>
            <w:tcW w:w="5" w:type="pct"/>
            <w:shd w:val="clear" w:color="auto" w:fill="auto"/>
            <w:vAlign w:val="bottom"/>
          </w:tcPr>
          <w:p w14:paraId="39D99014" w14:textId="77777777" w:rsidR="00996AD7" w:rsidRDefault="00996AD7">
            <w:pPr>
              <w:rPr>
                <w:rFonts w:ascii="宋体"/>
              </w:rPr>
            </w:pPr>
          </w:p>
        </w:tc>
        <w:tc>
          <w:tcPr>
            <w:tcW w:w="50" w:type="pct"/>
            <w:shd w:val="clear" w:color="auto" w:fill="auto"/>
            <w:vAlign w:val="bottom"/>
          </w:tcPr>
          <w:p w14:paraId="39D99015" w14:textId="77777777" w:rsidR="00996AD7" w:rsidRDefault="00996AD7">
            <w:pPr>
              <w:rPr>
                <w:rFonts w:ascii="宋体"/>
              </w:rPr>
            </w:pPr>
          </w:p>
        </w:tc>
        <w:tc>
          <w:tcPr>
            <w:tcW w:w="2035" w:type="pct"/>
            <w:shd w:val="clear" w:color="auto" w:fill="auto"/>
            <w:vAlign w:val="bottom"/>
          </w:tcPr>
          <w:p w14:paraId="39D99016" w14:textId="77777777" w:rsidR="00996AD7" w:rsidRDefault="00996AD7">
            <w:pPr>
              <w:rPr>
                <w:rFonts w:ascii="宋体"/>
              </w:rPr>
            </w:pPr>
          </w:p>
        </w:tc>
        <w:tc>
          <w:tcPr>
            <w:tcW w:w="5" w:type="pct"/>
            <w:shd w:val="clear" w:color="auto" w:fill="auto"/>
            <w:vAlign w:val="bottom"/>
          </w:tcPr>
          <w:p w14:paraId="39D99017" w14:textId="77777777" w:rsidR="00996AD7" w:rsidRDefault="00996AD7">
            <w:pPr>
              <w:rPr>
                <w:rFonts w:ascii="宋体"/>
              </w:rPr>
            </w:pPr>
          </w:p>
        </w:tc>
        <w:tc>
          <w:tcPr>
            <w:tcW w:w="50" w:type="pct"/>
            <w:shd w:val="clear" w:color="auto" w:fill="auto"/>
            <w:vAlign w:val="bottom"/>
          </w:tcPr>
          <w:p w14:paraId="39D99018" w14:textId="77777777" w:rsidR="00996AD7" w:rsidRDefault="00996AD7">
            <w:pPr>
              <w:rPr>
                <w:rFonts w:ascii="宋体"/>
              </w:rPr>
            </w:pPr>
          </w:p>
        </w:tc>
        <w:tc>
          <w:tcPr>
            <w:tcW w:w="1522" w:type="pct"/>
            <w:shd w:val="clear" w:color="auto" w:fill="auto"/>
            <w:vAlign w:val="bottom"/>
          </w:tcPr>
          <w:p w14:paraId="39D99019" w14:textId="77777777" w:rsidR="00996AD7" w:rsidRDefault="00996AD7">
            <w:pPr>
              <w:rPr>
                <w:rFonts w:ascii="宋体"/>
              </w:rPr>
            </w:pPr>
          </w:p>
        </w:tc>
        <w:tc>
          <w:tcPr>
            <w:tcW w:w="5" w:type="pct"/>
            <w:shd w:val="clear" w:color="auto" w:fill="auto"/>
            <w:vAlign w:val="bottom"/>
          </w:tcPr>
          <w:p w14:paraId="39D9901A" w14:textId="77777777" w:rsidR="00996AD7" w:rsidRDefault="00996AD7">
            <w:pPr>
              <w:rPr>
                <w:rFonts w:ascii="宋体"/>
              </w:rPr>
            </w:pPr>
          </w:p>
        </w:tc>
      </w:tr>
      <w:tr w:rsidR="00996AD7" w14:paraId="39D9902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01C"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D8" wp14:editId="39D9A3D9">
                  <wp:extent cx="304800" cy="304800"/>
                  <wp:effectExtent l="0" t="0" r="0" b="0"/>
                  <wp:docPr id="88" name="图片 85"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5"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01D"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901E"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01F" w14:textId="77777777" w:rsidR="00996AD7" w:rsidRDefault="00D96458">
            <w:pPr>
              <w:jc w:val="right"/>
              <w:textAlignment w:val="center"/>
            </w:pPr>
            <w:r>
              <w:rPr>
                <w:rFonts w:ascii="Arial" w:eastAsia="宋体" w:hAnsi="Arial" w:cs="Arial"/>
                <w:color w:val="262626"/>
                <w:sz w:val="16"/>
                <w:szCs w:val="16"/>
              </w:rPr>
              <w:t>23</w:t>
            </w:r>
          </w:p>
        </w:tc>
      </w:tr>
    </w:tbl>
    <w:p w14:paraId="39D99021" w14:textId="77777777" w:rsidR="00996AD7" w:rsidRDefault="00D96458">
      <w:r>
        <w:pict w14:anchorId="39D9A3DA">
          <v:rect id="_x0000_i1049" style="width:415.3pt;height:1.5pt" o:hralign="center" o:hrstd="t" o:hr="t" fillcolor="#a0a0a0" stroked="f"/>
        </w:pict>
      </w:r>
    </w:p>
    <w:p w14:paraId="39D99022" w14:textId="77777777" w:rsidR="00996AD7" w:rsidRDefault="00D96458">
      <w:pPr>
        <w:spacing w:after="180"/>
        <w:jc w:val="right"/>
      </w:pPr>
      <w:hyperlink r:id="rId50" w:anchor="i94e6cc3aa83643b8b968bd5bab038338_7" w:history="1">
        <w:r>
          <w:rPr>
            <w:rStyle w:val="a5"/>
            <w:rFonts w:ascii="Arial" w:eastAsia="宋体" w:hAnsi="Arial" w:cs="Arial"/>
            <w:b/>
            <w:bCs/>
            <w:color w:val="0068B5"/>
            <w:sz w:val="16"/>
            <w:szCs w:val="16"/>
          </w:rPr>
          <w:t>Table of Contents</w:t>
        </w:r>
      </w:hyperlink>
    </w:p>
    <w:p w14:paraId="39D99023"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96AD7" w14:paraId="39D9902A" w14:textId="77777777">
        <w:tc>
          <w:tcPr>
            <w:tcW w:w="50" w:type="pct"/>
            <w:shd w:val="clear" w:color="auto" w:fill="auto"/>
            <w:vAlign w:val="bottom"/>
          </w:tcPr>
          <w:p w14:paraId="39D99024" w14:textId="77777777" w:rsidR="00996AD7" w:rsidRDefault="00996AD7">
            <w:pPr>
              <w:rPr>
                <w:rFonts w:ascii="宋体"/>
              </w:rPr>
            </w:pPr>
          </w:p>
        </w:tc>
        <w:tc>
          <w:tcPr>
            <w:tcW w:w="4870" w:type="pct"/>
            <w:shd w:val="clear" w:color="auto" w:fill="auto"/>
            <w:vAlign w:val="bottom"/>
          </w:tcPr>
          <w:p w14:paraId="39D99025" w14:textId="77777777" w:rsidR="00996AD7" w:rsidRDefault="00996AD7">
            <w:pPr>
              <w:rPr>
                <w:rFonts w:ascii="宋体"/>
              </w:rPr>
            </w:pPr>
          </w:p>
        </w:tc>
        <w:tc>
          <w:tcPr>
            <w:tcW w:w="5" w:type="pct"/>
            <w:shd w:val="clear" w:color="auto" w:fill="auto"/>
            <w:vAlign w:val="bottom"/>
          </w:tcPr>
          <w:p w14:paraId="39D99026" w14:textId="77777777" w:rsidR="00996AD7" w:rsidRDefault="00996AD7">
            <w:pPr>
              <w:rPr>
                <w:rFonts w:ascii="宋体"/>
              </w:rPr>
            </w:pPr>
          </w:p>
        </w:tc>
        <w:tc>
          <w:tcPr>
            <w:tcW w:w="5" w:type="pct"/>
            <w:shd w:val="clear" w:color="auto" w:fill="auto"/>
            <w:vAlign w:val="bottom"/>
          </w:tcPr>
          <w:p w14:paraId="39D99027" w14:textId="77777777" w:rsidR="00996AD7" w:rsidRDefault="00996AD7">
            <w:pPr>
              <w:rPr>
                <w:rFonts w:ascii="宋体"/>
              </w:rPr>
            </w:pPr>
          </w:p>
        </w:tc>
        <w:tc>
          <w:tcPr>
            <w:tcW w:w="64" w:type="pct"/>
            <w:shd w:val="clear" w:color="auto" w:fill="auto"/>
            <w:vAlign w:val="bottom"/>
          </w:tcPr>
          <w:p w14:paraId="39D99028" w14:textId="77777777" w:rsidR="00996AD7" w:rsidRDefault="00996AD7">
            <w:pPr>
              <w:rPr>
                <w:rFonts w:ascii="宋体"/>
              </w:rPr>
            </w:pPr>
          </w:p>
        </w:tc>
        <w:tc>
          <w:tcPr>
            <w:tcW w:w="5" w:type="pct"/>
            <w:shd w:val="clear" w:color="auto" w:fill="auto"/>
            <w:vAlign w:val="bottom"/>
          </w:tcPr>
          <w:p w14:paraId="39D99029" w14:textId="77777777" w:rsidR="00996AD7" w:rsidRDefault="00996AD7">
            <w:pPr>
              <w:rPr>
                <w:rFonts w:ascii="宋体"/>
              </w:rPr>
            </w:pPr>
          </w:p>
        </w:tc>
      </w:tr>
      <w:tr w:rsidR="00996AD7" w14:paraId="39D9902D" w14:textId="77777777">
        <w:tc>
          <w:tcPr>
            <w:tcW w:w="0" w:type="auto"/>
            <w:gridSpan w:val="3"/>
            <w:shd w:val="clear" w:color="auto" w:fill="004A86"/>
            <w:tcMar>
              <w:top w:w="40" w:type="dxa"/>
              <w:left w:w="20" w:type="dxa"/>
              <w:bottom w:w="40" w:type="dxa"/>
              <w:right w:w="20" w:type="dxa"/>
            </w:tcMar>
            <w:vAlign w:val="center"/>
          </w:tcPr>
          <w:p w14:paraId="39D9902B" w14:textId="77777777" w:rsidR="00996AD7" w:rsidRDefault="00D96458">
            <w:pPr>
              <w:textAlignment w:val="center"/>
            </w:pPr>
            <w:r>
              <w:rPr>
                <w:rFonts w:ascii="Arial" w:eastAsia="宋体" w:hAnsi="Arial" w:cs="Arial"/>
                <w:color w:val="FFFFFF"/>
                <w:sz w:val="36"/>
                <w:szCs w:val="36"/>
              </w:rPr>
              <w:t>Key Terms</w:t>
            </w:r>
          </w:p>
        </w:tc>
        <w:tc>
          <w:tcPr>
            <w:tcW w:w="0" w:type="auto"/>
            <w:gridSpan w:val="3"/>
            <w:shd w:val="clear" w:color="auto" w:fill="auto"/>
            <w:tcMar>
              <w:top w:w="0" w:type="dxa"/>
              <w:left w:w="20" w:type="dxa"/>
              <w:bottom w:w="0" w:type="dxa"/>
              <w:right w:w="20" w:type="dxa"/>
            </w:tcMar>
            <w:vAlign w:val="bottom"/>
          </w:tcPr>
          <w:p w14:paraId="39D9902C" w14:textId="77777777" w:rsidR="00996AD7" w:rsidRDefault="00996AD7">
            <w:pPr>
              <w:rPr>
                <w:rFonts w:ascii="宋体"/>
              </w:rPr>
            </w:pPr>
          </w:p>
        </w:tc>
      </w:tr>
      <w:tr w:rsidR="00996AD7" w14:paraId="39D99030" w14:textId="77777777">
        <w:trPr>
          <w:trHeight w:val="160"/>
        </w:trPr>
        <w:tc>
          <w:tcPr>
            <w:tcW w:w="0" w:type="auto"/>
            <w:gridSpan w:val="3"/>
            <w:shd w:val="clear" w:color="auto" w:fill="auto"/>
            <w:tcMar>
              <w:top w:w="0" w:type="dxa"/>
              <w:left w:w="20" w:type="dxa"/>
              <w:bottom w:w="0" w:type="dxa"/>
              <w:right w:w="20" w:type="dxa"/>
            </w:tcMar>
            <w:vAlign w:val="bottom"/>
          </w:tcPr>
          <w:p w14:paraId="39D9902E" w14:textId="77777777" w:rsidR="00996AD7" w:rsidRDefault="00996AD7">
            <w:pPr>
              <w:rPr>
                <w:rFonts w:ascii="宋体"/>
              </w:rPr>
            </w:pPr>
          </w:p>
        </w:tc>
        <w:tc>
          <w:tcPr>
            <w:tcW w:w="0" w:type="auto"/>
            <w:gridSpan w:val="3"/>
            <w:shd w:val="clear" w:color="auto" w:fill="00A3F6"/>
            <w:tcMar>
              <w:top w:w="0" w:type="dxa"/>
              <w:left w:w="20" w:type="dxa"/>
              <w:bottom w:w="0" w:type="dxa"/>
              <w:right w:w="20" w:type="dxa"/>
            </w:tcMar>
            <w:vAlign w:val="bottom"/>
          </w:tcPr>
          <w:p w14:paraId="39D9902F" w14:textId="77777777" w:rsidR="00996AD7" w:rsidRDefault="00996AD7">
            <w:pPr>
              <w:rPr>
                <w:rFonts w:ascii="宋体"/>
              </w:rPr>
            </w:pPr>
          </w:p>
        </w:tc>
      </w:tr>
    </w:tbl>
    <w:p w14:paraId="39D99031" w14:textId="77777777" w:rsidR="00996AD7" w:rsidRDefault="00D96458">
      <w:r>
        <w:rPr>
          <w:rFonts w:ascii="Arial" w:eastAsia="宋体" w:hAnsi="Arial" w:cs="Arial"/>
          <w:color w:val="262626"/>
          <w:sz w:val="18"/>
          <w:szCs w:val="18"/>
        </w:rPr>
        <w:t xml:space="preserve">We use terms throughout our document that are specific to Intel or that are abbreviations that may not be commonly known or used. Below is a list of these terms used in our document. </w:t>
      </w:r>
    </w:p>
    <w:tbl>
      <w:tblPr>
        <w:tblW w:w="5000" w:type="pct"/>
        <w:tblCellMar>
          <w:top w:w="15" w:type="dxa"/>
          <w:left w:w="15" w:type="dxa"/>
          <w:bottom w:w="15" w:type="dxa"/>
          <w:right w:w="15" w:type="dxa"/>
        </w:tblCellMar>
        <w:tblLook w:val="04A0" w:firstRow="1" w:lastRow="0" w:firstColumn="1" w:lastColumn="0" w:noHBand="0" w:noVBand="1"/>
      </w:tblPr>
      <w:tblGrid>
        <w:gridCol w:w="54"/>
        <w:gridCol w:w="1389"/>
        <w:gridCol w:w="36"/>
        <w:gridCol w:w="36"/>
        <w:gridCol w:w="36"/>
        <w:gridCol w:w="36"/>
        <w:gridCol w:w="52"/>
        <w:gridCol w:w="3261"/>
        <w:gridCol w:w="40"/>
        <w:gridCol w:w="40"/>
        <w:gridCol w:w="39"/>
        <w:gridCol w:w="39"/>
        <w:gridCol w:w="39"/>
        <w:gridCol w:w="3201"/>
        <w:gridCol w:w="38"/>
      </w:tblGrid>
      <w:tr w:rsidR="00996AD7" w14:paraId="39D99041" w14:textId="77777777">
        <w:tc>
          <w:tcPr>
            <w:tcW w:w="50" w:type="pct"/>
            <w:shd w:val="clear" w:color="auto" w:fill="auto"/>
            <w:vAlign w:val="bottom"/>
          </w:tcPr>
          <w:p w14:paraId="39D99032" w14:textId="77777777" w:rsidR="00996AD7" w:rsidRDefault="00996AD7">
            <w:pPr>
              <w:rPr>
                <w:rFonts w:ascii="宋体"/>
              </w:rPr>
            </w:pPr>
          </w:p>
        </w:tc>
        <w:tc>
          <w:tcPr>
            <w:tcW w:w="853" w:type="pct"/>
            <w:shd w:val="clear" w:color="auto" w:fill="auto"/>
            <w:vAlign w:val="bottom"/>
          </w:tcPr>
          <w:p w14:paraId="39D99033" w14:textId="77777777" w:rsidR="00996AD7" w:rsidRDefault="00996AD7">
            <w:pPr>
              <w:rPr>
                <w:rFonts w:ascii="宋体"/>
              </w:rPr>
            </w:pPr>
          </w:p>
        </w:tc>
        <w:tc>
          <w:tcPr>
            <w:tcW w:w="5" w:type="pct"/>
            <w:shd w:val="clear" w:color="auto" w:fill="auto"/>
            <w:vAlign w:val="bottom"/>
          </w:tcPr>
          <w:p w14:paraId="39D99034" w14:textId="77777777" w:rsidR="00996AD7" w:rsidRDefault="00996AD7">
            <w:pPr>
              <w:rPr>
                <w:rFonts w:ascii="宋体"/>
              </w:rPr>
            </w:pPr>
          </w:p>
        </w:tc>
        <w:tc>
          <w:tcPr>
            <w:tcW w:w="5" w:type="pct"/>
            <w:shd w:val="clear" w:color="auto" w:fill="auto"/>
            <w:vAlign w:val="bottom"/>
          </w:tcPr>
          <w:p w14:paraId="39D99035" w14:textId="77777777" w:rsidR="00996AD7" w:rsidRDefault="00996AD7">
            <w:pPr>
              <w:rPr>
                <w:rFonts w:ascii="宋体"/>
              </w:rPr>
            </w:pPr>
          </w:p>
        </w:tc>
        <w:tc>
          <w:tcPr>
            <w:tcW w:w="17" w:type="pct"/>
            <w:shd w:val="clear" w:color="auto" w:fill="auto"/>
            <w:vAlign w:val="bottom"/>
          </w:tcPr>
          <w:p w14:paraId="39D99036" w14:textId="77777777" w:rsidR="00996AD7" w:rsidRDefault="00996AD7">
            <w:pPr>
              <w:rPr>
                <w:rFonts w:ascii="宋体"/>
              </w:rPr>
            </w:pPr>
          </w:p>
        </w:tc>
        <w:tc>
          <w:tcPr>
            <w:tcW w:w="5" w:type="pct"/>
            <w:shd w:val="clear" w:color="auto" w:fill="auto"/>
            <w:vAlign w:val="bottom"/>
          </w:tcPr>
          <w:p w14:paraId="39D99037" w14:textId="77777777" w:rsidR="00996AD7" w:rsidRDefault="00996AD7">
            <w:pPr>
              <w:rPr>
                <w:rFonts w:ascii="宋体"/>
              </w:rPr>
            </w:pPr>
          </w:p>
        </w:tc>
        <w:tc>
          <w:tcPr>
            <w:tcW w:w="50" w:type="pct"/>
            <w:shd w:val="clear" w:color="auto" w:fill="auto"/>
            <w:vAlign w:val="bottom"/>
          </w:tcPr>
          <w:p w14:paraId="39D99038" w14:textId="77777777" w:rsidR="00996AD7" w:rsidRDefault="00996AD7">
            <w:pPr>
              <w:rPr>
                <w:rFonts w:ascii="宋体"/>
              </w:rPr>
            </w:pPr>
          </w:p>
        </w:tc>
        <w:tc>
          <w:tcPr>
            <w:tcW w:w="1973" w:type="pct"/>
            <w:shd w:val="clear" w:color="auto" w:fill="auto"/>
            <w:vAlign w:val="bottom"/>
          </w:tcPr>
          <w:p w14:paraId="39D99039" w14:textId="77777777" w:rsidR="00996AD7" w:rsidRDefault="00996AD7">
            <w:pPr>
              <w:rPr>
                <w:rFonts w:ascii="宋体"/>
              </w:rPr>
            </w:pPr>
          </w:p>
        </w:tc>
        <w:tc>
          <w:tcPr>
            <w:tcW w:w="5" w:type="pct"/>
            <w:shd w:val="clear" w:color="auto" w:fill="auto"/>
            <w:vAlign w:val="bottom"/>
          </w:tcPr>
          <w:p w14:paraId="39D9903A" w14:textId="77777777" w:rsidR="00996AD7" w:rsidRDefault="00996AD7">
            <w:pPr>
              <w:rPr>
                <w:rFonts w:ascii="宋体"/>
              </w:rPr>
            </w:pPr>
          </w:p>
        </w:tc>
        <w:tc>
          <w:tcPr>
            <w:tcW w:w="5" w:type="pct"/>
            <w:shd w:val="clear" w:color="auto" w:fill="auto"/>
            <w:vAlign w:val="bottom"/>
          </w:tcPr>
          <w:p w14:paraId="39D9903B" w14:textId="77777777" w:rsidR="00996AD7" w:rsidRDefault="00996AD7">
            <w:pPr>
              <w:rPr>
                <w:rFonts w:ascii="宋体"/>
              </w:rPr>
            </w:pPr>
          </w:p>
        </w:tc>
        <w:tc>
          <w:tcPr>
            <w:tcW w:w="24" w:type="pct"/>
            <w:shd w:val="clear" w:color="auto" w:fill="auto"/>
            <w:vAlign w:val="bottom"/>
          </w:tcPr>
          <w:p w14:paraId="39D9903C" w14:textId="77777777" w:rsidR="00996AD7" w:rsidRDefault="00996AD7">
            <w:pPr>
              <w:rPr>
                <w:rFonts w:ascii="宋体"/>
              </w:rPr>
            </w:pPr>
          </w:p>
        </w:tc>
        <w:tc>
          <w:tcPr>
            <w:tcW w:w="5" w:type="pct"/>
            <w:shd w:val="clear" w:color="auto" w:fill="auto"/>
            <w:vAlign w:val="bottom"/>
          </w:tcPr>
          <w:p w14:paraId="39D9903D" w14:textId="77777777" w:rsidR="00996AD7" w:rsidRDefault="00996AD7">
            <w:pPr>
              <w:rPr>
                <w:rFonts w:ascii="宋体"/>
              </w:rPr>
            </w:pPr>
          </w:p>
        </w:tc>
        <w:tc>
          <w:tcPr>
            <w:tcW w:w="50" w:type="pct"/>
            <w:shd w:val="clear" w:color="auto" w:fill="auto"/>
            <w:vAlign w:val="bottom"/>
          </w:tcPr>
          <w:p w14:paraId="39D9903E" w14:textId="77777777" w:rsidR="00996AD7" w:rsidRDefault="00996AD7">
            <w:pPr>
              <w:rPr>
                <w:rFonts w:ascii="宋体"/>
              </w:rPr>
            </w:pPr>
          </w:p>
        </w:tc>
        <w:tc>
          <w:tcPr>
            <w:tcW w:w="1946" w:type="pct"/>
            <w:shd w:val="clear" w:color="auto" w:fill="auto"/>
            <w:vAlign w:val="bottom"/>
          </w:tcPr>
          <w:p w14:paraId="39D9903F" w14:textId="77777777" w:rsidR="00996AD7" w:rsidRDefault="00996AD7">
            <w:pPr>
              <w:rPr>
                <w:rFonts w:ascii="宋体"/>
              </w:rPr>
            </w:pPr>
          </w:p>
        </w:tc>
        <w:tc>
          <w:tcPr>
            <w:tcW w:w="5" w:type="pct"/>
            <w:shd w:val="clear" w:color="auto" w:fill="auto"/>
            <w:vAlign w:val="bottom"/>
          </w:tcPr>
          <w:p w14:paraId="39D99040" w14:textId="77777777" w:rsidR="00996AD7" w:rsidRDefault="00996AD7">
            <w:pPr>
              <w:rPr>
                <w:rFonts w:ascii="宋体"/>
              </w:rPr>
            </w:pPr>
          </w:p>
        </w:tc>
      </w:tr>
      <w:tr w:rsidR="00996AD7" w14:paraId="39D99045" w14:textId="77777777">
        <w:tc>
          <w:tcPr>
            <w:tcW w:w="0" w:type="auto"/>
            <w:gridSpan w:val="3"/>
            <w:shd w:val="clear" w:color="auto" w:fill="auto"/>
            <w:tcMar>
              <w:top w:w="40" w:type="dxa"/>
              <w:left w:w="20" w:type="dxa"/>
              <w:bottom w:w="40" w:type="dxa"/>
              <w:right w:w="20" w:type="dxa"/>
            </w:tcMar>
          </w:tcPr>
          <w:p w14:paraId="39D99042" w14:textId="77777777" w:rsidR="00996AD7" w:rsidRDefault="00D96458">
            <w:pPr>
              <w:jc w:val="center"/>
              <w:textAlignment w:val="top"/>
            </w:pPr>
            <w:r>
              <w:rPr>
                <w:rFonts w:ascii="Arial" w:eastAsia="宋体" w:hAnsi="Arial" w:cs="Arial"/>
                <w:color w:val="0068B5"/>
                <w:sz w:val="18"/>
                <w:szCs w:val="18"/>
              </w:rPr>
              <w:t>Term</w:t>
            </w:r>
          </w:p>
        </w:tc>
        <w:tc>
          <w:tcPr>
            <w:tcW w:w="0" w:type="auto"/>
            <w:gridSpan w:val="3"/>
            <w:shd w:val="clear" w:color="auto" w:fill="auto"/>
            <w:tcMar>
              <w:top w:w="0" w:type="dxa"/>
              <w:left w:w="20" w:type="dxa"/>
              <w:bottom w:w="0" w:type="dxa"/>
              <w:right w:w="20" w:type="dxa"/>
            </w:tcMar>
            <w:vAlign w:val="bottom"/>
          </w:tcPr>
          <w:p w14:paraId="39D99043"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044" w14:textId="77777777" w:rsidR="00996AD7" w:rsidRDefault="00D96458">
            <w:pPr>
              <w:jc w:val="center"/>
              <w:textAlignment w:val="top"/>
            </w:pPr>
            <w:r>
              <w:rPr>
                <w:rFonts w:ascii="Arial" w:eastAsia="宋体" w:hAnsi="Arial" w:cs="Arial"/>
                <w:color w:val="0068B5"/>
                <w:sz w:val="18"/>
                <w:szCs w:val="18"/>
              </w:rPr>
              <w:t>Definition</w:t>
            </w:r>
          </w:p>
        </w:tc>
      </w:tr>
      <w:tr w:rsidR="00996AD7" w14:paraId="39D9904B" w14:textId="77777777">
        <w:trPr>
          <w:hidden/>
        </w:trPr>
        <w:tc>
          <w:tcPr>
            <w:tcW w:w="0" w:type="auto"/>
            <w:gridSpan w:val="3"/>
            <w:shd w:val="clear" w:color="auto" w:fill="auto"/>
            <w:vAlign w:val="bottom"/>
          </w:tcPr>
          <w:p w14:paraId="39D99046" w14:textId="77777777" w:rsidR="00996AD7" w:rsidRDefault="00996AD7">
            <w:pPr>
              <w:rPr>
                <w:rFonts w:ascii="宋体"/>
                <w:vanish/>
              </w:rPr>
            </w:pPr>
          </w:p>
        </w:tc>
        <w:tc>
          <w:tcPr>
            <w:tcW w:w="0" w:type="auto"/>
            <w:gridSpan w:val="3"/>
            <w:shd w:val="clear" w:color="auto" w:fill="auto"/>
            <w:vAlign w:val="bottom"/>
          </w:tcPr>
          <w:p w14:paraId="39D99047" w14:textId="77777777" w:rsidR="00996AD7" w:rsidRDefault="00996AD7">
            <w:pPr>
              <w:rPr>
                <w:rFonts w:ascii="宋体"/>
                <w:vanish/>
              </w:rPr>
            </w:pPr>
          </w:p>
        </w:tc>
        <w:tc>
          <w:tcPr>
            <w:tcW w:w="0" w:type="auto"/>
            <w:gridSpan w:val="3"/>
            <w:shd w:val="clear" w:color="auto" w:fill="auto"/>
            <w:vAlign w:val="bottom"/>
          </w:tcPr>
          <w:p w14:paraId="39D99048" w14:textId="77777777" w:rsidR="00996AD7" w:rsidRDefault="00996AD7">
            <w:pPr>
              <w:rPr>
                <w:rFonts w:ascii="宋体"/>
                <w:vanish/>
              </w:rPr>
            </w:pPr>
          </w:p>
        </w:tc>
        <w:tc>
          <w:tcPr>
            <w:tcW w:w="0" w:type="auto"/>
            <w:gridSpan w:val="3"/>
            <w:shd w:val="clear" w:color="auto" w:fill="auto"/>
            <w:vAlign w:val="bottom"/>
          </w:tcPr>
          <w:p w14:paraId="39D99049" w14:textId="77777777" w:rsidR="00996AD7" w:rsidRDefault="00996AD7">
            <w:pPr>
              <w:rPr>
                <w:rFonts w:ascii="宋体"/>
                <w:vanish/>
              </w:rPr>
            </w:pPr>
          </w:p>
        </w:tc>
        <w:tc>
          <w:tcPr>
            <w:tcW w:w="0" w:type="auto"/>
            <w:gridSpan w:val="3"/>
            <w:shd w:val="clear" w:color="auto" w:fill="auto"/>
            <w:vAlign w:val="bottom"/>
          </w:tcPr>
          <w:p w14:paraId="39D9904A" w14:textId="77777777" w:rsidR="00996AD7" w:rsidRDefault="00996AD7">
            <w:pPr>
              <w:rPr>
                <w:rFonts w:ascii="宋体"/>
                <w:vanish/>
              </w:rPr>
            </w:pPr>
          </w:p>
        </w:tc>
      </w:tr>
      <w:tr w:rsidR="00996AD7" w14:paraId="39D99051" w14:textId="77777777">
        <w:trPr>
          <w:hidden/>
        </w:trPr>
        <w:tc>
          <w:tcPr>
            <w:tcW w:w="0" w:type="auto"/>
            <w:gridSpan w:val="3"/>
            <w:shd w:val="clear" w:color="auto" w:fill="auto"/>
            <w:vAlign w:val="bottom"/>
          </w:tcPr>
          <w:p w14:paraId="39D9904C" w14:textId="77777777" w:rsidR="00996AD7" w:rsidRDefault="00996AD7">
            <w:pPr>
              <w:rPr>
                <w:rFonts w:ascii="宋体"/>
                <w:vanish/>
              </w:rPr>
            </w:pPr>
          </w:p>
        </w:tc>
        <w:tc>
          <w:tcPr>
            <w:tcW w:w="0" w:type="auto"/>
            <w:gridSpan w:val="3"/>
            <w:shd w:val="clear" w:color="auto" w:fill="auto"/>
            <w:vAlign w:val="bottom"/>
          </w:tcPr>
          <w:p w14:paraId="39D9904D" w14:textId="77777777" w:rsidR="00996AD7" w:rsidRDefault="00996AD7">
            <w:pPr>
              <w:rPr>
                <w:rFonts w:ascii="宋体"/>
                <w:vanish/>
              </w:rPr>
            </w:pPr>
          </w:p>
        </w:tc>
        <w:tc>
          <w:tcPr>
            <w:tcW w:w="0" w:type="auto"/>
            <w:gridSpan w:val="3"/>
            <w:shd w:val="clear" w:color="auto" w:fill="auto"/>
            <w:vAlign w:val="bottom"/>
          </w:tcPr>
          <w:p w14:paraId="39D9904E" w14:textId="77777777" w:rsidR="00996AD7" w:rsidRDefault="00996AD7">
            <w:pPr>
              <w:rPr>
                <w:rFonts w:ascii="宋体"/>
                <w:vanish/>
              </w:rPr>
            </w:pPr>
          </w:p>
        </w:tc>
        <w:tc>
          <w:tcPr>
            <w:tcW w:w="0" w:type="auto"/>
            <w:gridSpan w:val="3"/>
            <w:shd w:val="clear" w:color="auto" w:fill="auto"/>
            <w:vAlign w:val="bottom"/>
          </w:tcPr>
          <w:p w14:paraId="39D9904F" w14:textId="77777777" w:rsidR="00996AD7" w:rsidRDefault="00996AD7">
            <w:pPr>
              <w:rPr>
                <w:rFonts w:ascii="宋体"/>
                <w:vanish/>
              </w:rPr>
            </w:pPr>
          </w:p>
        </w:tc>
        <w:tc>
          <w:tcPr>
            <w:tcW w:w="0" w:type="auto"/>
            <w:gridSpan w:val="3"/>
            <w:shd w:val="clear" w:color="auto" w:fill="auto"/>
            <w:vAlign w:val="bottom"/>
          </w:tcPr>
          <w:p w14:paraId="39D99050" w14:textId="77777777" w:rsidR="00996AD7" w:rsidRDefault="00996AD7">
            <w:pPr>
              <w:rPr>
                <w:rFonts w:ascii="宋体"/>
                <w:vanish/>
              </w:rPr>
            </w:pPr>
          </w:p>
        </w:tc>
      </w:tr>
      <w:tr w:rsidR="00996AD7" w14:paraId="39D99057" w14:textId="77777777">
        <w:trPr>
          <w:hidden/>
        </w:trPr>
        <w:tc>
          <w:tcPr>
            <w:tcW w:w="0" w:type="auto"/>
            <w:gridSpan w:val="3"/>
            <w:shd w:val="clear" w:color="auto" w:fill="auto"/>
            <w:vAlign w:val="bottom"/>
          </w:tcPr>
          <w:p w14:paraId="39D99052" w14:textId="77777777" w:rsidR="00996AD7" w:rsidRDefault="00996AD7">
            <w:pPr>
              <w:rPr>
                <w:rFonts w:ascii="宋体"/>
                <w:vanish/>
              </w:rPr>
            </w:pPr>
          </w:p>
        </w:tc>
        <w:tc>
          <w:tcPr>
            <w:tcW w:w="0" w:type="auto"/>
            <w:gridSpan w:val="3"/>
            <w:shd w:val="clear" w:color="auto" w:fill="auto"/>
            <w:vAlign w:val="bottom"/>
          </w:tcPr>
          <w:p w14:paraId="39D99053" w14:textId="77777777" w:rsidR="00996AD7" w:rsidRDefault="00996AD7">
            <w:pPr>
              <w:rPr>
                <w:rFonts w:ascii="宋体"/>
                <w:vanish/>
              </w:rPr>
            </w:pPr>
          </w:p>
        </w:tc>
        <w:tc>
          <w:tcPr>
            <w:tcW w:w="0" w:type="auto"/>
            <w:gridSpan w:val="3"/>
            <w:shd w:val="clear" w:color="auto" w:fill="auto"/>
            <w:vAlign w:val="bottom"/>
          </w:tcPr>
          <w:p w14:paraId="39D99054" w14:textId="77777777" w:rsidR="00996AD7" w:rsidRDefault="00996AD7">
            <w:pPr>
              <w:rPr>
                <w:rFonts w:ascii="宋体"/>
                <w:vanish/>
              </w:rPr>
            </w:pPr>
          </w:p>
        </w:tc>
        <w:tc>
          <w:tcPr>
            <w:tcW w:w="0" w:type="auto"/>
            <w:gridSpan w:val="3"/>
            <w:shd w:val="clear" w:color="auto" w:fill="auto"/>
            <w:vAlign w:val="bottom"/>
          </w:tcPr>
          <w:p w14:paraId="39D99055" w14:textId="77777777" w:rsidR="00996AD7" w:rsidRDefault="00996AD7">
            <w:pPr>
              <w:rPr>
                <w:rFonts w:ascii="宋体"/>
                <w:vanish/>
              </w:rPr>
            </w:pPr>
          </w:p>
        </w:tc>
        <w:tc>
          <w:tcPr>
            <w:tcW w:w="0" w:type="auto"/>
            <w:gridSpan w:val="3"/>
            <w:shd w:val="clear" w:color="auto" w:fill="auto"/>
            <w:vAlign w:val="bottom"/>
          </w:tcPr>
          <w:p w14:paraId="39D99056" w14:textId="77777777" w:rsidR="00996AD7" w:rsidRDefault="00996AD7">
            <w:pPr>
              <w:rPr>
                <w:rFonts w:ascii="宋体"/>
                <w:vanish/>
              </w:rPr>
            </w:pPr>
          </w:p>
        </w:tc>
      </w:tr>
      <w:tr w:rsidR="00996AD7" w14:paraId="39D9905B"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9058" w14:textId="77777777" w:rsidR="00996AD7" w:rsidRDefault="00D96458">
            <w:pPr>
              <w:textAlignment w:val="top"/>
            </w:pPr>
            <w:r>
              <w:rPr>
                <w:rFonts w:ascii="Arial" w:eastAsia="宋体" w:hAnsi="Arial" w:cs="Arial"/>
                <w:color w:val="0068B5"/>
                <w:sz w:val="18"/>
                <w:szCs w:val="18"/>
              </w:rPr>
              <w:t xml:space="preserve">2009 </w:t>
            </w:r>
            <w:r>
              <w:rPr>
                <w:rFonts w:ascii="Arial" w:eastAsia="宋体" w:hAnsi="Arial" w:cs="Arial"/>
                <w:color w:val="0068B5"/>
                <w:sz w:val="18"/>
                <w:szCs w:val="18"/>
              </w:rPr>
              <w:t>Debentures</w:t>
            </w:r>
          </w:p>
        </w:tc>
        <w:tc>
          <w:tcPr>
            <w:tcW w:w="0" w:type="auto"/>
            <w:gridSpan w:val="3"/>
            <w:shd w:val="clear" w:color="auto" w:fill="auto"/>
            <w:tcMar>
              <w:top w:w="0" w:type="dxa"/>
              <w:left w:w="20" w:type="dxa"/>
              <w:bottom w:w="0" w:type="dxa"/>
              <w:right w:w="20" w:type="dxa"/>
            </w:tcMar>
            <w:vAlign w:val="bottom"/>
          </w:tcPr>
          <w:p w14:paraId="39D99059" w14:textId="77777777" w:rsidR="00996AD7" w:rsidRDefault="00996AD7">
            <w:pPr>
              <w:rPr>
                <w:rFonts w:ascii="宋体"/>
              </w:rPr>
            </w:pPr>
          </w:p>
        </w:tc>
        <w:tc>
          <w:tcPr>
            <w:tcW w:w="0" w:type="auto"/>
            <w:gridSpan w:val="9"/>
            <w:tcBorders>
              <w:top w:val="single" w:sz="8" w:space="0" w:color="0068B5"/>
            </w:tcBorders>
            <w:shd w:val="clear" w:color="auto" w:fill="auto"/>
            <w:tcMar>
              <w:top w:w="40" w:type="dxa"/>
              <w:left w:w="20" w:type="dxa"/>
              <w:bottom w:w="40" w:type="dxa"/>
              <w:right w:w="20" w:type="dxa"/>
            </w:tcMar>
          </w:tcPr>
          <w:p w14:paraId="39D9905A" w14:textId="77777777" w:rsidR="00996AD7" w:rsidRDefault="00D96458">
            <w:pPr>
              <w:textAlignment w:val="top"/>
            </w:pPr>
            <w:r>
              <w:rPr>
                <w:rFonts w:ascii="Arial" w:eastAsia="宋体" w:hAnsi="Arial" w:cs="Arial"/>
                <w:color w:val="262626"/>
                <w:sz w:val="18"/>
                <w:szCs w:val="18"/>
              </w:rPr>
              <w:t>3.25% junior subordinated convertible debentures due 2039</w:t>
            </w:r>
          </w:p>
        </w:tc>
      </w:tr>
      <w:tr w:rsidR="00996AD7" w14:paraId="39D99061" w14:textId="77777777">
        <w:trPr>
          <w:hidden/>
        </w:trPr>
        <w:tc>
          <w:tcPr>
            <w:tcW w:w="0" w:type="auto"/>
            <w:gridSpan w:val="3"/>
            <w:shd w:val="clear" w:color="auto" w:fill="auto"/>
            <w:vAlign w:val="bottom"/>
          </w:tcPr>
          <w:p w14:paraId="39D9905C" w14:textId="77777777" w:rsidR="00996AD7" w:rsidRDefault="00996AD7">
            <w:pPr>
              <w:rPr>
                <w:rFonts w:ascii="宋体"/>
                <w:vanish/>
              </w:rPr>
            </w:pPr>
          </w:p>
        </w:tc>
        <w:tc>
          <w:tcPr>
            <w:tcW w:w="0" w:type="auto"/>
            <w:gridSpan w:val="3"/>
            <w:shd w:val="clear" w:color="auto" w:fill="auto"/>
            <w:vAlign w:val="bottom"/>
          </w:tcPr>
          <w:p w14:paraId="39D9905D" w14:textId="77777777" w:rsidR="00996AD7" w:rsidRDefault="00996AD7">
            <w:pPr>
              <w:rPr>
                <w:rFonts w:ascii="宋体"/>
                <w:vanish/>
              </w:rPr>
            </w:pPr>
          </w:p>
        </w:tc>
        <w:tc>
          <w:tcPr>
            <w:tcW w:w="0" w:type="auto"/>
            <w:gridSpan w:val="3"/>
            <w:shd w:val="clear" w:color="auto" w:fill="auto"/>
            <w:vAlign w:val="bottom"/>
          </w:tcPr>
          <w:p w14:paraId="39D9905E" w14:textId="77777777" w:rsidR="00996AD7" w:rsidRDefault="00996AD7">
            <w:pPr>
              <w:rPr>
                <w:rFonts w:ascii="宋体"/>
                <w:vanish/>
              </w:rPr>
            </w:pPr>
          </w:p>
        </w:tc>
        <w:tc>
          <w:tcPr>
            <w:tcW w:w="0" w:type="auto"/>
            <w:gridSpan w:val="3"/>
            <w:shd w:val="clear" w:color="auto" w:fill="auto"/>
            <w:vAlign w:val="bottom"/>
          </w:tcPr>
          <w:p w14:paraId="39D9905F" w14:textId="77777777" w:rsidR="00996AD7" w:rsidRDefault="00996AD7">
            <w:pPr>
              <w:rPr>
                <w:rFonts w:ascii="宋体"/>
                <w:vanish/>
              </w:rPr>
            </w:pPr>
          </w:p>
        </w:tc>
        <w:tc>
          <w:tcPr>
            <w:tcW w:w="0" w:type="auto"/>
            <w:gridSpan w:val="3"/>
            <w:shd w:val="clear" w:color="auto" w:fill="auto"/>
            <w:vAlign w:val="bottom"/>
          </w:tcPr>
          <w:p w14:paraId="39D99060" w14:textId="77777777" w:rsidR="00996AD7" w:rsidRDefault="00996AD7">
            <w:pPr>
              <w:rPr>
                <w:rFonts w:ascii="宋体"/>
                <w:vanish/>
              </w:rPr>
            </w:pPr>
          </w:p>
        </w:tc>
      </w:tr>
      <w:tr w:rsidR="00996AD7" w14:paraId="39D99067" w14:textId="77777777">
        <w:trPr>
          <w:hidden/>
        </w:trPr>
        <w:tc>
          <w:tcPr>
            <w:tcW w:w="0" w:type="auto"/>
            <w:gridSpan w:val="3"/>
            <w:shd w:val="clear" w:color="auto" w:fill="auto"/>
            <w:vAlign w:val="bottom"/>
          </w:tcPr>
          <w:p w14:paraId="39D99062" w14:textId="77777777" w:rsidR="00996AD7" w:rsidRDefault="00996AD7">
            <w:pPr>
              <w:rPr>
                <w:rFonts w:ascii="宋体"/>
                <w:vanish/>
              </w:rPr>
            </w:pPr>
          </w:p>
        </w:tc>
        <w:tc>
          <w:tcPr>
            <w:tcW w:w="0" w:type="auto"/>
            <w:gridSpan w:val="3"/>
            <w:shd w:val="clear" w:color="auto" w:fill="auto"/>
            <w:vAlign w:val="bottom"/>
          </w:tcPr>
          <w:p w14:paraId="39D99063" w14:textId="77777777" w:rsidR="00996AD7" w:rsidRDefault="00996AD7">
            <w:pPr>
              <w:rPr>
                <w:rFonts w:ascii="宋体"/>
                <w:vanish/>
              </w:rPr>
            </w:pPr>
          </w:p>
        </w:tc>
        <w:tc>
          <w:tcPr>
            <w:tcW w:w="0" w:type="auto"/>
            <w:gridSpan w:val="3"/>
            <w:shd w:val="clear" w:color="auto" w:fill="auto"/>
            <w:vAlign w:val="bottom"/>
          </w:tcPr>
          <w:p w14:paraId="39D99064" w14:textId="77777777" w:rsidR="00996AD7" w:rsidRDefault="00996AD7">
            <w:pPr>
              <w:rPr>
                <w:rFonts w:ascii="宋体"/>
                <w:vanish/>
              </w:rPr>
            </w:pPr>
          </w:p>
        </w:tc>
        <w:tc>
          <w:tcPr>
            <w:tcW w:w="0" w:type="auto"/>
            <w:gridSpan w:val="3"/>
            <w:shd w:val="clear" w:color="auto" w:fill="auto"/>
            <w:vAlign w:val="bottom"/>
          </w:tcPr>
          <w:p w14:paraId="39D99065" w14:textId="77777777" w:rsidR="00996AD7" w:rsidRDefault="00996AD7">
            <w:pPr>
              <w:rPr>
                <w:rFonts w:ascii="宋体"/>
                <w:vanish/>
              </w:rPr>
            </w:pPr>
          </w:p>
        </w:tc>
        <w:tc>
          <w:tcPr>
            <w:tcW w:w="0" w:type="auto"/>
            <w:gridSpan w:val="3"/>
            <w:shd w:val="clear" w:color="auto" w:fill="auto"/>
            <w:vAlign w:val="bottom"/>
          </w:tcPr>
          <w:p w14:paraId="39D99066" w14:textId="77777777" w:rsidR="00996AD7" w:rsidRDefault="00996AD7">
            <w:pPr>
              <w:rPr>
                <w:rFonts w:ascii="宋体"/>
                <w:vanish/>
              </w:rPr>
            </w:pPr>
          </w:p>
        </w:tc>
      </w:tr>
      <w:tr w:rsidR="00996AD7" w14:paraId="39D9906D" w14:textId="77777777">
        <w:trPr>
          <w:hidden/>
        </w:trPr>
        <w:tc>
          <w:tcPr>
            <w:tcW w:w="0" w:type="auto"/>
            <w:gridSpan w:val="3"/>
            <w:shd w:val="clear" w:color="auto" w:fill="auto"/>
            <w:vAlign w:val="bottom"/>
          </w:tcPr>
          <w:p w14:paraId="39D99068" w14:textId="77777777" w:rsidR="00996AD7" w:rsidRDefault="00996AD7">
            <w:pPr>
              <w:rPr>
                <w:rFonts w:ascii="宋体"/>
                <w:vanish/>
              </w:rPr>
            </w:pPr>
          </w:p>
        </w:tc>
        <w:tc>
          <w:tcPr>
            <w:tcW w:w="0" w:type="auto"/>
            <w:gridSpan w:val="3"/>
            <w:shd w:val="clear" w:color="auto" w:fill="auto"/>
            <w:vAlign w:val="bottom"/>
          </w:tcPr>
          <w:p w14:paraId="39D99069" w14:textId="77777777" w:rsidR="00996AD7" w:rsidRDefault="00996AD7">
            <w:pPr>
              <w:rPr>
                <w:rFonts w:ascii="宋体"/>
                <w:vanish/>
              </w:rPr>
            </w:pPr>
          </w:p>
        </w:tc>
        <w:tc>
          <w:tcPr>
            <w:tcW w:w="0" w:type="auto"/>
            <w:gridSpan w:val="3"/>
            <w:shd w:val="clear" w:color="auto" w:fill="auto"/>
            <w:vAlign w:val="bottom"/>
          </w:tcPr>
          <w:p w14:paraId="39D9906A" w14:textId="77777777" w:rsidR="00996AD7" w:rsidRDefault="00996AD7">
            <w:pPr>
              <w:rPr>
                <w:rFonts w:ascii="宋体"/>
                <w:vanish/>
              </w:rPr>
            </w:pPr>
          </w:p>
        </w:tc>
        <w:tc>
          <w:tcPr>
            <w:tcW w:w="0" w:type="auto"/>
            <w:gridSpan w:val="3"/>
            <w:shd w:val="clear" w:color="auto" w:fill="auto"/>
            <w:vAlign w:val="bottom"/>
          </w:tcPr>
          <w:p w14:paraId="39D9906B" w14:textId="77777777" w:rsidR="00996AD7" w:rsidRDefault="00996AD7">
            <w:pPr>
              <w:rPr>
                <w:rFonts w:ascii="宋体"/>
                <w:vanish/>
              </w:rPr>
            </w:pPr>
          </w:p>
        </w:tc>
        <w:tc>
          <w:tcPr>
            <w:tcW w:w="0" w:type="auto"/>
            <w:gridSpan w:val="3"/>
            <w:shd w:val="clear" w:color="auto" w:fill="auto"/>
            <w:vAlign w:val="bottom"/>
          </w:tcPr>
          <w:p w14:paraId="39D9906C" w14:textId="77777777" w:rsidR="00996AD7" w:rsidRDefault="00996AD7">
            <w:pPr>
              <w:rPr>
                <w:rFonts w:ascii="宋体"/>
                <w:vanish/>
              </w:rPr>
            </w:pPr>
          </w:p>
        </w:tc>
      </w:tr>
      <w:tr w:rsidR="00996AD7" w14:paraId="39D99073" w14:textId="77777777">
        <w:trPr>
          <w:hidden/>
        </w:trPr>
        <w:tc>
          <w:tcPr>
            <w:tcW w:w="0" w:type="auto"/>
            <w:gridSpan w:val="3"/>
            <w:shd w:val="clear" w:color="auto" w:fill="auto"/>
            <w:vAlign w:val="bottom"/>
          </w:tcPr>
          <w:p w14:paraId="39D9906E" w14:textId="77777777" w:rsidR="00996AD7" w:rsidRDefault="00996AD7">
            <w:pPr>
              <w:rPr>
                <w:rFonts w:ascii="宋体"/>
                <w:vanish/>
              </w:rPr>
            </w:pPr>
          </w:p>
        </w:tc>
        <w:tc>
          <w:tcPr>
            <w:tcW w:w="0" w:type="auto"/>
            <w:gridSpan w:val="3"/>
            <w:shd w:val="clear" w:color="auto" w:fill="auto"/>
            <w:vAlign w:val="bottom"/>
          </w:tcPr>
          <w:p w14:paraId="39D9906F" w14:textId="77777777" w:rsidR="00996AD7" w:rsidRDefault="00996AD7">
            <w:pPr>
              <w:rPr>
                <w:rFonts w:ascii="宋体"/>
                <w:vanish/>
              </w:rPr>
            </w:pPr>
          </w:p>
        </w:tc>
        <w:tc>
          <w:tcPr>
            <w:tcW w:w="0" w:type="auto"/>
            <w:gridSpan w:val="3"/>
            <w:shd w:val="clear" w:color="auto" w:fill="auto"/>
            <w:vAlign w:val="bottom"/>
          </w:tcPr>
          <w:p w14:paraId="39D99070" w14:textId="77777777" w:rsidR="00996AD7" w:rsidRDefault="00996AD7">
            <w:pPr>
              <w:rPr>
                <w:rFonts w:ascii="宋体"/>
                <w:vanish/>
              </w:rPr>
            </w:pPr>
          </w:p>
        </w:tc>
        <w:tc>
          <w:tcPr>
            <w:tcW w:w="0" w:type="auto"/>
            <w:gridSpan w:val="3"/>
            <w:shd w:val="clear" w:color="auto" w:fill="auto"/>
            <w:vAlign w:val="bottom"/>
          </w:tcPr>
          <w:p w14:paraId="39D99071" w14:textId="77777777" w:rsidR="00996AD7" w:rsidRDefault="00996AD7">
            <w:pPr>
              <w:rPr>
                <w:rFonts w:ascii="宋体"/>
                <w:vanish/>
              </w:rPr>
            </w:pPr>
          </w:p>
        </w:tc>
        <w:tc>
          <w:tcPr>
            <w:tcW w:w="0" w:type="auto"/>
            <w:gridSpan w:val="3"/>
            <w:shd w:val="clear" w:color="auto" w:fill="auto"/>
            <w:vAlign w:val="bottom"/>
          </w:tcPr>
          <w:p w14:paraId="39D99072" w14:textId="77777777" w:rsidR="00996AD7" w:rsidRDefault="00996AD7">
            <w:pPr>
              <w:rPr>
                <w:rFonts w:ascii="宋体"/>
                <w:vanish/>
              </w:rPr>
            </w:pPr>
          </w:p>
        </w:tc>
      </w:tr>
      <w:tr w:rsidR="00996AD7" w14:paraId="39D99079" w14:textId="77777777">
        <w:trPr>
          <w:hidden/>
        </w:trPr>
        <w:tc>
          <w:tcPr>
            <w:tcW w:w="0" w:type="auto"/>
            <w:gridSpan w:val="3"/>
            <w:shd w:val="clear" w:color="auto" w:fill="auto"/>
            <w:vAlign w:val="bottom"/>
          </w:tcPr>
          <w:p w14:paraId="39D99074" w14:textId="77777777" w:rsidR="00996AD7" w:rsidRDefault="00996AD7">
            <w:pPr>
              <w:rPr>
                <w:rFonts w:ascii="宋体"/>
                <w:vanish/>
              </w:rPr>
            </w:pPr>
          </w:p>
        </w:tc>
        <w:tc>
          <w:tcPr>
            <w:tcW w:w="0" w:type="auto"/>
            <w:gridSpan w:val="3"/>
            <w:shd w:val="clear" w:color="auto" w:fill="auto"/>
            <w:vAlign w:val="bottom"/>
          </w:tcPr>
          <w:p w14:paraId="39D99075" w14:textId="77777777" w:rsidR="00996AD7" w:rsidRDefault="00996AD7">
            <w:pPr>
              <w:rPr>
                <w:rFonts w:ascii="宋体"/>
                <w:vanish/>
              </w:rPr>
            </w:pPr>
          </w:p>
        </w:tc>
        <w:tc>
          <w:tcPr>
            <w:tcW w:w="0" w:type="auto"/>
            <w:gridSpan w:val="3"/>
            <w:shd w:val="clear" w:color="auto" w:fill="auto"/>
            <w:vAlign w:val="bottom"/>
          </w:tcPr>
          <w:p w14:paraId="39D99076" w14:textId="77777777" w:rsidR="00996AD7" w:rsidRDefault="00996AD7">
            <w:pPr>
              <w:rPr>
                <w:rFonts w:ascii="宋体"/>
                <w:vanish/>
              </w:rPr>
            </w:pPr>
          </w:p>
        </w:tc>
        <w:tc>
          <w:tcPr>
            <w:tcW w:w="0" w:type="auto"/>
            <w:gridSpan w:val="3"/>
            <w:shd w:val="clear" w:color="auto" w:fill="auto"/>
            <w:vAlign w:val="bottom"/>
          </w:tcPr>
          <w:p w14:paraId="39D99077" w14:textId="77777777" w:rsidR="00996AD7" w:rsidRDefault="00996AD7">
            <w:pPr>
              <w:rPr>
                <w:rFonts w:ascii="宋体"/>
                <w:vanish/>
              </w:rPr>
            </w:pPr>
          </w:p>
        </w:tc>
        <w:tc>
          <w:tcPr>
            <w:tcW w:w="0" w:type="auto"/>
            <w:gridSpan w:val="3"/>
            <w:shd w:val="clear" w:color="auto" w:fill="auto"/>
            <w:vAlign w:val="bottom"/>
          </w:tcPr>
          <w:p w14:paraId="39D99078" w14:textId="77777777" w:rsidR="00996AD7" w:rsidRDefault="00996AD7">
            <w:pPr>
              <w:rPr>
                <w:rFonts w:ascii="宋体"/>
                <w:vanish/>
              </w:rPr>
            </w:pPr>
          </w:p>
        </w:tc>
      </w:tr>
      <w:tr w:rsidR="00996AD7" w14:paraId="39D9907F" w14:textId="77777777">
        <w:trPr>
          <w:hidden/>
        </w:trPr>
        <w:tc>
          <w:tcPr>
            <w:tcW w:w="0" w:type="auto"/>
            <w:gridSpan w:val="3"/>
            <w:shd w:val="clear" w:color="auto" w:fill="auto"/>
            <w:vAlign w:val="bottom"/>
          </w:tcPr>
          <w:p w14:paraId="39D9907A" w14:textId="77777777" w:rsidR="00996AD7" w:rsidRDefault="00996AD7">
            <w:pPr>
              <w:rPr>
                <w:rFonts w:ascii="宋体"/>
                <w:vanish/>
              </w:rPr>
            </w:pPr>
          </w:p>
        </w:tc>
        <w:tc>
          <w:tcPr>
            <w:tcW w:w="0" w:type="auto"/>
            <w:gridSpan w:val="3"/>
            <w:shd w:val="clear" w:color="auto" w:fill="auto"/>
            <w:vAlign w:val="bottom"/>
          </w:tcPr>
          <w:p w14:paraId="39D9907B" w14:textId="77777777" w:rsidR="00996AD7" w:rsidRDefault="00996AD7">
            <w:pPr>
              <w:rPr>
                <w:rFonts w:ascii="宋体"/>
                <w:vanish/>
              </w:rPr>
            </w:pPr>
          </w:p>
        </w:tc>
        <w:tc>
          <w:tcPr>
            <w:tcW w:w="0" w:type="auto"/>
            <w:gridSpan w:val="3"/>
            <w:shd w:val="clear" w:color="auto" w:fill="auto"/>
            <w:vAlign w:val="bottom"/>
          </w:tcPr>
          <w:p w14:paraId="39D9907C" w14:textId="77777777" w:rsidR="00996AD7" w:rsidRDefault="00996AD7">
            <w:pPr>
              <w:rPr>
                <w:rFonts w:ascii="宋体"/>
                <w:vanish/>
              </w:rPr>
            </w:pPr>
          </w:p>
        </w:tc>
        <w:tc>
          <w:tcPr>
            <w:tcW w:w="0" w:type="auto"/>
            <w:gridSpan w:val="3"/>
            <w:shd w:val="clear" w:color="auto" w:fill="auto"/>
            <w:vAlign w:val="bottom"/>
          </w:tcPr>
          <w:p w14:paraId="39D9907D" w14:textId="77777777" w:rsidR="00996AD7" w:rsidRDefault="00996AD7">
            <w:pPr>
              <w:rPr>
                <w:rFonts w:ascii="宋体"/>
                <w:vanish/>
              </w:rPr>
            </w:pPr>
          </w:p>
        </w:tc>
        <w:tc>
          <w:tcPr>
            <w:tcW w:w="0" w:type="auto"/>
            <w:gridSpan w:val="3"/>
            <w:shd w:val="clear" w:color="auto" w:fill="auto"/>
            <w:vAlign w:val="bottom"/>
          </w:tcPr>
          <w:p w14:paraId="39D9907E" w14:textId="77777777" w:rsidR="00996AD7" w:rsidRDefault="00996AD7">
            <w:pPr>
              <w:rPr>
                <w:rFonts w:ascii="宋体"/>
                <w:vanish/>
              </w:rPr>
            </w:pPr>
          </w:p>
        </w:tc>
      </w:tr>
      <w:tr w:rsidR="00996AD7" w14:paraId="39D99083" w14:textId="77777777">
        <w:tc>
          <w:tcPr>
            <w:tcW w:w="0" w:type="auto"/>
            <w:gridSpan w:val="3"/>
            <w:shd w:val="clear" w:color="auto" w:fill="auto"/>
            <w:tcMar>
              <w:top w:w="40" w:type="dxa"/>
              <w:left w:w="20" w:type="dxa"/>
              <w:bottom w:w="40" w:type="dxa"/>
              <w:right w:w="20" w:type="dxa"/>
            </w:tcMar>
          </w:tcPr>
          <w:p w14:paraId="39D99080" w14:textId="77777777" w:rsidR="00996AD7" w:rsidRDefault="00D96458">
            <w:pPr>
              <w:textAlignment w:val="top"/>
            </w:pPr>
            <w:r>
              <w:rPr>
                <w:rFonts w:ascii="Arial" w:eastAsia="宋体" w:hAnsi="Arial" w:cs="Arial"/>
                <w:color w:val="0068B5"/>
                <w:sz w:val="18"/>
                <w:szCs w:val="18"/>
              </w:rPr>
              <w:t>5G</w:t>
            </w:r>
          </w:p>
        </w:tc>
        <w:tc>
          <w:tcPr>
            <w:tcW w:w="0" w:type="auto"/>
            <w:gridSpan w:val="3"/>
            <w:shd w:val="clear" w:color="auto" w:fill="auto"/>
            <w:tcMar>
              <w:top w:w="0" w:type="dxa"/>
              <w:left w:w="20" w:type="dxa"/>
              <w:bottom w:w="0" w:type="dxa"/>
              <w:right w:w="20" w:type="dxa"/>
            </w:tcMar>
            <w:vAlign w:val="bottom"/>
          </w:tcPr>
          <w:p w14:paraId="39D99081"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082" w14:textId="77777777" w:rsidR="00996AD7" w:rsidRDefault="00D96458">
            <w:pPr>
              <w:textAlignment w:val="top"/>
            </w:pPr>
            <w:r>
              <w:rPr>
                <w:rFonts w:ascii="Arial" w:eastAsia="宋体" w:hAnsi="Arial" w:cs="Arial"/>
                <w:color w:val="262626"/>
                <w:sz w:val="18"/>
                <w:szCs w:val="18"/>
              </w:rPr>
              <w:t xml:space="preserve">The fifth-generation mobile network, which is expected to bring dramatic improvements in network speeds and latency, and which we view as a </w:t>
            </w:r>
            <w:r>
              <w:rPr>
                <w:rFonts w:ascii="Arial" w:eastAsia="宋体" w:hAnsi="Arial" w:cs="Arial"/>
                <w:color w:val="262626"/>
                <w:sz w:val="18"/>
                <w:szCs w:val="18"/>
              </w:rPr>
              <w:t>transformative technology and opportunity for many industries</w:t>
            </w:r>
          </w:p>
        </w:tc>
      </w:tr>
      <w:tr w:rsidR="00996AD7" w14:paraId="39D99089" w14:textId="77777777">
        <w:trPr>
          <w:hidden/>
        </w:trPr>
        <w:tc>
          <w:tcPr>
            <w:tcW w:w="0" w:type="auto"/>
            <w:gridSpan w:val="3"/>
            <w:shd w:val="clear" w:color="auto" w:fill="auto"/>
            <w:vAlign w:val="bottom"/>
          </w:tcPr>
          <w:p w14:paraId="39D99084" w14:textId="77777777" w:rsidR="00996AD7" w:rsidRDefault="00996AD7">
            <w:pPr>
              <w:rPr>
                <w:rFonts w:ascii="宋体"/>
                <w:vanish/>
              </w:rPr>
            </w:pPr>
          </w:p>
        </w:tc>
        <w:tc>
          <w:tcPr>
            <w:tcW w:w="0" w:type="auto"/>
            <w:gridSpan w:val="3"/>
            <w:shd w:val="clear" w:color="auto" w:fill="auto"/>
            <w:vAlign w:val="bottom"/>
          </w:tcPr>
          <w:p w14:paraId="39D99085" w14:textId="77777777" w:rsidR="00996AD7" w:rsidRDefault="00996AD7">
            <w:pPr>
              <w:rPr>
                <w:rFonts w:ascii="宋体"/>
                <w:vanish/>
              </w:rPr>
            </w:pPr>
          </w:p>
        </w:tc>
        <w:tc>
          <w:tcPr>
            <w:tcW w:w="0" w:type="auto"/>
            <w:gridSpan w:val="3"/>
            <w:shd w:val="clear" w:color="auto" w:fill="auto"/>
            <w:vAlign w:val="bottom"/>
          </w:tcPr>
          <w:p w14:paraId="39D99086" w14:textId="77777777" w:rsidR="00996AD7" w:rsidRDefault="00996AD7">
            <w:pPr>
              <w:rPr>
                <w:rFonts w:ascii="宋体"/>
                <w:vanish/>
              </w:rPr>
            </w:pPr>
          </w:p>
        </w:tc>
        <w:tc>
          <w:tcPr>
            <w:tcW w:w="0" w:type="auto"/>
            <w:gridSpan w:val="3"/>
            <w:shd w:val="clear" w:color="auto" w:fill="auto"/>
            <w:vAlign w:val="bottom"/>
          </w:tcPr>
          <w:p w14:paraId="39D99087" w14:textId="77777777" w:rsidR="00996AD7" w:rsidRDefault="00996AD7">
            <w:pPr>
              <w:rPr>
                <w:rFonts w:ascii="宋体"/>
                <w:vanish/>
              </w:rPr>
            </w:pPr>
          </w:p>
        </w:tc>
        <w:tc>
          <w:tcPr>
            <w:tcW w:w="0" w:type="auto"/>
            <w:gridSpan w:val="3"/>
            <w:shd w:val="clear" w:color="auto" w:fill="auto"/>
            <w:vAlign w:val="bottom"/>
          </w:tcPr>
          <w:p w14:paraId="39D99088" w14:textId="77777777" w:rsidR="00996AD7" w:rsidRDefault="00996AD7">
            <w:pPr>
              <w:rPr>
                <w:rFonts w:ascii="宋体"/>
                <w:vanish/>
              </w:rPr>
            </w:pPr>
          </w:p>
        </w:tc>
      </w:tr>
      <w:tr w:rsidR="00996AD7" w14:paraId="39D9908D" w14:textId="77777777">
        <w:tc>
          <w:tcPr>
            <w:tcW w:w="0" w:type="auto"/>
            <w:gridSpan w:val="3"/>
            <w:shd w:val="clear" w:color="auto" w:fill="auto"/>
            <w:tcMar>
              <w:top w:w="40" w:type="dxa"/>
              <w:left w:w="20" w:type="dxa"/>
              <w:bottom w:w="40" w:type="dxa"/>
              <w:right w:w="20" w:type="dxa"/>
            </w:tcMar>
          </w:tcPr>
          <w:p w14:paraId="39D9908A" w14:textId="77777777" w:rsidR="00996AD7" w:rsidRDefault="00D96458">
            <w:pPr>
              <w:textAlignment w:val="top"/>
            </w:pPr>
            <w:r>
              <w:rPr>
                <w:rFonts w:ascii="Arial" w:eastAsia="宋体" w:hAnsi="Arial" w:cs="Arial"/>
                <w:color w:val="0068B5"/>
                <w:sz w:val="18"/>
                <w:szCs w:val="18"/>
              </w:rPr>
              <w:t>ADAS</w:t>
            </w:r>
          </w:p>
        </w:tc>
        <w:tc>
          <w:tcPr>
            <w:tcW w:w="0" w:type="auto"/>
            <w:gridSpan w:val="3"/>
            <w:shd w:val="clear" w:color="auto" w:fill="auto"/>
            <w:tcMar>
              <w:top w:w="0" w:type="dxa"/>
              <w:left w:w="20" w:type="dxa"/>
              <w:bottom w:w="0" w:type="dxa"/>
              <w:right w:w="20" w:type="dxa"/>
            </w:tcMar>
            <w:vAlign w:val="bottom"/>
          </w:tcPr>
          <w:p w14:paraId="39D9908B"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08C" w14:textId="77777777" w:rsidR="00996AD7" w:rsidRDefault="00D96458">
            <w:pPr>
              <w:textAlignment w:val="top"/>
            </w:pPr>
            <w:r>
              <w:rPr>
                <w:rFonts w:ascii="Arial" w:eastAsia="宋体" w:hAnsi="Arial" w:cs="Arial"/>
                <w:color w:val="262626"/>
                <w:sz w:val="18"/>
                <w:szCs w:val="18"/>
              </w:rPr>
              <w:t>Advanced driver-assistance systems</w:t>
            </w:r>
          </w:p>
        </w:tc>
      </w:tr>
      <w:tr w:rsidR="00996AD7" w14:paraId="39D99091" w14:textId="77777777">
        <w:tc>
          <w:tcPr>
            <w:tcW w:w="0" w:type="auto"/>
            <w:gridSpan w:val="3"/>
            <w:shd w:val="clear" w:color="auto" w:fill="auto"/>
            <w:tcMar>
              <w:top w:w="40" w:type="dxa"/>
              <w:left w:w="20" w:type="dxa"/>
              <w:bottom w:w="40" w:type="dxa"/>
              <w:right w:w="20" w:type="dxa"/>
            </w:tcMar>
          </w:tcPr>
          <w:p w14:paraId="39D9908E" w14:textId="77777777" w:rsidR="00996AD7" w:rsidRDefault="00D96458">
            <w:pPr>
              <w:textAlignment w:val="top"/>
            </w:pPr>
            <w:r>
              <w:rPr>
                <w:rFonts w:ascii="Arial" w:eastAsia="宋体" w:hAnsi="Arial" w:cs="Arial"/>
                <w:color w:val="0068B5"/>
                <w:sz w:val="18"/>
                <w:szCs w:val="18"/>
              </w:rPr>
              <w:t>Adjacent products</w:t>
            </w:r>
          </w:p>
        </w:tc>
        <w:tc>
          <w:tcPr>
            <w:tcW w:w="0" w:type="auto"/>
            <w:gridSpan w:val="3"/>
            <w:shd w:val="clear" w:color="auto" w:fill="auto"/>
            <w:tcMar>
              <w:top w:w="0" w:type="dxa"/>
              <w:left w:w="20" w:type="dxa"/>
              <w:bottom w:w="0" w:type="dxa"/>
              <w:right w:w="20" w:type="dxa"/>
            </w:tcMar>
            <w:vAlign w:val="bottom"/>
          </w:tcPr>
          <w:p w14:paraId="39D9908F"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090" w14:textId="77777777" w:rsidR="00996AD7" w:rsidRDefault="00D96458">
            <w:pPr>
              <w:textAlignment w:val="top"/>
            </w:pPr>
            <w:r>
              <w:rPr>
                <w:rFonts w:ascii="Arial" w:eastAsia="宋体" w:hAnsi="Arial" w:cs="Arial"/>
                <w:color w:val="262626"/>
                <w:sz w:val="18"/>
                <w:szCs w:val="18"/>
              </w:rPr>
              <w:t xml:space="preserve">All of our non-platform products for CCG, DCG, and IOTG, such as modem, Ethernet and silicon photonics, as well as </w:t>
            </w:r>
            <w:r>
              <w:rPr>
                <w:rFonts w:ascii="Arial" w:eastAsia="宋体" w:hAnsi="Arial" w:cs="Arial"/>
                <w:color w:val="262626"/>
                <w:sz w:val="18"/>
                <w:szCs w:val="18"/>
              </w:rPr>
              <w:t>Mobileye, NSG, and PSG products. Combined with our platform products, adjacent products form comprehensive platform solutions to meet customer needs</w:t>
            </w:r>
          </w:p>
        </w:tc>
      </w:tr>
      <w:tr w:rsidR="00996AD7" w14:paraId="39D99097" w14:textId="77777777">
        <w:trPr>
          <w:hidden/>
        </w:trPr>
        <w:tc>
          <w:tcPr>
            <w:tcW w:w="0" w:type="auto"/>
            <w:gridSpan w:val="3"/>
            <w:shd w:val="clear" w:color="auto" w:fill="auto"/>
            <w:vAlign w:val="bottom"/>
          </w:tcPr>
          <w:p w14:paraId="39D99092" w14:textId="77777777" w:rsidR="00996AD7" w:rsidRDefault="00996AD7">
            <w:pPr>
              <w:rPr>
                <w:rFonts w:ascii="宋体"/>
                <w:vanish/>
              </w:rPr>
            </w:pPr>
          </w:p>
        </w:tc>
        <w:tc>
          <w:tcPr>
            <w:tcW w:w="0" w:type="auto"/>
            <w:gridSpan w:val="3"/>
            <w:shd w:val="clear" w:color="auto" w:fill="auto"/>
            <w:vAlign w:val="bottom"/>
          </w:tcPr>
          <w:p w14:paraId="39D99093" w14:textId="77777777" w:rsidR="00996AD7" w:rsidRDefault="00996AD7">
            <w:pPr>
              <w:rPr>
                <w:rFonts w:ascii="宋体"/>
                <w:vanish/>
              </w:rPr>
            </w:pPr>
          </w:p>
        </w:tc>
        <w:tc>
          <w:tcPr>
            <w:tcW w:w="0" w:type="auto"/>
            <w:gridSpan w:val="3"/>
            <w:shd w:val="clear" w:color="auto" w:fill="auto"/>
            <w:vAlign w:val="bottom"/>
          </w:tcPr>
          <w:p w14:paraId="39D99094" w14:textId="77777777" w:rsidR="00996AD7" w:rsidRDefault="00996AD7">
            <w:pPr>
              <w:rPr>
                <w:rFonts w:ascii="宋体"/>
                <w:vanish/>
              </w:rPr>
            </w:pPr>
          </w:p>
        </w:tc>
        <w:tc>
          <w:tcPr>
            <w:tcW w:w="0" w:type="auto"/>
            <w:gridSpan w:val="3"/>
            <w:shd w:val="clear" w:color="auto" w:fill="auto"/>
            <w:vAlign w:val="bottom"/>
          </w:tcPr>
          <w:p w14:paraId="39D99095" w14:textId="77777777" w:rsidR="00996AD7" w:rsidRDefault="00996AD7">
            <w:pPr>
              <w:rPr>
                <w:rFonts w:ascii="宋体"/>
                <w:vanish/>
              </w:rPr>
            </w:pPr>
          </w:p>
        </w:tc>
        <w:tc>
          <w:tcPr>
            <w:tcW w:w="0" w:type="auto"/>
            <w:gridSpan w:val="3"/>
            <w:shd w:val="clear" w:color="auto" w:fill="auto"/>
            <w:vAlign w:val="bottom"/>
          </w:tcPr>
          <w:p w14:paraId="39D99096" w14:textId="77777777" w:rsidR="00996AD7" w:rsidRDefault="00996AD7">
            <w:pPr>
              <w:rPr>
                <w:rFonts w:ascii="宋体"/>
                <w:vanish/>
              </w:rPr>
            </w:pPr>
          </w:p>
        </w:tc>
      </w:tr>
      <w:tr w:rsidR="00996AD7" w14:paraId="39D9909D" w14:textId="77777777">
        <w:trPr>
          <w:hidden/>
        </w:trPr>
        <w:tc>
          <w:tcPr>
            <w:tcW w:w="0" w:type="auto"/>
            <w:gridSpan w:val="3"/>
            <w:shd w:val="clear" w:color="auto" w:fill="auto"/>
            <w:vAlign w:val="bottom"/>
          </w:tcPr>
          <w:p w14:paraId="39D99098" w14:textId="77777777" w:rsidR="00996AD7" w:rsidRDefault="00996AD7">
            <w:pPr>
              <w:rPr>
                <w:rFonts w:ascii="宋体"/>
                <w:vanish/>
              </w:rPr>
            </w:pPr>
          </w:p>
        </w:tc>
        <w:tc>
          <w:tcPr>
            <w:tcW w:w="0" w:type="auto"/>
            <w:gridSpan w:val="3"/>
            <w:shd w:val="clear" w:color="auto" w:fill="auto"/>
            <w:vAlign w:val="bottom"/>
          </w:tcPr>
          <w:p w14:paraId="39D99099" w14:textId="77777777" w:rsidR="00996AD7" w:rsidRDefault="00996AD7">
            <w:pPr>
              <w:rPr>
                <w:rFonts w:ascii="宋体"/>
                <w:vanish/>
              </w:rPr>
            </w:pPr>
          </w:p>
        </w:tc>
        <w:tc>
          <w:tcPr>
            <w:tcW w:w="0" w:type="auto"/>
            <w:gridSpan w:val="3"/>
            <w:shd w:val="clear" w:color="auto" w:fill="auto"/>
            <w:vAlign w:val="bottom"/>
          </w:tcPr>
          <w:p w14:paraId="39D9909A" w14:textId="77777777" w:rsidR="00996AD7" w:rsidRDefault="00996AD7">
            <w:pPr>
              <w:rPr>
                <w:rFonts w:ascii="宋体"/>
                <w:vanish/>
              </w:rPr>
            </w:pPr>
          </w:p>
        </w:tc>
        <w:tc>
          <w:tcPr>
            <w:tcW w:w="0" w:type="auto"/>
            <w:gridSpan w:val="3"/>
            <w:shd w:val="clear" w:color="auto" w:fill="auto"/>
            <w:vAlign w:val="bottom"/>
          </w:tcPr>
          <w:p w14:paraId="39D9909B" w14:textId="77777777" w:rsidR="00996AD7" w:rsidRDefault="00996AD7">
            <w:pPr>
              <w:rPr>
                <w:rFonts w:ascii="宋体"/>
                <w:vanish/>
              </w:rPr>
            </w:pPr>
          </w:p>
        </w:tc>
        <w:tc>
          <w:tcPr>
            <w:tcW w:w="0" w:type="auto"/>
            <w:gridSpan w:val="3"/>
            <w:shd w:val="clear" w:color="auto" w:fill="auto"/>
            <w:vAlign w:val="bottom"/>
          </w:tcPr>
          <w:p w14:paraId="39D9909C" w14:textId="77777777" w:rsidR="00996AD7" w:rsidRDefault="00996AD7">
            <w:pPr>
              <w:rPr>
                <w:rFonts w:ascii="宋体"/>
                <w:vanish/>
              </w:rPr>
            </w:pPr>
          </w:p>
        </w:tc>
      </w:tr>
      <w:tr w:rsidR="00996AD7" w14:paraId="39D990A1" w14:textId="77777777">
        <w:tc>
          <w:tcPr>
            <w:tcW w:w="0" w:type="auto"/>
            <w:gridSpan w:val="3"/>
            <w:shd w:val="clear" w:color="auto" w:fill="auto"/>
            <w:tcMar>
              <w:top w:w="40" w:type="dxa"/>
              <w:left w:w="20" w:type="dxa"/>
              <w:bottom w:w="40" w:type="dxa"/>
              <w:right w:w="20" w:type="dxa"/>
            </w:tcMar>
          </w:tcPr>
          <w:p w14:paraId="39D9909E" w14:textId="77777777" w:rsidR="00996AD7" w:rsidRDefault="00D96458">
            <w:pPr>
              <w:textAlignment w:val="top"/>
            </w:pPr>
            <w:r>
              <w:rPr>
                <w:rFonts w:ascii="Arial" w:eastAsia="宋体" w:hAnsi="Arial" w:cs="Arial"/>
                <w:color w:val="0068B5"/>
                <w:sz w:val="18"/>
                <w:szCs w:val="18"/>
              </w:rPr>
              <w:t>ASIC</w:t>
            </w:r>
          </w:p>
        </w:tc>
        <w:tc>
          <w:tcPr>
            <w:tcW w:w="0" w:type="auto"/>
            <w:gridSpan w:val="3"/>
            <w:shd w:val="clear" w:color="auto" w:fill="auto"/>
            <w:tcMar>
              <w:top w:w="0" w:type="dxa"/>
              <w:left w:w="20" w:type="dxa"/>
              <w:bottom w:w="0" w:type="dxa"/>
              <w:right w:w="20" w:type="dxa"/>
            </w:tcMar>
            <w:vAlign w:val="bottom"/>
          </w:tcPr>
          <w:p w14:paraId="39D9909F"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0A0" w14:textId="77777777" w:rsidR="00996AD7" w:rsidRDefault="00D96458">
            <w:pPr>
              <w:textAlignment w:val="top"/>
            </w:pPr>
            <w:r>
              <w:rPr>
                <w:rFonts w:ascii="Arial" w:eastAsia="宋体" w:hAnsi="Arial" w:cs="Arial"/>
                <w:color w:val="262626"/>
                <w:sz w:val="18"/>
                <w:szCs w:val="18"/>
              </w:rPr>
              <w:t>Application-specific integrated circuit</w:t>
            </w:r>
          </w:p>
        </w:tc>
      </w:tr>
      <w:tr w:rsidR="00996AD7" w14:paraId="39D990A5" w14:textId="77777777">
        <w:tc>
          <w:tcPr>
            <w:tcW w:w="0" w:type="auto"/>
            <w:gridSpan w:val="3"/>
            <w:shd w:val="clear" w:color="auto" w:fill="auto"/>
            <w:tcMar>
              <w:top w:w="40" w:type="dxa"/>
              <w:left w:w="20" w:type="dxa"/>
              <w:bottom w:w="40" w:type="dxa"/>
              <w:right w:w="20" w:type="dxa"/>
            </w:tcMar>
          </w:tcPr>
          <w:p w14:paraId="39D990A2" w14:textId="77777777" w:rsidR="00996AD7" w:rsidRDefault="00D96458">
            <w:pPr>
              <w:textAlignment w:val="top"/>
            </w:pPr>
            <w:r>
              <w:rPr>
                <w:rFonts w:ascii="Arial" w:eastAsia="宋体" w:hAnsi="Arial" w:cs="Arial"/>
                <w:color w:val="0068B5"/>
                <w:sz w:val="18"/>
                <w:szCs w:val="18"/>
              </w:rPr>
              <w:t>ASP</w:t>
            </w:r>
          </w:p>
        </w:tc>
        <w:tc>
          <w:tcPr>
            <w:tcW w:w="0" w:type="auto"/>
            <w:gridSpan w:val="3"/>
            <w:shd w:val="clear" w:color="auto" w:fill="auto"/>
            <w:tcMar>
              <w:top w:w="0" w:type="dxa"/>
              <w:left w:w="20" w:type="dxa"/>
              <w:bottom w:w="0" w:type="dxa"/>
              <w:right w:w="20" w:type="dxa"/>
            </w:tcMar>
            <w:vAlign w:val="bottom"/>
          </w:tcPr>
          <w:p w14:paraId="39D990A3"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0A4" w14:textId="77777777" w:rsidR="00996AD7" w:rsidRDefault="00D96458">
            <w:pPr>
              <w:textAlignment w:val="top"/>
            </w:pPr>
            <w:r>
              <w:rPr>
                <w:rFonts w:ascii="Arial" w:eastAsia="宋体" w:hAnsi="Arial" w:cs="Arial"/>
                <w:color w:val="262626"/>
                <w:sz w:val="18"/>
                <w:szCs w:val="18"/>
              </w:rPr>
              <w:t>Average selling price</w:t>
            </w:r>
          </w:p>
        </w:tc>
      </w:tr>
      <w:tr w:rsidR="00996AD7" w14:paraId="39D990AB" w14:textId="77777777">
        <w:trPr>
          <w:hidden/>
        </w:trPr>
        <w:tc>
          <w:tcPr>
            <w:tcW w:w="0" w:type="auto"/>
            <w:gridSpan w:val="3"/>
            <w:shd w:val="clear" w:color="auto" w:fill="auto"/>
            <w:vAlign w:val="bottom"/>
          </w:tcPr>
          <w:p w14:paraId="39D990A6" w14:textId="77777777" w:rsidR="00996AD7" w:rsidRDefault="00996AD7">
            <w:pPr>
              <w:rPr>
                <w:rFonts w:ascii="宋体"/>
                <w:vanish/>
              </w:rPr>
            </w:pPr>
          </w:p>
        </w:tc>
        <w:tc>
          <w:tcPr>
            <w:tcW w:w="0" w:type="auto"/>
            <w:gridSpan w:val="3"/>
            <w:shd w:val="clear" w:color="auto" w:fill="auto"/>
            <w:vAlign w:val="bottom"/>
          </w:tcPr>
          <w:p w14:paraId="39D990A7" w14:textId="77777777" w:rsidR="00996AD7" w:rsidRDefault="00996AD7">
            <w:pPr>
              <w:rPr>
                <w:rFonts w:ascii="宋体"/>
                <w:vanish/>
              </w:rPr>
            </w:pPr>
          </w:p>
        </w:tc>
        <w:tc>
          <w:tcPr>
            <w:tcW w:w="0" w:type="auto"/>
            <w:gridSpan w:val="3"/>
            <w:shd w:val="clear" w:color="auto" w:fill="auto"/>
            <w:vAlign w:val="bottom"/>
          </w:tcPr>
          <w:p w14:paraId="39D990A8" w14:textId="77777777" w:rsidR="00996AD7" w:rsidRDefault="00996AD7">
            <w:pPr>
              <w:rPr>
                <w:rFonts w:ascii="宋体"/>
                <w:vanish/>
              </w:rPr>
            </w:pPr>
          </w:p>
        </w:tc>
        <w:tc>
          <w:tcPr>
            <w:tcW w:w="0" w:type="auto"/>
            <w:gridSpan w:val="3"/>
            <w:shd w:val="clear" w:color="auto" w:fill="auto"/>
            <w:vAlign w:val="bottom"/>
          </w:tcPr>
          <w:p w14:paraId="39D990A9" w14:textId="77777777" w:rsidR="00996AD7" w:rsidRDefault="00996AD7">
            <w:pPr>
              <w:rPr>
                <w:rFonts w:ascii="宋体"/>
                <w:vanish/>
              </w:rPr>
            </w:pPr>
          </w:p>
        </w:tc>
        <w:tc>
          <w:tcPr>
            <w:tcW w:w="0" w:type="auto"/>
            <w:gridSpan w:val="3"/>
            <w:shd w:val="clear" w:color="auto" w:fill="auto"/>
            <w:vAlign w:val="bottom"/>
          </w:tcPr>
          <w:p w14:paraId="39D990AA" w14:textId="77777777" w:rsidR="00996AD7" w:rsidRDefault="00996AD7">
            <w:pPr>
              <w:rPr>
                <w:rFonts w:ascii="宋体"/>
                <w:vanish/>
              </w:rPr>
            </w:pPr>
          </w:p>
        </w:tc>
      </w:tr>
      <w:tr w:rsidR="00996AD7" w14:paraId="39D990AF" w14:textId="77777777">
        <w:tc>
          <w:tcPr>
            <w:tcW w:w="0" w:type="auto"/>
            <w:gridSpan w:val="3"/>
            <w:shd w:val="clear" w:color="auto" w:fill="auto"/>
            <w:tcMar>
              <w:top w:w="40" w:type="dxa"/>
              <w:left w:w="20" w:type="dxa"/>
              <w:bottom w:w="40" w:type="dxa"/>
              <w:right w:w="20" w:type="dxa"/>
            </w:tcMar>
          </w:tcPr>
          <w:p w14:paraId="39D990AC" w14:textId="77777777" w:rsidR="00996AD7" w:rsidRDefault="00D96458">
            <w:pPr>
              <w:textAlignment w:val="top"/>
            </w:pPr>
            <w:r>
              <w:rPr>
                <w:rFonts w:ascii="Arial" w:eastAsia="宋体" w:hAnsi="Arial" w:cs="Arial"/>
                <w:color w:val="0068B5"/>
                <w:sz w:val="18"/>
                <w:szCs w:val="18"/>
              </w:rPr>
              <w:t>AV</w:t>
            </w:r>
          </w:p>
        </w:tc>
        <w:tc>
          <w:tcPr>
            <w:tcW w:w="0" w:type="auto"/>
            <w:gridSpan w:val="3"/>
            <w:shd w:val="clear" w:color="auto" w:fill="auto"/>
            <w:tcMar>
              <w:top w:w="0" w:type="dxa"/>
              <w:left w:w="20" w:type="dxa"/>
              <w:bottom w:w="0" w:type="dxa"/>
              <w:right w:w="20" w:type="dxa"/>
            </w:tcMar>
            <w:vAlign w:val="bottom"/>
          </w:tcPr>
          <w:p w14:paraId="39D990AD"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0AE" w14:textId="77777777" w:rsidR="00996AD7" w:rsidRDefault="00D96458">
            <w:pPr>
              <w:textAlignment w:val="top"/>
            </w:pPr>
            <w:r>
              <w:rPr>
                <w:rFonts w:ascii="Arial" w:eastAsia="宋体" w:hAnsi="Arial" w:cs="Arial"/>
                <w:color w:val="262626"/>
                <w:sz w:val="18"/>
                <w:szCs w:val="18"/>
              </w:rPr>
              <w:t>Autonomous vehicle</w:t>
            </w:r>
          </w:p>
        </w:tc>
      </w:tr>
      <w:tr w:rsidR="00996AD7" w14:paraId="39D990B5" w14:textId="77777777">
        <w:trPr>
          <w:hidden/>
        </w:trPr>
        <w:tc>
          <w:tcPr>
            <w:tcW w:w="0" w:type="auto"/>
            <w:gridSpan w:val="3"/>
            <w:shd w:val="clear" w:color="auto" w:fill="auto"/>
            <w:vAlign w:val="bottom"/>
          </w:tcPr>
          <w:p w14:paraId="39D990B0" w14:textId="77777777" w:rsidR="00996AD7" w:rsidRDefault="00996AD7">
            <w:pPr>
              <w:rPr>
                <w:rFonts w:ascii="宋体"/>
                <w:vanish/>
              </w:rPr>
            </w:pPr>
          </w:p>
        </w:tc>
        <w:tc>
          <w:tcPr>
            <w:tcW w:w="0" w:type="auto"/>
            <w:gridSpan w:val="3"/>
            <w:shd w:val="clear" w:color="auto" w:fill="auto"/>
            <w:vAlign w:val="bottom"/>
          </w:tcPr>
          <w:p w14:paraId="39D990B1" w14:textId="77777777" w:rsidR="00996AD7" w:rsidRDefault="00996AD7">
            <w:pPr>
              <w:rPr>
                <w:rFonts w:ascii="宋体"/>
                <w:vanish/>
              </w:rPr>
            </w:pPr>
          </w:p>
        </w:tc>
        <w:tc>
          <w:tcPr>
            <w:tcW w:w="0" w:type="auto"/>
            <w:gridSpan w:val="3"/>
            <w:shd w:val="clear" w:color="auto" w:fill="auto"/>
            <w:vAlign w:val="bottom"/>
          </w:tcPr>
          <w:p w14:paraId="39D990B2" w14:textId="77777777" w:rsidR="00996AD7" w:rsidRDefault="00996AD7">
            <w:pPr>
              <w:rPr>
                <w:rFonts w:ascii="宋体"/>
                <w:vanish/>
              </w:rPr>
            </w:pPr>
          </w:p>
        </w:tc>
        <w:tc>
          <w:tcPr>
            <w:tcW w:w="0" w:type="auto"/>
            <w:gridSpan w:val="3"/>
            <w:shd w:val="clear" w:color="auto" w:fill="auto"/>
            <w:vAlign w:val="bottom"/>
          </w:tcPr>
          <w:p w14:paraId="39D990B3" w14:textId="77777777" w:rsidR="00996AD7" w:rsidRDefault="00996AD7">
            <w:pPr>
              <w:rPr>
                <w:rFonts w:ascii="宋体"/>
                <w:vanish/>
              </w:rPr>
            </w:pPr>
          </w:p>
        </w:tc>
        <w:tc>
          <w:tcPr>
            <w:tcW w:w="0" w:type="auto"/>
            <w:gridSpan w:val="3"/>
            <w:shd w:val="clear" w:color="auto" w:fill="auto"/>
            <w:vAlign w:val="bottom"/>
          </w:tcPr>
          <w:p w14:paraId="39D990B4" w14:textId="77777777" w:rsidR="00996AD7" w:rsidRDefault="00996AD7">
            <w:pPr>
              <w:rPr>
                <w:rFonts w:ascii="宋体"/>
                <w:vanish/>
              </w:rPr>
            </w:pPr>
          </w:p>
        </w:tc>
      </w:tr>
      <w:tr w:rsidR="00996AD7" w14:paraId="39D990BB" w14:textId="77777777">
        <w:trPr>
          <w:hidden/>
        </w:trPr>
        <w:tc>
          <w:tcPr>
            <w:tcW w:w="0" w:type="auto"/>
            <w:gridSpan w:val="3"/>
            <w:shd w:val="clear" w:color="auto" w:fill="auto"/>
            <w:vAlign w:val="bottom"/>
          </w:tcPr>
          <w:p w14:paraId="39D990B6" w14:textId="77777777" w:rsidR="00996AD7" w:rsidRDefault="00996AD7">
            <w:pPr>
              <w:rPr>
                <w:rFonts w:ascii="宋体"/>
                <w:vanish/>
              </w:rPr>
            </w:pPr>
          </w:p>
        </w:tc>
        <w:tc>
          <w:tcPr>
            <w:tcW w:w="0" w:type="auto"/>
            <w:gridSpan w:val="3"/>
            <w:shd w:val="clear" w:color="auto" w:fill="auto"/>
            <w:vAlign w:val="bottom"/>
          </w:tcPr>
          <w:p w14:paraId="39D990B7" w14:textId="77777777" w:rsidR="00996AD7" w:rsidRDefault="00996AD7">
            <w:pPr>
              <w:rPr>
                <w:rFonts w:ascii="宋体"/>
                <w:vanish/>
              </w:rPr>
            </w:pPr>
          </w:p>
        </w:tc>
        <w:tc>
          <w:tcPr>
            <w:tcW w:w="0" w:type="auto"/>
            <w:gridSpan w:val="3"/>
            <w:shd w:val="clear" w:color="auto" w:fill="auto"/>
            <w:vAlign w:val="bottom"/>
          </w:tcPr>
          <w:p w14:paraId="39D990B8" w14:textId="77777777" w:rsidR="00996AD7" w:rsidRDefault="00996AD7">
            <w:pPr>
              <w:rPr>
                <w:rFonts w:ascii="宋体"/>
                <w:vanish/>
              </w:rPr>
            </w:pPr>
          </w:p>
        </w:tc>
        <w:tc>
          <w:tcPr>
            <w:tcW w:w="0" w:type="auto"/>
            <w:gridSpan w:val="3"/>
            <w:shd w:val="clear" w:color="auto" w:fill="auto"/>
            <w:vAlign w:val="bottom"/>
          </w:tcPr>
          <w:p w14:paraId="39D990B9" w14:textId="77777777" w:rsidR="00996AD7" w:rsidRDefault="00996AD7">
            <w:pPr>
              <w:rPr>
                <w:rFonts w:ascii="宋体"/>
                <w:vanish/>
              </w:rPr>
            </w:pPr>
          </w:p>
        </w:tc>
        <w:tc>
          <w:tcPr>
            <w:tcW w:w="0" w:type="auto"/>
            <w:gridSpan w:val="3"/>
            <w:shd w:val="clear" w:color="auto" w:fill="auto"/>
            <w:vAlign w:val="bottom"/>
          </w:tcPr>
          <w:p w14:paraId="39D990BA" w14:textId="77777777" w:rsidR="00996AD7" w:rsidRDefault="00996AD7">
            <w:pPr>
              <w:rPr>
                <w:rFonts w:ascii="宋体"/>
                <w:vanish/>
              </w:rPr>
            </w:pPr>
          </w:p>
        </w:tc>
      </w:tr>
      <w:tr w:rsidR="00996AD7" w14:paraId="39D990BF" w14:textId="77777777">
        <w:tc>
          <w:tcPr>
            <w:tcW w:w="0" w:type="auto"/>
            <w:gridSpan w:val="3"/>
            <w:shd w:val="clear" w:color="auto" w:fill="auto"/>
            <w:tcMar>
              <w:top w:w="40" w:type="dxa"/>
              <w:left w:w="20" w:type="dxa"/>
              <w:bottom w:w="40" w:type="dxa"/>
              <w:right w:w="20" w:type="dxa"/>
            </w:tcMar>
          </w:tcPr>
          <w:p w14:paraId="39D990BC" w14:textId="77777777" w:rsidR="00996AD7" w:rsidRDefault="00D96458">
            <w:pPr>
              <w:textAlignment w:val="top"/>
            </w:pPr>
            <w:r>
              <w:rPr>
                <w:rFonts w:ascii="Arial" w:eastAsia="宋体" w:hAnsi="Arial" w:cs="Arial"/>
                <w:color w:val="0068B5"/>
                <w:sz w:val="18"/>
                <w:szCs w:val="18"/>
              </w:rPr>
              <w:t>CCG</w:t>
            </w:r>
          </w:p>
        </w:tc>
        <w:tc>
          <w:tcPr>
            <w:tcW w:w="0" w:type="auto"/>
            <w:gridSpan w:val="3"/>
            <w:shd w:val="clear" w:color="auto" w:fill="auto"/>
            <w:tcMar>
              <w:top w:w="0" w:type="dxa"/>
              <w:left w:w="20" w:type="dxa"/>
              <w:bottom w:w="0" w:type="dxa"/>
              <w:right w:w="20" w:type="dxa"/>
            </w:tcMar>
            <w:vAlign w:val="bottom"/>
          </w:tcPr>
          <w:p w14:paraId="39D990BD"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0BE" w14:textId="77777777" w:rsidR="00996AD7" w:rsidRDefault="00D96458">
            <w:pPr>
              <w:textAlignment w:val="top"/>
            </w:pPr>
            <w:r>
              <w:rPr>
                <w:rFonts w:ascii="Arial" w:eastAsia="宋体" w:hAnsi="Arial" w:cs="Arial"/>
                <w:color w:val="262626"/>
                <w:sz w:val="18"/>
                <w:szCs w:val="18"/>
              </w:rPr>
              <w:t>Client Computing Group operating segment</w:t>
            </w:r>
          </w:p>
        </w:tc>
      </w:tr>
      <w:tr w:rsidR="00996AD7" w14:paraId="39D990C5" w14:textId="77777777">
        <w:trPr>
          <w:hidden/>
        </w:trPr>
        <w:tc>
          <w:tcPr>
            <w:tcW w:w="0" w:type="auto"/>
            <w:gridSpan w:val="3"/>
            <w:shd w:val="clear" w:color="auto" w:fill="auto"/>
            <w:vAlign w:val="bottom"/>
          </w:tcPr>
          <w:p w14:paraId="39D990C0" w14:textId="77777777" w:rsidR="00996AD7" w:rsidRDefault="00996AD7">
            <w:pPr>
              <w:rPr>
                <w:rFonts w:ascii="宋体"/>
                <w:vanish/>
              </w:rPr>
            </w:pPr>
          </w:p>
        </w:tc>
        <w:tc>
          <w:tcPr>
            <w:tcW w:w="0" w:type="auto"/>
            <w:gridSpan w:val="3"/>
            <w:shd w:val="clear" w:color="auto" w:fill="auto"/>
            <w:vAlign w:val="bottom"/>
          </w:tcPr>
          <w:p w14:paraId="39D990C1" w14:textId="77777777" w:rsidR="00996AD7" w:rsidRDefault="00996AD7">
            <w:pPr>
              <w:rPr>
                <w:rFonts w:ascii="宋体"/>
                <w:vanish/>
              </w:rPr>
            </w:pPr>
          </w:p>
        </w:tc>
        <w:tc>
          <w:tcPr>
            <w:tcW w:w="0" w:type="auto"/>
            <w:gridSpan w:val="3"/>
            <w:shd w:val="clear" w:color="auto" w:fill="auto"/>
            <w:vAlign w:val="bottom"/>
          </w:tcPr>
          <w:p w14:paraId="39D990C2" w14:textId="77777777" w:rsidR="00996AD7" w:rsidRDefault="00996AD7">
            <w:pPr>
              <w:rPr>
                <w:rFonts w:ascii="宋体"/>
                <w:vanish/>
              </w:rPr>
            </w:pPr>
          </w:p>
        </w:tc>
        <w:tc>
          <w:tcPr>
            <w:tcW w:w="0" w:type="auto"/>
            <w:gridSpan w:val="3"/>
            <w:shd w:val="clear" w:color="auto" w:fill="auto"/>
            <w:vAlign w:val="bottom"/>
          </w:tcPr>
          <w:p w14:paraId="39D990C3" w14:textId="77777777" w:rsidR="00996AD7" w:rsidRDefault="00996AD7">
            <w:pPr>
              <w:rPr>
                <w:rFonts w:ascii="宋体"/>
                <w:vanish/>
              </w:rPr>
            </w:pPr>
          </w:p>
        </w:tc>
        <w:tc>
          <w:tcPr>
            <w:tcW w:w="0" w:type="auto"/>
            <w:gridSpan w:val="3"/>
            <w:shd w:val="clear" w:color="auto" w:fill="auto"/>
            <w:vAlign w:val="bottom"/>
          </w:tcPr>
          <w:p w14:paraId="39D990C4" w14:textId="77777777" w:rsidR="00996AD7" w:rsidRDefault="00996AD7">
            <w:pPr>
              <w:rPr>
                <w:rFonts w:ascii="宋体"/>
                <w:vanish/>
              </w:rPr>
            </w:pPr>
          </w:p>
        </w:tc>
      </w:tr>
      <w:tr w:rsidR="00996AD7" w14:paraId="39D990CB" w14:textId="77777777">
        <w:trPr>
          <w:hidden/>
        </w:trPr>
        <w:tc>
          <w:tcPr>
            <w:tcW w:w="0" w:type="auto"/>
            <w:gridSpan w:val="3"/>
            <w:shd w:val="clear" w:color="auto" w:fill="auto"/>
            <w:vAlign w:val="bottom"/>
          </w:tcPr>
          <w:p w14:paraId="39D990C6" w14:textId="77777777" w:rsidR="00996AD7" w:rsidRDefault="00996AD7">
            <w:pPr>
              <w:rPr>
                <w:rFonts w:ascii="宋体"/>
                <w:vanish/>
              </w:rPr>
            </w:pPr>
          </w:p>
        </w:tc>
        <w:tc>
          <w:tcPr>
            <w:tcW w:w="0" w:type="auto"/>
            <w:gridSpan w:val="3"/>
            <w:shd w:val="clear" w:color="auto" w:fill="auto"/>
            <w:vAlign w:val="bottom"/>
          </w:tcPr>
          <w:p w14:paraId="39D990C7" w14:textId="77777777" w:rsidR="00996AD7" w:rsidRDefault="00996AD7">
            <w:pPr>
              <w:rPr>
                <w:rFonts w:ascii="宋体"/>
                <w:vanish/>
              </w:rPr>
            </w:pPr>
          </w:p>
        </w:tc>
        <w:tc>
          <w:tcPr>
            <w:tcW w:w="0" w:type="auto"/>
            <w:gridSpan w:val="3"/>
            <w:shd w:val="clear" w:color="auto" w:fill="auto"/>
            <w:vAlign w:val="bottom"/>
          </w:tcPr>
          <w:p w14:paraId="39D990C8" w14:textId="77777777" w:rsidR="00996AD7" w:rsidRDefault="00996AD7">
            <w:pPr>
              <w:rPr>
                <w:rFonts w:ascii="宋体"/>
                <w:vanish/>
              </w:rPr>
            </w:pPr>
          </w:p>
        </w:tc>
        <w:tc>
          <w:tcPr>
            <w:tcW w:w="0" w:type="auto"/>
            <w:gridSpan w:val="3"/>
            <w:shd w:val="clear" w:color="auto" w:fill="auto"/>
            <w:vAlign w:val="bottom"/>
          </w:tcPr>
          <w:p w14:paraId="39D990C9" w14:textId="77777777" w:rsidR="00996AD7" w:rsidRDefault="00996AD7">
            <w:pPr>
              <w:rPr>
                <w:rFonts w:ascii="宋体"/>
                <w:vanish/>
              </w:rPr>
            </w:pPr>
          </w:p>
        </w:tc>
        <w:tc>
          <w:tcPr>
            <w:tcW w:w="0" w:type="auto"/>
            <w:gridSpan w:val="3"/>
            <w:shd w:val="clear" w:color="auto" w:fill="auto"/>
            <w:vAlign w:val="bottom"/>
          </w:tcPr>
          <w:p w14:paraId="39D990CA" w14:textId="77777777" w:rsidR="00996AD7" w:rsidRDefault="00996AD7">
            <w:pPr>
              <w:rPr>
                <w:rFonts w:ascii="宋体"/>
                <w:vanish/>
              </w:rPr>
            </w:pPr>
          </w:p>
        </w:tc>
      </w:tr>
      <w:tr w:rsidR="00996AD7" w14:paraId="39D990D1" w14:textId="77777777">
        <w:trPr>
          <w:hidden/>
        </w:trPr>
        <w:tc>
          <w:tcPr>
            <w:tcW w:w="0" w:type="auto"/>
            <w:gridSpan w:val="3"/>
            <w:shd w:val="clear" w:color="auto" w:fill="auto"/>
            <w:vAlign w:val="bottom"/>
          </w:tcPr>
          <w:p w14:paraId="39D990CC" w14:textId="77777777" w:rsidR="00996AD7" w:rsidRDefault="00996AD7">
            <w:pPr>
              <w:rPr>
                <w:rFonts w:ascii="宋体"/>
                <w:vanish/>
              </w:rPr>
            </w:pPr>
          </w:p>
        </w:tc>
        <w:tc>
          <w:tcPr>
            <w:tcW w:w="0" w:type="auto"/>
            <w:gridSpan w:val="3"/>
            <w:shd w:val="clear" w:color="auto" w:fill="auto"/>
            <w:vAlign w:val="bottom"/>
          </w:tcPr>
          <w:p w14:paraId="39D990CD" w14:textId="77777777" w:rsidR="00996AD7" w:rsidRDefault="00996AD7">
            <w:pPr>
              <w:rPr>
                <w:rFonts w:ascii="宋体"/>
                <w:vanish/>
              </w:rPr>
            </w:pPr>
          </w:p>
        </w:tc>
        <w:tc>
          <w:tcPr>
            <w:tcW w:w="0" w:type="auto"/>
            <w:gridSpan w:val="3"/>
            <w:shd w:val="clear" w:color="auto" w:fill="auto"/>
            <w:vAlign w:val="bottom"/>
          </w:tcPr>
          <w:p w14:paraId="39D990CE" w14:textId="77777777" w:rsidR="00996AD7" w:rsidRDefault="00996AD7">
            <w:pPr>
              <w:rPr>
                <w:rFonts w:ascii="宋体"/>
                <w:vanish/>
              </w:rPr>
            </w:pPr>
          </w:p>
        </w:tc>
        <w:tc>
          <w:tcPr>
            <w:tcW w:w="0" w:type="auto"/>
            <w:gridSpan w:val="3"/>
            <w:shd w:val="clear" w:color="auto" w:fill="auto"/>
            <w:vAlign w:val="bottom"/>
          </w:tcPr>
          <w:p w14:paraId="39D990CF" w14:textId="77777777" w:rsidR="00996AD7" w:rsidRDefault="00996AD7">
            <w:pPr>
              <w:rPr>
                <w:rFonts w:ascii="宋体"/>
                <w:vanish/>
              </w:rPr>
            </w:pPr>
          </w:p>
        </w:tc>
        <w:tc>
          <w:tcPr>
            <w:tcW w:w="0" w:type="auto"/>
            <w:gridSpan w:val="3"/>
            <w:shd w:val="clear" w:color="auto" w:fill="auto"/>
            <w:vAlign w:val="bottom"/>
          </w:tcPr>
          <w:p w14:paraId="39D990D0" w14:textId="77777777" w:rsidR="00996AD7" w:rsidRDefault="00996AD7">
            <w:pPr>
              <w:rPr>
                <w:rFonts w:ascii="宋体"/>
                <w:vanish/>
              </w:rPr>
            </w:pPr>
          </w:p>
        </w:tc>
      </w:tr>
      <w:tr w:rsidR="00996AD7" w14:paraId="39D990D5" w14:textId="77777777">
        <w:tc>
          <w:tcPr>
            <w:tcW w:w="0" w:type="auto"/>
            <w:gridSpan w:val="3"/>
            <w:shd w:val="clear" w:color="auto" w:fill="auto"/>
            <w:tcMar>
              <w:top w:w="40" w:type="dxa"/>
              <w:left w:w="20" w:type="dxa"/>
              <w:bottom w:w="40" w:type="dxa"/>
              <w:right w:w="20" w:type="dxa"/>
            </w:tcMar>
          </w:tcPr>
          <w:p w14:paraId="39D990D2" w14:textId="77777777" w:rsidR="00996AD7" w:rsidRDefault="00D96458">
            <w:pPr>
              <w:textAlignment w:val="top"/>
            </w:pPr>
            <w:r>
              <w:rPr>
                <w:rFonts w:ascii="Arial" w:eastAsia="宋体" w:hAnsi="Arial" w:cs="Arial"/>
                <w:color w:val="0068B5"/>
                <w:sz w:val="18"/>
                <w:szCs w:val="18"/>
              </w:rPr>
              <w:t>CODM</w:t>
            </w:r>
          </w:p>
        </w:tc>
        <w:tc>
          <w:tcPr>
            <w:tcW w:w="0" w:type="auto"/>
            <w:gridSpan w:val="3"/>
            <w:shd w:val="clear" w:color="auto" w:fill="auto"/>
            <w:tcMar>
              <w:top w:w="0" w:type="dxa"/>
              <w:left w:w="20" w:type="dxa"/>
              <w:bottom w:w="0" w:type="dxa"/>
              <w:right w:w="20" w:type="dxa"/>
            </w:tcMar>
            <w:vAlign w:val="bottom"/>
          </w:tcPr>
          <w:p w14:paraId="39D990D3"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0D4" w14:textId="77777777" w:rsidR="00996AD7" w:rsidRDefault="00D96458">
            <w:pPr>
              <w:textAlignment w:val="top"/>
            </w:pPr>
            <w:r>
              <w:rPr>
                <w:rFonts w:ascii="Arial" w:eastAsia="宋体" w:hAnsi="Arial" w:cs="Arial"/>
                <w:color w:val="262626"/>
                <w:sz w:val="18"/>
                <w:szCs w:val="18"/>
              </w:rPr>
              <w:t>Chief operating decision maker</w:t>
            </w:r>
          </w:p>
        </w:tc>
      </w:tr>
      <w:tr w:rsidR="00996AD7" w14:paraId="39D990DB" w14:textId="77777777">
        <w:trPr>
          <w:hidden/>
        </w:trPr>
        <w:tc>
          <w:tcPr>
            <w:tcW w:w="0" w:type="auto"/>
            <w:gridSpan w:val="3"/>
            <w:shd w:val="clear" w:color="auto" w:fill="auto"/>
            <w:vAlign w:val="bottom"/>
          </w:tcPr>
          <w:p w14:paraId="39D990D6" w14:textId="77777777" w:rsidR="00996AD7" w:rsidRDefault="00996AD7">
            <w:pPr>
              <w:rPr>
                <w:rFonts w:ascii="宋体"/>
                <w:vanish/>
              </w:rPr>
            </w:pPr>
          </w:p>
        </w:tc>
        <w:tc>
          <w:tcPr>
            <w:tcW w:w="0" w:type="auto"/>
            <w:gridSpan w:val="3"/>
            <w:shd w:val="clear" w:color="auto" w:fill="auto"/>
            <w:vAlign w:val="bottom"/>
          </w:tcPr>
          <w:p w14:paraId="39D990D7" w14:textId="77777777" w:rsidR="00996AD7" w:rsidRDefault="00996AD7">
            <w:pPr>
              <w:rPr>
                <w:rFonts w:ascii="宋体"/>
                <w:vanish/>
              </w:rPr>
            </w:pPr>
          </w:p>
        </w:tc>
        <w:tc>
          <w:tcPr>
            <w:tcW w:w="0" w:type="auto"/>
            <w:gridSpan w:val="3"/>
            <w:shd w:val="clear" w:color="auto" w:fill="auto"/>
            <w:vAlign w:val="bottom"/>
          </w:tcPr>
          <w:p w14:paraId="39D990D8" w14:textId="77777777" w:rsidR="00996AD7" w:rsidRDefault="00996AD7">
            <w:pPr>
              <w:rPr>
                <w:rFonts w:ascii="宋体"/>
                <w:vanish/>
              </w:rPr>
            </w:pPr>
          </w:p>
        </w:tc>
        <w:tc>
          <w:tcPr>
            <w:tcW w:w="0" w:type="auto"/>
            <w:gridSpan w:val="3"/>
            <w:shd w:val="clear" w:color="auto" w:fill="auto"/>
            <w:vAlign w:val="bottom"/>
          </w:tcPr>
          <w:p w14:paraId="39D990D9" w14:textId="77777777" w:rsidR="00996AD7" w:rsidRDefault="00996AD7">
            <w:pPr>
              <w:rPr>
                <w:rFonts w:ascii="宋体"/>
                <w:vanish/>
              </w:rPr>
            </w:pPr>
          </w:p>
        </w:tc>
        <w:tc>
          <w:tcPr>
            <w:tcW w:w="0" w:type="auto"/>
            <w:gridSpan w:val="3"/>
            <w:shd w:val="clear" w:color="auto" w:fill="auto"/>
            <w:vAlign w:val="bottom"/>
          </w:tcPr>
          <w:p w14:paraId="39D990DA" w14:textId="77777777" w:rsidR="00996AD7" w:rsidRDefault="00996AD7">
            <w:pPr>
              <w:rPr>
                <w:rFonts w:ascii="宋体"/>
                <w:vanish/>
              </w:rPr>
            </w:pPr>
          </w:p>
        </w:tc>
      </w:tr>
      <w:tr w:rsidR="00996AD7" w14:paraId="39D990DF" w14:textId="77777777">
        <w:tc>
          <w:tcPr>
            <w:tcW w:w="0" w:type="auto"/>
            <w:gridSpan w:val="3"/>
            <w:shd w:val="clear" w:color="auto" w:fill="auto"/>
            <w:tcMar>
              <w:top w:w="40" w:type="dxa"/>
              <w:left w:w="20" w:type="dxa"/>
              <w:bottom w:w="40" w:type="dxa"/>
              <w:right w:w="20" w:type="dxa"/>
            </w:tcMar>
          </w:tcPr>
          <w:p w14:paraId="39D990DC" w14:textId="77777777" w:rsidR="00996AD7" w:rsidRDefault="00D96458">
            <w:pPr>
              <w:textAlignment w:val="top"/>
            </w:pPr>
            <w:r>
              <w:rPr>
                <w:rFonts w:ascii="Arial" w:eastAsia="宋体" w:hAnsi="Arial" w:cs="Arial"/>
                <w:color w:val="0068B5"/>
                <w:sz w:val="18"/>
                <w:szCs w:val="18"/>
              </w:rPr>
              <w:t>COVID-19</w:t>
            </w:r>
          </w:p>
        </w:tc>
        <w:tc>
          <w:tcPr>
            <w:tcW w:w="0" w:type="auto"/>
            <w:gridSpan w:val="3"/>
            <w:shd w:val="clear" w:color="auto" w:fill="auto"/>
            <w:tcMar>
              <w:top w:w="0" w:type="dxa"/>
              <w:left w:w="20" w:type="dxa"/>
              <w:bottom w:w="0" w:type="dxa"/>
              <w:right w:w="20" w:type="dxa"/>
            </w:tcMar>
            <w:vAlign w:val="bottom"/>
          </w:tcPr>
          <w:p w14:paraId="39D990DD"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0DE" w14:textId="77777777" w:rsidR="00996AD7" w:rsidRDefault="00D96458">
            <w:pPr>
              <w:textAlignment w:val="top"/>
            </w:pPr>
            <w:r>
              <w:rPr>
                <w:rFonts w:ascii="Arial" w:eastAsia="宋体" w:hAnsi="Arial" w:cs="Arial"/>
                <w:color w:val="262626"/>
                <w:sz w:val="18"/>
                <w:szCs w:val="18"/>
              </w:rPr>
              <w:t xml:space="preserve">The infectious disease caused by the most recently discovered coronavirus (aka SARS-CoV-2), which was </w:t>
            </w:r>
            <w:r>
              <w:rPr>
                <w:rFonts w:ascii="Arial" w:eastAsia="宋体" w:hAnsi="Arial" w:cs="Arial"/>
                <w:color w:val="262626"/>
                <w:sz w:val="18"/>
                <w:szCs w:val="18"/>
              </w:rPr>
              <w:t>declared a global pandemic by the World Health Organization</w:t>
            </w:r>
          </w:p>
        </w:tc>
      </w:tr>
      <w:tr w:rsidR="00996AD7" w14:paraId="39D990E3" w14:textId="77777777">
        <w:tc>
          <w:tcPr>
            <w:tcW w:w="0" w:type="auto"/>
            <w:gridSpan w:val="3"/>
            <w:shd w:val="clear" w:color="auto" w:fill="auto"/>
            <w:tcMar>
              <w:top w:w="40" w:type="dxa"/>
              <w:left w:w="20" w:type="dxa"/>
              <w:bottom w:w="40" w:type="dxa"/>
              <w:right w:w="20" w:type="dxa"/>
            </w:tcMar>
          </w:tcPr>
          <w:p w14:paraId="39D990E0" w14:textId="77777777" w:rsidR="00996AD7" w:rsidRDefault="00D96458">
            <w:pPr>
              <w:textAlignment w:val="top"/>
            </w:pPr>
            <w:r>
              <w:rPr>
                <w:rFonts w:ascii="Arial" w:eastAsia="宋体" w:hAnsi="Arial" w:cs="Arial"/>
                <w:color w:val="0068B5"/>
                <w:sz w:val="18"/>
                <w:szCs w:val="18"/>
              </w:rPr>
              <w:t>CPU</w:t>
            </w:r>
          </w:p>
        </w:tc>
        <w:tc>
          <w:tcPr>
            <w:tcW w:w="0" w:type="auto"/>
            <w:gridSpan w:val="3"/>
            <w:shd w:val="clear" w:color="auto" w:fill="auto"/>
            <w:tcMar>
              <w:top w:w="0" w:type="dxa"/>
              <w:left w:w="20" w:type="dxa"/>
              <w:bottom w:w="0" w:type="dxa"/>
              <w:right w:w="20" w:type="dxa"/>
            </w:tcMar>
            <w:vAlign w:val="bottom"/>
          </w:tcPr>
          <w:p w14:paraId="39D990E1"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0E2" w14:textId="77777777" w:rsidR="00996AD7" w:rsidRDefault="00D96458">
            <w:pPr>
              <w:textAlignment w:val="top"/>
            </w:pPr>
            <w:r>
              <w:rPr>
                <w:rFonts w:ascii="Arial" w:eastAsia="宋体" w:hAnsi="Arial" w:cs="Arial"/>
                <w:color w:val="262626"/>
                <w:sz w:val="18"/>
                <w:szCs w:val="18"/>
              </w:rPr>
              <w:t>Processor or central processing unit</w:t>
            </w:r>
          </w:p>
        </w:tc>
      </w:tr>
      <w:tr w:rsidR="00996AD7" w14:paraId="39D990E9" w14:textId="77777777">
        <w:trPr>
          <w:hidden/>
        </w:trPr>
        <w:tc>
          <w:tcPr>
            <w:tcW w:w="0" w:type="auto"/>
            <w:gridSpan w:val="3"/>
            <w:shd w:val="clear" w:color="auto" w:fill="auto"/>
            <w:vAlign w:val="bottom"/>
          </w:tcPr>
          <w:p w14:paraId="39D990E4" w14:textId="77777777" w:rsidR="00996AD7" w:rsidRDefault="00996AD7">
            <w:pPr>
              <w:rPr>
                <w:rFonts w:ascii="宋体"/>
                <w:vanish/>
              </w:rPr>
            </w:pPr>
          </w:p>
        </w:tc>
        <w:tc>
          <w:tcPr>
            <w:tcW w:w="0" w:type="auto"/>
            <w:gridSpan w:val="3"/>
            <w:shd w:val="clear" w:color="auto" w:fill="auto"/>
            <w:vAlign w:val="bottom"/>
          </w:tcPr>
          <w:p w14:paraId="39D990E5" w14:textId="77777777" w:rsidR="00996AD7" w:rsidRDefault="00996AD7">
            <w:pPr>
              <w:rPr>
                <w:rFonts w:ascii="宋体"/>
                <w:vanish/>
              </w:rPr>
            </w:pPr>
          </w:p>
        </w:tc>
        <w:tc>
          <w:tcPr>
            <w:tcW w:w="0" w:type="auto"/>
            <w:gridSpan w:val="3"/>
            <w:shd w:val="clear" w:color="auto" w:fill="auto"/>
            <w:vAlign w:val="bottom"/>
          </w:tcPr>
          <w:p w14:paraId="39D990E6" w14:textId="77777777" w:rsidR="00996AD7" w:rsidRDefault="00996AD7">
            <w:pPr>
              <w:rPr>
                <w:rFonts w:ascii="宋体"/>
                <w:vanish/>
              </w:rPr>
            </w:pPr>
          </w:p>
        </w:tc>
        <w:tc>
          <w:tcPr>
            <w:tcW w:w="0" w:type="auto"/>
            <w:gridSpan w:val="3"/>
            <w:shd w:val="clear" w:color="auto" w:fill="auto"/>
            <w:vAlign w:val="bottom"/>
          </w:tcPr>
          <w:p w14:paraId="39D990E7" w14:textId="77777777" w:rsidR="00996AD7" w:rsidRDefault="00996AD7">
            <w:pPr>
              <w:rPr>
                <w:rFonts w:ascii="宋体"/>
                <w:vanish/>
              </w:rPr>
            </w:pPr>
          </w:p>
        </w:tc>
        <w:tc>
          <w:tcPr>
            <w:tcW w:w="0" w:type="auto"/>
            <w:gridSpan w:val="3"/>
            <w:shd w:val="clear" w:color="auto" w:fill="auto"/>
            <w:vAlign w:val="bottom"/>
          </w:tcPr>
          <w:p w14:paraId="39D990E8" w14:textId="77777777" w:rsidR="00996AD7" w:rsidRDefault="00996AD7">
            <w:pPr>
              <w:rPr>
                <w:rFonts w:ascii="宋体"/>
                <w:vanish/>
              </w:rPr>
            </w:pPr>
          </w:p>
        </w:tc>
      </w:tr>
      <w:tr w:rsidR="00996AD7" w14:paraId="39D990EF" w14:textId="77777777">
        <w:trPr>
          <w:hidden/>
        </w:trPr>
        <w:tc>
          <w:tcPr>
            <w:tcW w:w="0" w:type="auto"/>
            <w:gridSpan w:val="3"/>
            <w:shd w:val="clear" w:color="auto" w:fill="auto"/>
            <w:vAlign w:val="bottom"/>
          </w:tcPr>
          <w:p w14:paraId="39D990EA" w14:textId="77777777" w:rsidR="00996AD7" w:rsidRDefault="00996AD7">
            <w:pPr>
              <w:rPr>
                <w:rFonts w:ascii="宋体"/>
                <w:vanish/>
              </w:rPr>
            </w:pPr>
          </w:p>
        </w:tc>
        <w:tc>
          <w:tcPr>
            <w:tcW w:w="0" w:type="auto"/>
            <w:gridSpan w:val="3"/>
            <w:shd w:val="clear" w:color="auto" w:fill="auto"/>
            <w:vAlign w:val="bottom"/>
          </w:tcPr>
          <w:p w14:paraId="39D990EB" w14:textId="77777777" w:rsidR="00996AD7" w:rsidRDefault="00996AD7">
            <w:pPr>
              <w:rPr>
                <w:rFonts w:ascii="宋体"/>
                <w:vanish/>
              </w:rPr>
            </w:pPr>
          </w:p>
        </w:tc>
        <w:tc>
          <w:tcPr>
            <w:tcW w:w="0" w:type="auto"/>
            <w:gridSpan w:val="3"/>
            <w:shd w:val="clear" w:color="auto" w:fill="auto"/>
            <w:vAlign w:val="bottom"/>
          </w:tcPr>
          <w:p w14:paraId="39D990EC" w14:textId="77777777" w:rsidR="00996AD7" w:rsidRDefault="00996AD7">
            <w:pPr>
              <w:rPr>
                <w:rFonts w:ascii="宋体"/>
                <w:vanish/>
              </w:rPr>
            </w:pPr>
          </w:p>
        </w:tc>
        <w:tc>
          <w:tcPr>
            <w:tcW w:w="0" w:type="auto"/>
            <w:gridSpan w:val="3"/>
            <w:shd w:val="clear" w:color="auto" w:fill="auto"/>
            <w:vAlign w:val="bottom"/>
          </w:tcPr>
          <w:p w14:paraId="39D990ED" w14:textId="77777777" w:rsidR="00996AD7" w:rsidRDefault="00996AD7">
            <w:pPr>
              <w:rPr>
                <w:rFonts w:ascii="宋体"/>
                <w:vanish/>
              </w:rPr>
            </w:pPr>
          </w:p>
        </w:tc>
        <w:tc>
          <w:tcPr>
            <w:tcW w:w="0" w:type="auto"/>
            <w:gridSpan w:val="3"/>
            <w:shd w:val="clear" w:color="auto" w:fill="auto"/>
            <w:vAlign w:val="bottom"/>
          </w:tcPr>
          <w:p w14:paraId="39D990EE" w14:textId="77777777" w:rsidR="00996AD7" w:rsidRDefault="00996AD7">
            <w:pPr>
              <w:rPr>
                <w:rFonts w:ascii="宋体"/>
                <w:vanish/>
              </w:rPr>
            </w:pPr>
          </w:p>
        </w:tc>
      </w:tr>
      <w:tr w:rsidR="00996AD7" w14:paraId="39D990F5" w14:textId="77777777">
        <w:trPr>
          <w:hidden/>
        </w:trPr>
        <w:tc>
          <w:tcPr>
            <w:tcW w:w="0" w:type="auto"/>
            <w:gridSpan w:val="3"/>
            <w:shd w:val="clear" w:color="auto" w:fill="auto"/>
            <w:vAlign w:val="bottom"/>
          </w:tcPr>
          <w:p w14:paraId="39D990F0" w14:textId="77777777" w:rsidR="00996AD7" w:rsidRDefault="00996AD7">
            <w:pPr>
              <w:rPr>
                <w:rFonts w:ascii="宋体"/>
                <w:vanish/>
              </w:rPr>
            </w:pPr>
          </w:p>
        </w:tc>
        <w:tc>
          <w:tcPr>
            <w:tcW w:w="0" w:type="auto"/>
            <w:gridSpan w:val="3"/>
            <w:shd w:val="clear" w:color="auto" w:fill="auto"/>
            <w:vAlign w:val="bottom"/>
          </w:tcPr>
          <w:p w14:paraId="39D990F1" w14:textId="77777777" w:rsidR="00996AD7" w:rsidRDefault="00996AD7">
            <w:pPr>
              <w:rPr>
                <w:rFonts w:ascii="宋体"/>
                <w:vanish/>
              </w:rPr>
            </w:pPr>
          </w:p>
        </w:tc>
        <w:tc>
          <w:tcPr>
            <w:tcW w:w="0" w:type="auto"/>
            <w:gridSpan w:val="3"/>
            <w:shd w:val="clear" w:color="auto" w:fill="auto"/>
            <w:vAlign w:val="bottom"/>
          </w:tcPr>
          <w:p w14:paraId="39D990F2" w14:textId="77777777" w:rsidR="00996AD7" w:rsidRDefault="00996AD7">
            <w:pPr>
              <w:rPr>
                <w:rFonts w:ascii="宋体"/>
                <w:vanish/>
              </w:rPr>
            </w:pPr>
          </w:p>
        </w:tc>
        <w:tc>
          <w:tcPr>
            <w:tcW w:w="0" w:type="auto"/>
            <w:gridSpan w:val="3"/>
            <w:shd w:val="clear" w:color="auto" w:fill="auto"/>
            <w:vAlign w:val="bottom"/>
          </w:tcPr>
          <w:p w14:paraId="39D990F3" w14:textId="77777777" w:rsidR="00996AD7" w:rsidRDefault="00996AD7">
            <w:pPr>
              <w:rPr>
                <w:rFonts w:ascii="宋体"/>
                <w:vanish/>
              </w:rPr>
            </w:pPr>
          </w:p>
        </w:tc>
        <w:tc>
          <w:tcPr>
            <w:tcW w:w="0" w:type="auto"/>
            <w:gridSpan w:val="3"/>
            <w:shd w:val="clear" w:color="auto" w:fill="auto"/>
            <w:vAlign w:val="bottom"/>
          </w:tcPr>
          <w:p w14:paraId="39D990F4" w14:textId="77777777" w:rsidR="00996AD7" w:rsidRDefault="00996AD7">
            <w:pPr>
              <w:rPr>
                <w:rFonts w:ascii="宋体"/>
                <w:vanish/>
              </w:rPr>
            </w:pPr>
          </w:p>
        </w:tc>
      </w:tr>
      <w:tr w:rsidR="00996AD7" w14:paraId="39D990F9" w14:textId="77777777">
        <w:tc>
          <w:tcPr>
            <w:tcW w:w="0" w:type="auto"/>
            <w:gridSpan w:val="3"/>
            <w:shd w:val="clear" w:color="auto" w:fill="auto"/>
            <w:tcMar>
              <w:top w:w="40" w:type="dxa"/>
              <w:left w:w="20" w:type="dxa"/>
              <w:bottom w:w="40" w:type="dxa"/>
              <w:right w:w="20" w:type="dxa"/>
            </w:tcMar>
          </w:tcPr>
          <w:p w14:paraId="39D990F6" w14:textId="77777777" w:rsidR="00996AD7" w:rsidRDefault="00D96458">
            <w:pPr>
              <w:textAlignment w:val="top"/>
            </w:pPr>
            <w:r>
              <w:rPr>
                <w:rFonts w:ascii="Arial" w:eastAsia="宋体" w:hAnsi="Arial" w:cs="Arial"/>
                <w:color w:val="0068B5"/>
                <w:sz w:val="18"/>
                <w:szCs w:val="18"/>
              </w:rPr>
              <w:t>DCG</w:t>
            </w:r>
          </w:p>
        </w:tc>
        <w:tc>
          <w:tcPr>
            <w:tcW w:w="0" w:type="auto"/>
            <w:gridSpan w:val="3"/>
            <w:shd w:val="clear" w:color="auto" w:fill="auto"/>
            <w:tcMar>
              <w:top w:w="0" w:type="dxa"/>
              <w:left w:w="20" w:type="dxa"/>
              <w:bottom w:w="0" w:type="dxa"/>
              <w:right w:w="20" w:type="dxa"/>
            </w:tcMar>
            <w:vAlign w:val="bottom"/>
          </w:tcPr>
          <w:p w14:paraId="39D990F7"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0F8" w14:textId="77777777" w:rsidR="00996AD7" w:rsidRDefault="00D96458">
            <w:pPr>
              <w:textAlignment w:val="top"/>
            </w:pPr>
            <w:r>
              <w:rPr>
                <w:rFonts w:ascii="Arial" w:eastAsia="宋体" w:hAnsi="Arial" w:cs="Arial"/>
                <w:color w:val="262626"/>
                <w:sz w:val="18"/>
                <w:szCs w:val="18"/>
              </w:rPr>
              <w:t>Data Center Group operating segment</w:t>
            </w:r>
          </w:p>
        </w:tc>
      </w:tr>
      <w:tr w:rsidR="00996AD7" w14:paraId="39D990FD" w14:textId="77777777">
        <w:tc>
          <w:tcPr>
            <w:tcW w:w="0" w:type="auto"/>
            <w:gridSpan w:val="3"/>
            <w:shd w:val="clear" w:color="auto" w:fill="auto"/>
            <w:tcMar>
              <w:top w:w="40" w:type="dxa"/>
              <w:left w:w="20" w:type="dxa"/>
              <w:bottom w:w="40" w:type="dxa"/>
              <w:right w:w="20" w:type="dxa"/>
            </w:tcMar>
          </w:tcPr>
          <w:p w14:paraId="39D990FA" w14:textId="77777777" w:rsidR="00996AD7" w:rsidRDefault="00D96458">
            <w:pPr>
              <w:textAlignment w:val="top"/>
            </w:pPr>
            <w:r>
              <w:rPr>
                <w:rFonts w:ascii="Arial" w:eastAsia="宋体" w:hAnsi="Arial" w:cs="Arial"/>
                <w:color w:val="0068B5"/>
                <w:sz w:val="18"/>
                <w:szCs w:val="18"/>
              </w:rPr>
              <w:t>EC</w:t>
            </w:r>
          </w:p>
        </w:tc>
        <w:tc>
          <w:tcPr>
            <w:tcW w:w="0" w:type="auto"/>
            <w:gridSpan w:val="3"/>
            <w:shd w:val="clear" w:color="auto" w:fill="auto"/>
            <w:tcMar>
              <w:top w:w="0" w:type="dxa"/>
              <w:left w:w="20" w:type="dxa"/>
              <w:bottom w:w="0" w:type="dxa"/>
              <w:right w:w="20" w:type="dxa"/>
            </w:tcMar>
            <w:vAlign w:val="bottom"/>
          </w:tcPr>
          <w:p w14:paraId="39D990FB"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0FC" w14:textId="77777777" w:rsidR="00996AD7" w:rsidRDefault="00D96458">
            <w:pPr>
              <w:textAlignment w:val="top"/>
            </w:pPr>
            <w:r>
              <w:rPr>
                <w:rFonts w:ascii="Arial" w:eastAsia="宋体" w:hAnsi="Arial" w:cs="Arial"/>
                <w:color w:val="262626"/>
                <w:sz w:val="18"/>
                <w:szCs w:val="18"/>
              </w:rPr>
              <w:t>European Commission</w:t>
            </w:r>
          </w:p>
        </w:tc>
      </w:tr>
      <w:tr w:rsidR="00996AD7" w14:paraId="39D99103" w14:textId="77777777">
        <w:trPr>
          <w:hidden/>
        </w:trPr>
        <w:tc>
          <w:tcPr>
            <w:tcW w:w="0" w:type="auto"/>
            <w:gridSpan w:val="3"/>
            <w:shd w:val="clear" w:color="auto" w:fill="auto"/>
            <w:vAlign w:val="bottom"/>
          </w:tcPr>
          <w:p w14:paraId="39D990FE" w14:textId="77777777" w:rsidR="00996AD7" w:rsidRDefault="00996AD7">
            <w:pPr>
              <w:rPr>
                <w:rFonts w:ascii="宋体"/>
                <w:vanish/>
              </w:rPr>
            </w:pPr>
          </w:p>
        </w:tc>
        <w:tc>
          <w:tcPr>
            <w:tcW w:w="0" w:type="auto"/>
            <w:gridSpan w:val="3"/>
            <w:shd w:val="clear" w:color="auto" w:fill="auto"/>
            <w:vAlign w:val="bottom"/>
          </w:tcPr>
          <w:p w14:paraId="39D990FF" w14:textId="77777777" w:rsidR="00996AD7" w:rsidRDefault="00996AD7">
            <w:pPr>
              <w:rPr>
                <w:rFonts w:ascii="宋体"/>
                <w:vanish/>
              </w:rPr>
            </w:pPr>
          </w:p>
        </w:tc>
        <w:tc>
          <w:tcPr>
            <w:tcW w:w="0" w:type="auto"/>
            <w:gridSpan w:val="3"/>
            <w:shd w:val="clear" w:color="auto" w:fill="auto"/>
            <w:vAlign w:val="bottom"/>
          </w:tcPr>
          <w:p w14:paraId="39D99100" w14:textId="77777777" w:rsidR="00996AD7" w:rsidRDefault="00996AD7">
            <w:pPr>
              <w:rPr>
                <w:rFonts w:ascii="宋体"/>
                <w:vanish/>
              </w:rPr>
            </w:pPr>
          </w:p>
        </w:tc>
        <w:tc>
          <w:tcPr>
            <w:tcW w:w="0" w:type="auto"/>
            <w:gridSpan w:val="3"/>
            <w:shd w:val="clear" w:color="auto" w:fill="auto"/>
            <w:vAlign w:val="bottom"/>
          </w:tcPr>
          <w:p w14:paraId="39D99101" w14:textId="77777777" w:rsidR="00996AD7" w:rsidRDefault="00996AD7">
            <w:pPr>
              <w:rPr>
                <w:rFonts w:ascii="宋体"/>
                <w:vanish/>
              </w:rPr>
            </w:pPr>
          </w:p>
        </w:tc>
        <w:tc>
          <w:tcPr>
            <w:tcW w:w="0" w:type="auto"/>
            <w:gridSpan w:val="3"/>
            <w:shd w:val="clear" w:color="auto" w:fill="auto"/>
            <w:vAlign w:val="bottom"/>
          </w:tcPr>
          <w:p w14:paraId="39D99102" w14:textId="77777777" w:rsidR="00996AD7" w:rsidRDefault="00996AD7">
            <w:pPr>
              <w:rPr>
                <w:rFonts w:ascii="宋体"/>
                <w:vanish/>
              </w:rPr>
            </w:pPr>
          </w:p>
        </w:tc>
      </w:tr>
      <w:tr w:rsidR="00996AD7" w14:paraId="39D99109" w14:textId="77777777">
        <w:trPr>
          <w:hidden/>
        </w:trPr>
        <w:tc>
          <w:tcPr>
            <w:tcW w:w="0" w:type="auto"/>
            <w:gridSpan w:val="3"/>
            <w:shd w:val="clear" w:color="auto" w:fill="auto"/>
            <w:vAlign w:val="bottom"/>
          </w:tcPr>
          <w:p w14:paraId="39D99104" w14:textId="77777777" w:rsidR="00996AD7" w:rsidRDefault="00996AD7">
            <w:pPr>
              <w:rPr>
                <w:rFonts w:ascii="宋体"/>
                <w:vanish/>
              </w:rPr>
            </w:pPr>
          </w:p>
        </w:tc>
        <w:tc>
          <w:tcPr>
            <w:tcW w:w="0" w:type="auto"/>
            <w:gridSpan w:val="3"/>
            <w:shd w:val="clear" w:color="auto" w:fill="auto"/>
            <w:vAlign w:val="bottom"/>
          </w:tcPr>
          <w:p w14:paraId="39D99105" w14:textId="77777777" w:rsidR="00996AD7" w:rsidRDefault="00996AD7">
            <w:pPr>
              <w:rPr>
                <w:rFonts w:ascii="宋体"/>
                <w:vanish/>
              </w:rPr>
            </w:pPr>
          </w:p>
        </w:tc>
        <w:tc>
          <w:tcPr>
            <w:tcW w:w="0" w:type="auto"/>
            <w:gridSpan w:val="3"/>
            <w:shd w:val="clear" w:color="auto" w:fill="auto"/>
            <w:vAlign w:val="bottom"/>
          </w:tcPr>
          <w:p w14:paraId="39D99106" w14:textId="77777777" w:rsidR="00996AD7" w:rsidRDefault="00996AD7">
            <w:pPr>
              <w:rPr>
                <w:rFonts w:ascii="宋体"/>
                <w:vanish/>
              </w:rPr>
            </w:pPr>
          </w:p>
        </w:tc>
        <w:tc>
          <w:tcPr>
            <w:tcW w:w="0" w:type="auto"/>
            <w:gridSpan w:val="3"/>
            <w:shd w:val="clear" w:color="auto" w:fill="auto"/>
            <w:vAlign w:val="bottom"/>
          </w:tcPr>
          <w:p w14:paraId="39D99107" w14:textId="77777777" w:rsidR="00996AD7" w:rsidRDefault="00996AD7">
            <w:pPr>
              <w:rPr>
                <w:rFonts w:ascii="宋体"/>
                <w:vanish/>
              </w:rPr>
            </w:pPr>
          </w:p>
        </w:tc>
        <w:tc>
          <w:tcPr>
            <w:tcW w:w="0" w:type="auto"/>
            <w:gridSpan w:val="3"/>
            <w:shd w:val="clear" w:color="auto" w:fill="auto"/>
            <w:vAlign w:val="bottom"/>
          </w:tcPr>
          <w:p w14:paraId="39D99108" w14:textId="77777777" w:rsidR="00996AD7" w:rsidRDefault="00996AD7">
            <w:pPr>
              <w:rPr>
                <w:rFonts w:ascii="宋体"/>
                <w:vanish/>
              </w:rPr>
            </w:pPr>
          </w:p>
        </w:tc>
      </w:tr>
      <w:tr w:rsidR="00996AD7" w14:paraId="39D9910F" w14:textId="77777777">
        <w:trPr>
          <w:hidden/>
        </w:trPr>
        <w:tc>
          <w:tcPr>
            <w:tcW w:w="0" w:type="auto"/>
            <w:gridSpan w:val="3"/>
            <w:shd w:val="clear" w:color="auto" w:fill="auto"/>
            <w:vAlign w:val="bottom"/>
          </w:tcPr>
          <w:p w14:paraId="39D9910A" w14:textId="77777777" w:rsidR="00996AD7" w:rsidRDefault="00996AD7">
            <w:pPr>
              <w:rPr>
                <w:rFonts w:ascii="宋体"/>
                <w:vanish/>
              </w:rPr>
            </w:pPr>
          </w:p>
        </w:tc>
        <w:tc>
          <w:tcPr>
            <w:tcW w:w="0" w:type="auto"/>
            <w:gridSpan w:val="3"/>
            <w:shd w:val="clear" w:color="auto" w:fill="auto"/>
            <w:vAlign w:val="bottom"/>
          </w:tcPr>
          <w:p w14:paraId="39D9910B" w14:textId="77777777" w:rsidR="00996AD7" w:rsidRDefault="00996AD7">
            <w:pPr>
              <w:rPr>
                <w:rFonts w:ascii="宋体"/>
                <w:vanish/>
              </w:rPr>
            </w:pPr>
          </w:p>
        </w:tc>
        <w:tc>
          <w:tcPr>
            <w:tcW w:w="0" w:type="auto"/>
            <w:gridSpan w:val="3"/>
            <w:shd w:val="clear" w:color="auto" w:fill="auto"/>
            <w:vAlign w:val="bottom"/>
          </w:tcPr>
          <w:p w14:paraId="39D9910C" w14:textId="77777777" w:rsidR="00996AD7" w:rsidRDefault="00996AD7">
            <w:pPr>
              <w:rPr>
                <w:rFonts w:ascii="宋体"/>
                <w:vanish/>
              </w:rPr>
            </w:pPr>
          </w:p>
        </w:tc>
        <w:tc>
          <w:tcPr>
            <w:tcW w:w="0" w:type="auto"/>
            <w:gridSpan w:val="3"/>
            <w:shd w:val="clear" w:color="auto" w:fill="auto"/>
            <w:vAlign w:val="bottom"/>
          </w:tcPr>
          <w:p w14:paraId="39D9910D" w14:textId="77777777" w:rsidR="00996AD7" w:rsidRDefault="00996AD7">
            <w:pPr>
              <w:rPr>
                <w:rFonts w:ascii="宋体"/>
                <w:vanish/>
              </w:rPr>
            </w:pPr>
          </w:p>
        </w:tc>
        <w:tc>
          <w:tcPr>
            <w:tcW w:w="0" w:type="auto"/>
            <w:gridSpan w:val="3"/>
            <w:shd w:val="clear" w:color="auto" w:fill="auto"/>
            <w:vAlign w:val="bottom"/>
          </w:tcPr>
          <w:p w14:paraId="39D9910E" w14:textId="77777777" w:rsidR="00996AD7" w:rsidRDefault="00996AD7">
            <w:pPr>
              <w:rPr>
                <w:rFonts w:ascii="宋体"/>
                <w:vanish/>
              </w:rPr>
            </w:pPr>
          </w:p>
        </w:tc>
      </w:tr>
      <w:tr w:rsidR="00996AD7" w14:paraId="39D99115" w14:textId="77777777">
        <w:trPr>
          <w:hidden/>
        </w:trPr>
        <w:tc>
          <w:tcPr>
            <w:tcW w:w="0" w:type="auto"/>
            <w:gridSpan w:val="3"/>
            <w:shd w:val="clear" w:color="auto" w:fill="auto"/>
            <w:vAlign w:val="bottom"/>
          </w:tcPr>
          <w:p w14:paraId="39D99110" w14:textId="77777777" w:rsidR="00996AD7" w:rsidRDefault="00996AD7">
            <w:pPr>
              <w:rPr>
                <w:rFonts w:ascii="宋体"/>
                <w:vanish/>
              </w:rPr>
            </w:pPr>
          </w:p>
        </w:tc>
        <w:tc>
          <w:tcPr>
            <w:tcW w:w="0" w:type="auto"/>
            <w:gridSpan w:val="3"/>
            <w:shd w:val="clear" w:color="auto" w:fill="auto"/>
            <w:vAlign w:val="bottom"/>
          </w:tcPr>
          <w:p w14:paraId="39D99111" w14:textId="77777777" w:rsidR="00996AD7" w:rsidRDefault="00996AD7">
            <w:pPr>
              <w:rPr>
                <w:rFonts w:ascii="宋体"/>
                <w:vanish/>
              </w:rPr>
            </w:pPr>
          </w:p>
        </w:tc>
        <w:tc>
          <w:tcPr>
            <w:tcW w:w="0" w:type="auto"/>
            <w:gridSpan w:val="3"/>
            <w:shd w:val="clear" w:color="auto" w:fill="auto"/>
            <w:vAlign w:val="bottom"/>
          </w:tcPr>
          <w:p w14:paraId="39D99112" w14:textId="77777777" w:rsidR="00996AD7" w:rsidRDefault="00996AD7">
            <w:pPr>
              <w:rPr>
                <w:rFonts w:ascii="宋体"/>
                <w:vanish/>
              </w:rPr>
            </w:pPr>
          </w:p>
        </w:tc>
        <w:tc>
          <w:tcPr>
            <w:tcW w:w="0" w:type="auto"/>
            <w:gridSpan w:val="3"/>
            <w:shd w:val="clear" w:color="auto" w:fill="auto"/>
            <w:vAlign w:val="bottom"/>
          </w:tcPr>
          <w:p w14:paraId="39D99113" w14:textId="77777777" w:rsidR="00996AD7" w:rsidRDefault="00996AD7">
            <w:pPr>
              <w:rPr>
                <w:rFonts w:ascii="宋体"/>
                <w:vanish/>
              </w:rPr>
            </w:pPr>
          </w:p>
        </w:tc>
        <w:tc>
          <w:tcPr>
            <w:tcW w:w="0" w:type="auto"/>
            <w:gridSpan w:val="3"/>
            <w:shd w:val="clear" w:color="auto" w:fill="auto"/>
            <w:vAlign w:val="bottom"/>
          </w:tcPr>
          <w:p w14:paraId="39D99114" w14:textId="77777777" w:rsidR="00996AD7" w:rsidRDefault="00996AD7">
            <w:pPr>
              <w:rPr>
                <w:rFonts w:ascii="宋体"/>
                <w:vanish/>
              </w:rPr>
            </w:pPr>
          </w:p>
        </w:tc>
      </w:tr>
      <w:tr w:rsidR="00996AD7" w14:paraId="39D9911B" w14:textId="77777777">
        <w:trPr>
          <w:hidden/>
        </w:trPr>
        <w:tc>
          <w:tcPr>
            <w:tcW w:w="0" w:type="auto"/>
            <w:gridSpan w:val="3"/>
            <w:shd w:val="clear" w:color="auto" w:fill="auto"/>
            <w:vAlign w:val="bottom"/>
          </w:tcPr>
          <w:p w14:paraId="39D99116" w14:textId="77777777" w:rsidR="00996AD7" w:rsidRDefault="00996AD7">
            <w:pPr>
              <w:rPr>
                <w:rFonts w:ascii="宋体"/>
                <w:vanish/>
              </w:rPr>
            </w:pPr>
          </w:p>
        </w:tc>
        <w:tc>
          <w:tcPr>
            <w:tcW w:w="0" w:type="auto"/>
            <w:gridSpan w:val="3"/>
            <w:shd w:val="clear" w:color="auto" w:fill="auto"/>
            <w:vAlign w:val="bottom"/>
          </w:tcPr>
          <w:p w14:paraId="39D99117" w14:textId="77777777" w:rsidR="00996AD7" w:rsidRDefault="00996AD7">
            <w:pPr>
              <w:rPr>
                <w:rFonts w:ascii="宋体"/>
                <w:vanish/>
              </w:rPr>
            </w:pPr>
          </w:p>
        </w:tc>
        <w:tc>
          <w:tcPr>
            <w:tcW w:w="0" w:type="auto"/>
            <w:gridSpan w:val="3"/>
            <w:shd w:val="clear" w:color="auto" w:fill="auto"/>
            <w:vAlign w:val="bottom"/>
          </w:tcPr>
          <w:p w14:paraId="39D99118" w14:textId="77777777" w:rsidR="00996AD7" w:rsidRDefault="00996AD7">
            <w:pPr>
              <w:rPr>
                <w:rFonts w:ascii="宋体"/>
                <w:vanish/>
              </w:rPr>
            </w:pPr>
          </w:p>
        </w:tc>
        <w:tc>
          <w:tcPr>
            <w:tcW w:w="0" w:type="auto"/>
            <w:gridSpan w:val="3"/>
            <w:shd w:val="clear" w:color="auto" w:fill="auto"/>
            <w:vAlign w:val="bottom"/>
          </w:tcPr>
          <w:p w14:paraId="39D99119" w14:textId="77777777" w:rsidR="00996AD7" w:rsidRDefault="00996AD7">
            <w:pPr>
              <w:rPr>
                <w:rFonts w:ascii="宋体"/>
                <w:vanish/>
              </w:rPr>
            </w:pPr>
          </w:p>
        </w:tc>
        <w:tc>
          <w:tcPr>
            <w:tcW w:w="0" w:type="auto"/>
            <w:gridSpan w:val="3"/>
            <w:shd w:val="clear" w:color="auto" w:fill="auto"/>
            <w:vAlign w:val="bottom"/>
          </w:tcPr>
          <w:p w14:paraId="39D9911A" w14:textId="77777777" w:rsidR="00996AD7" w:rsidRDefault="00996AD7">
            <w:pPr>
              <w:rPr>
                <w:rFonts w:ascii="宋体"/>
                <w:vanish/>
              </w:rPr>
            </w:pPr>
          </w:p>
        </w:tc>
      </w:tr>
      <w:tr w:rsidR="00996AD7" w14:paraId="39D99121" w14:textId="77777777">
        <w:trPr>
          <w:hidden/>
        </w:trPr>
        <w:tc>
          <w:tcPr>
            <w:tcW w:w="0" w:type="auto"/>
            <w:gridSpan w:val="3"/>
            <w:shd w:val="clear" w:color="auto" w:fill="auto"/>
            <w:vAlign w:val="bottom"/>
          </w:tcPr>
          <w:p w14:paraId="39D9911C" w14:textId="77777777" w:rsidR="00996AD7" w:rsidRDefault="00996AD7">
            <w:pPr>
              <w:rPr>
                <w:rFonts w:ascii="宋体"/>
                <w:vanish/>
              </w:rPr>
            </w:pPr>
          </w:p>
        </w:tc>
        <w:tc>
          <w:tcPr>
            <w:tcW w:w="0" w:type="auto"/>
            <w:gridSpan w:val="3"/>
            <w:shd w:val="clear" w:color="auto" w:fill="auto"/>
            <w:vAlign w:val="bottom"/>
          </w:tcPr>
          <w:p w14:paraId="39D9911D" w14:textId="77777777" w:rsidR="00996AD7" w:rsidRDefault="00996AD7">
            <w:pPr>
              <w:rPr>
                <w:rFonts w:ascii="宋体"/>
                <w:vanish/>
              </w:rPr>
            </w:pPr>
          </w:p>
        </w:tc>
        <w:tc>
          <w:tcPr>
            <w:tcW w:w="0" w:type="auto"/>
            <w:gridSpan w:val="3"/>
            <w:shd w:val="clear" w:color="auto" w:fill="auto"/>
            <w:vAlign w:val="bottom"/>
          </w:tcPr>
          <w:p w14:paraId="39D9911E" w14:textId="77777777" w:rsidR="00996AD7" w:rsidRDefault="00996AD7">
            <w:pPr>
              <w:rPr>
                <w:rFonts w:ascii="宋体"/>
                <w:vanish/>
              </w:rPr>
            </w:pPr>
          </w:p>
        </w:tc>
        <w:tc>
          <w:tcPr>
            <w:tcW w:w="0" w:type="auto"/>
            <w:gridSpan w:val="3"/>
            <w:shd w:val="clear" w:color="auto" w:fill="auto"/>
            <w:vAlign w:val="bottom"/>
          </w:tcPr>
          <w:p w14:paraId="39D9911F" w14:textId="77777777" w:rsidR="00996AD7" w:rsidRDefault="00996AD7">
            <w:pPr>
              <w:rPr>
                <w:rFonts w:ascii="宋体"/>
                <w:vanish/>
              </w:rPr>
            </w:pPr>
          </w:p>
        </w:tc>
        <w:tc>
          <w:tcPr>
            <w:tcW w:w="0" w:type="auto"/>
            <w:gridSpan w:val="3"/>
            <w:shd w:val="clear" w:color="auto" w:fill="auto"/>
            <w:vAlign w:val="bottom"/>
          </w:tcPr>
          <w:p w14:paraId="39D99120" w14:textId="77777777" w:rsidR="00996AD7" w:rsidRDefault="00996AD7">
            <w:pPr>
              <w:rPr>
                <w:rFonts w:ascii="宋体"/>
                <w:vanish/>
              </w:rPr>
            </w:pPr>
          </w:p>
        </w:tc>
      </w:tr>
      <w:tr w:rsidR="00996AD7" w14:paraId="39D99125" w14:textId="77777777">
        <w:tc>
          <w:tcPr>
            <w:tcW w:w="0" w:type="auto"/>
            <w:gridSpan w:val="3"/>
            <w:shd w:val="clear" w:color="auto" w:fill="auto"/>
            <w:tcMar>
              <w:top w:w="40" w:type="dxa"/>
              <w:left w:w="20" w:type="dxa"/>
              <w:bottom w:w="40" w:type="dxa"/>
              <w:right w:w="20" w:type="dxa"/>
            </w:tcMar>
          </w:tcPr>
          <w:p w14:paraId="39D99122" w14:textId="77777777" w:rsidR="00996AD7" w:rsidRDefault="00D96458">
            <w:pPr>
              <w:textAlignment w:val="top"/>
            </w:pPr>
            <w:r>
              <w:rPr>
                <w:rFonts w:ascii="Arial" w:eastAsia="宋体" w:hAnsi="Arial" w:cs="Arial"/>
                <w:color w:val="0068B5"/>
                <w:sz w:val="18"/>
                <w:szCs w:val="18"/>
              </w:rPr>
              <w:t>Form 10-K</w:t>
            </w:r>
          </w:p>
        </w:tc>
        <w:tc>
          <w:tcPr>
            <w:tcW w:w="0" w:type="auto"/>
            <w:gridSpan w:val="3"/>
            <w:shd w:val="clear" w:color="auto" w:fill="auto"/>
            <w:tcMar>
              <w:top w:w="0" w:type="dxa"/>
              <w:left w:w="20" w:type="dxa"/>
              <w:bottom w:w="0" w:type="dxa"/>
              <w:right w:w="20" w:type="dxa"/>
            </w:tcMar>
            <w:vAlign w:val="bottom"/>
          </w:tcPr>
          <w:p w14:paraId="39D99123"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124" w14:textId="77777777" w:rsidR="00996AD7" w:rsidRDefault="00D96458">
            <w:pPr>
              <w:textAlignment w:val="top"/>
            </w:pPr>
            <w:r>
              <w:rPr>
                <w:rFonts w:ascii="Arial" w:eastAsia="宋体" w:hAnsi="Arial" w:cs="Arial"/>
                <w:color w:val="262626"/>
                <w:sz w:val="18"/>
                <w:szCs w:val="18"/>
              </w:rPr>
              <w:t xml:space="preserve">Annual Report on </w:t>
            </w:r>
            <w:r>
              <w:rPr>
                <w:rFonts w:ascii="Arial" w:eastAsia="宋体" w:hAnsi="Arial" w:cs="Arial"/>
                <w:color w:val="262626"/>
                <w:sz w:val="18"/>
                <w:szCs w:val="18"/>
              </w:rPr>
              <w:t>Form 10-K</w:t>
            </w:r>
          </w:p>
        </w:tc>
      </w:tr>
      <w:tr w:rsidR="00996AD7" w14:paraId="39D99129" w14:textId="77777777">
        <w:tc>
          <w:tcPr>
            <w:tcW w:w="0" w:type="auto"/>
            <w:gridSpan w:val="3"/>
            <w:shd w:val="clear" w:color="auto" w:fill="auto"/>
            <w:tcMar>
              <w:top w:w="40" w:type="dxa"/>
              <w:left w:w="20" w:type="dxa"/>
              <w:bottom w:w="40" w:type="dxa"/>
              <w:right w:w="20" w:type="dxa"/>
            </w:tcMar>
          </w:tcPr>
          <w:p w14:paraId="39D99126" w14:textId="77777777" w:rsidR="00996AD7" w:rsidRDefault="00D96458">
            <w:pPr>
              <w:textAlignment w:val="top"/>
            </w:pPr>
            <w:r>
              <w:rPr>
                <w:rFonts w:ascii="Arial" w:eastAsia="宋体" w:hAnsi="Arial" w:cs="Arial"/>
                <w:color w:val="0068B5"/>
                <w:sz w:val="18"/>
                <w:szCs w:val="18"/>
              </w:rPr>
              <w:t>Form 10-Q</w:t>
            </w:r>
          </w:p>
        </w:tc>
        <w:tc>
          <w:tcPr>
            <w:tcW w:w="0" w:type="auto"/>
            <w:gridSpan w:val="3"/>
            <w:shd w:val="clear" w:color="auto" w:fill="auto"/>
            <w:tcMar>
              <w:top w:w="0" w:type="dxa"/>
              <w:left w:w="20" w:type="dxa"/>
              <w:bottom w:w="0" w:type="dxa"/>
              <w:right w:w="20" w:type="dxa"/>
            </w:tcMar>
            <w:vAlign w:val="bottom"/>
          </w:tcPr>
          <w:p w14:paraId="39D99127"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128" w14:textId="77777777" w:rsidR="00996AD7" w:rsidRDefault="00D96458">
            <w:pPr>
              <w:textAlignment w:val="top"/>
            </w:pPr>
            <w:r>
              <w:rPr>
                <w:rFonts w:ascii="Arial" w:eastAsia="宋体" w:hAnsi="Arial" w:cs="Arial"/>
                <w:color w:val="262626"/>
                <w:sz w:val="18"/>
                <w:szCs w:val="18"/>
              </w:rPr>
              <w:t>Quarterly Report on Form 10-Q</w:t>
            </w:r>
          </w:p>
        </w:tc>
      </w:tr>
      <w:tr w:rsidR="00996AD7" w14:paraId="39D9912D" w14:textId="77777777">
        <w:tc>
          <w:tcPr>
            <w:tcW w:w="0" w:type="auto"/>
            <w:gridSpan w:val="3"/>
            <w:shd w:val="clear" w:color="auto" w:fill="auto"/>
            <w:tcMar>
              <w:top w:w="40" w:type="dxa"/>
              <w:left w:w="20" w:type="dxa"/>
              <w:bottom w:w="40" w:type="dxa"/>
              <w:right w:w="20" w:type="dxa"/>
            </w:tcMar>
          </w:tcPr>
          <w:p w14:paraId="39D9912A" w14:textId="77777777" w:rsidR="00996AD7" w:rsidRDefault="00D96458">
            <w:pPr>
              <w:textAlignment w:val="top"/>
            </w:pPr>
            <w:r>
              <w:rPr>
                <w:rFonts w:ascii="Arial" w:eastAsia="宋体" w:hAnsi="Arial" w:cs="Arial"/>
                <w:color w:val="0068B5"/>
                <w:sz w:val="18"/>
                <w:szCs w:val="18"/>
              </w:rPr>
              <w:t>FPGA</w:t>
            </w:r>
          </w:p>
        </w:tc>
        <w:tc>
          <w:tcPr>
            <w:tcW w:w="0" w:type="auto"/>
            <w:gridSpan w:val="3"/>
            <w:shd w:val="clear" w:color="auto" w:fill="auto"/>
            <w:tcMar>
              <w:top w:w="0" w:type="dxa"/>
              <w:left w:w="20" w:type="dxa"/>
              <w:bottom w:w="0" w:type="dxa"/>
              <w:right w:w="20" w:type="dxa"/>
            </w:tcMar>
            <w:vAlign w:val="bottom"/>
          </w:tcPr>
          <w:p w14:paraId="39D9912B"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12C" w14:textId="77777777" w:rsidR="00996AD7" w:rsidRDefault="00D96458">
            <w:pPr>
              <w:textAlignment w:val="top"/>
            </w:pPr>
            <w:r>
              <w:rPr>
                <w:rFonts w:ascii="Arial" w:eastAsia="宋体" w:hAnsi="Arial" w:cs="Arial"/>
                <w:color w:val="262626"/>
                <w:sz w:val="18"/>
                <w:szCs w:val="18"/>
              </w:rPr>
              <w:t>Field-programmable gate array</w:t>
            </w:r>
          </w:p>
        </w:tc>
      </w:tr>
      <w:tr w:rsidR="00996AD7" w14:paraId="39D99133" w14:textId="77777777">
        <w:trPr>
          <w:hidden/>
        </w:trPr>
        <w:tc>
          <w:tcPr>
            <w:tcW w:w="0" w:type="auto"/>
            <w:gridSpan w:val="3"/>
            <w:shd w:val="clear" w:color="auto" w:fill="auto"/>
            <w:vAlign w:val="bottom"/>
          </w:tcPr>
          <w:p w14:paraId="39D9912E" w14:textId="77777777" w:rsidR="00996AD7" w:rsidRDefault="00996AD7">
            <w:pPr>
              <w:rPr>
                <w:rFonts w:ascii="宋体"/>
                <w:vanish/>
              </w:rPr>
            </w:pPr>
          </w:p>
        </w:tc>
        <w:tc>
          <w:tcPr>
            <w:tcW w:w="0" w:type="auto"/>
            <w:gridSpan w:val="3"/>
            <w:shd w:val="clear" w:color="auto" w:fill="auto"/>
            <w:vAlign w:val="bottom"/>
          </w:tcPr>
          <w:p w14:paraId="39D9912F" w14:textId="77777777" w:rsidR="00996AD7" w:rsidRDefault="00996AD7">
            <w:pPr>
              <w:rPr>
                <w:rFonts w:ascii="宋体"/>
                <w:vanish/>
              </w:rPr>
            </w:pPr>
          </w:p>
        </w:tc>
        <w:tc>
          <w:tcPr>
            <w:tcW w:w="0" w:type="auto"/>
            <w:gridSpan w:val="3"/>
            <w:shd w:val="clear" w:color="auto" w:fill="auto"/>
            <w:vAlign w:val="bottom"/>
          </w:tcPr>
          <w:p w14:paraId="39D99130" w14:textId="77777777" w:rsidR="00996AD7" w:rsidRDefault="00996AD7">
            <w:pPr>
              <w:rPr>
                <w:rFonts w:ascii="宋体"/>
                <w:vanish/>
              </w:rPr>
            </w:pPr>
          </w:p>
        </w:tc>
        <w:tc>
          <w:tcPr>
            <w:tcW w:w="0" w:type="auto"/>
            <w:gridSpan w:val="3"/>
            <w:shd w:val="clear" w:color="auto" w:fill="auto"/>
            <w:vAlign w:val="bottom"/>
          </w:tcPr>
          <w:p w14:paraId="39D99131" w14:textId="77777777" w:rsidR="00996AD7" w:rsidRDefault="00996AD7">
            <w:pPr>
              <w:rPr>
                <w:rFonts w:ascii="宋体"/>
                <w:vanish/>
              </w:rPr>
            </w:pPr>
          </w:p>
        </w:tc>
        <w:tc>
          <w:tcPr>
            <w:tcW w:w="0" w:type="auto"/>
            <w:gridSpan w:val="3"/>
            <w:shd w:val="clear" w:color="auto" w:fill="auto"/>
            <w:vAlign w:val="bottom"/>
          </w:tcPr>
          <w:p w14:paraId="39D99132" w14:textId="77777777" w:rsidR="00996AD7" w:rsidRDefault="00996AD7">
            <w:pPr>
              <w:rPr>
                <w:rFonts w:ascii="宋体"/>
                <w:vanish/>
              </w:rPr>
            </w:pPr>
          </w:p>
        </w:tc>
      </w:tr>
      <w:tr w:rsidR="00996AD7" w14:paraId="39D99139" w14:textId="77777777">
        <w:trPr>
          <w:hidden/>
        </w:trPr>
        <w:tc>
          <w:tcPr>
            <w:tcW w:w="0" w:type="auto"/>
            <w:gridSpan w:val="3"/>
            <w:shd w:val="clear" w:color="auto" w:fill="auto"/>
            <w:vAlign w:val="bottom"/>
          </w:tcPr>
          <w:p w14:paraId="39D99134" w14:textId="77777777" w:rsidR="00996AD7" w:rsidRDefault="00996AD7">
            <w:pPr>
              <w:rPr>
                <w:rFonts w:ascii="宋体"/>
                <w:vanish/>
              </w:rPr>
            </w:pPr>
          </w:p>
        </w:tc>
        <w:tc>
          <w:tcPr>
            <w:tcW w:w="0" w:type="auto"/>
            <w:gridSpan w:val="3"/>
            <w:shd w:val="clear" w:color="auto" w:fill="auto"/>
            <w:vAlign w:val="bottom"/>
          </w:tcPr>
          <w:p w14:paraId="39D99135" w14:textId="77777777" w:rsidR="00996AD7" w:rsidRDefault="00996AD7">
            <w:pPr>
              <w:rPr>
                <w:rFonts w:ascii="宋体"/>
                <w:vanish/>
              </w:rPr>
            </w:pPr>
          </w:p>
        </w:tc>
        <w:tc>
          <w:tcPr>
            <w:tcW w:w="0" w:type="auto"/>
            <w:gridSpan w:val="3"/>
            <w:shd w:val="clear" w:color="auto" w:fill="auto"/>
            <w:vAlign w:val="bottom"/>
          </w:tcPr>
          <w:p w14:paraId="39D99136" w14:textId="77777777" w:rsidR="00996AD7" w:rsidRDefault="00996AD7">
            <w:pPr>
              <w:rPr>
                <w:rFonts w:ascii="宋体"/>
                <w:vanish/>
              </w:rPr>
            </w:pPr>
          </w:p>
        </w:tc>
        <w:tc>
          <w:tcPr>
            <w:tcW w:w="0" w:type="auto"/>
            <w:gridSpan w:val="3"/>
            <w:shd w:val="clear" w:color="auto" w:fill="auto"/>
            <w:vAlign w:val="bottom"/>
          </w:tcPr>
          <w:p w14:paraId="39D99137" w14:textId="77777777" w:rsidR="00996AD7" w:rsidRDefault="00996AD7">
            <w:pPr>
              <w:rPr>
                <w:rFonts w:ascii="宋体"/>
                <w:vanish/>
              </w:rPr>
            </w:pPr>
          </w:p>
        </w:tc>
        <w:tc>
          <w:tcPr>
            <w:tcW w:w="0" w:type="auto"/>
            <w:gridSpan w:val="3"/>
            <w:shd w:val="clear" w:color="auto" w:fill="auto"/>
            <w:vAlign w:val="bottom"/>
          </w:tcPr>
          <w:p w14:paraId="39D99138" w14:textId="77777777" w:rsidR="00996AD7" w:rsidRDefault="00996AD7">
            <w:pPr>
              <w:rPr>
                <w:rFonts w:ascii="宋体"/>
                <w:vanish/>
              </w:rPr>
            </w:pPr>
          </w:p>
        </w:tc>
      </w:tr>
      <w:tr w:rsidR="00996AD7" w14:paraId="39D9913F" w14:textId="77777777">
        <w:trPr>
          <w:hidden/>
        </w:trPr>
        <w:tc>
          <w:tcPr>
            <w:tcW w:w="0" w:type="auto"/>
            <w:gridSpan w:val="3"/>
            <w:shd w:val="clear" w:color="auto" w:fill="auto"/>
            <w:vAlign w:val="bottom"/>
          </w:tcPr>
          <w:p w14:paraId="39D9913A" w14:textId="77777777" w:rsidR="00996AD7" w:rsidRDefault="00996AD7">
            <w:pPr>
              <w:rPr>
                <w:rFonts w:ascii="宋体"/>
                <w:vanish/>
              </w:rPr>
            </w:pPr>
          </w:p>
        </w:tc>
        <w:tc>
          <w:tcPr>
            <w:tcW w:w="0" w:type="auto"/>
            <w:gridSpan w:val="3"/>
            <w:shd w:val="clear" w:color="auto" w:fill="auto"/>
            <w:vAlign w:val="bottom"/>
          </w:tcPr>
          <w:p w14:paraId="39D9913B" w14:textId="77777777" w:rsidR="00996AD7" w:rsidRDefault="00996AD7">
            <w:pPr>
              <w:rPr>
                <w:rFonts w:ascii="宋体"/>
                <w:vanish/>
              </w:rPr>
            </w:pPr>
          </w:p>
        </w:tc>
        <w:tc>
          <w:tcPr>
            <w:tcW w:w="0" w:type="auto"/>
            <w:gridSpan w:val="3"/>
            <w:shd w:val="clear" w:color="auto" w:fill="auto"/>
            <w:vAlign w:val="bottom"/>
          </w:tcPr>
          <w:p w14:paraId="39D9913C" w14:textId="77777777" w:rsidR="00996AD7" w:rsidRDefault="00996AD7">
            <w:pPr>
              <w:rPr>
                <w:rFonts w:ascii="宋体"/>
                <w:vanish/>
              </w:rPr>
            </w:pPr>
          </w:p>
        </w:tc>
        <w:tc>
          <w:tcPr>
            <w:tcW w:w="0" w:type="auto"/>
            <w:gridSpan w:val="3"/>
            <w:shd w:val="clear" w:color="auto" w:fill="auto"/>
            <w:vAlign w:val="bottom"/>
          </w:tcPr>
          <w:p w14:paraId="39D9913D" w14:textId="77777777" w:rsidR="00996AD7" w:rsidRDefault="00996AD7">
            <w:pPr>
              <w:rPr>
                <w:rFonts w:ascii="宋体"/>
                <w:vanish/>
              </w:rPr>
            </w:pPr>
          </w:p>
        </w:tc>
        <w:tc>
          <w:tcPr>
            <w:tcW w:w="0" w:type="auto"/>
            <w:gridSpan w:val="3"/>
            <w:shd w:val="clear" w:color="auto" w:fill="auto"/>
            <w:vAlign w:val="bottom"/>
          </w:tcPr>
          <w:p w14:paraId="39D9913E" w14:textId="77777777" w:rsidR="00996AD7" w:rsidRDefault="00996AD7">
            <w:pPr>
              <w:rPr>
                <w:rFonts w:ascii="宋体"/>
                <w:vanish/>
              </w:rPr>
            </w:pPr>
          </w:p>
        </w:tc>
      </w:tr>
      <w:tr w:rsidR="00996AD7" w14:paraId="39D99145" w14:textId="77777777">
        <w:trPr>
          <w:hidden/>
        </w:trPr>
        <w:tc>
          <w:tcPr>
            <w:tcW w:w="0" w:type="auto"/>
            <w:gridSpan w:val="3"/>
            <w:shd w:val="clear" w:color="auto" w:fill="auto"/>
            <w:vAlign w:val="bottom"/>
          </w:tcPr>
          <w:p w14:paraId="39D99140" w14:textId="77777777" w:rsidR="00996AD7" w:rsidRDefault="00996AD7">
            <w:pPr>
              <w:rPr>
                <w:rFonts w:ascii="宋体"/>
                <w:vanish/>
              </w:rPr>
            </w:pPr>
          </w:p>
        </w:tc>
        <w:tc>
          <w:tcPr>
            <w:tcW w:w="0" w:type="auto"/>
            <w:gridSpan w:val="3"/>
            <w:shd w:val="clear" w:color="auto" w:fill="auto"/>
            <w:vAlign w:val="bottom"/>
          </w:tcPr>
          <w:p w14:paraId="39D99141" w14:textId="77777777" w:rsidR="00996AD7" w:rsidRDefault="00996AD7">
            <w:pPr>
              <w:rPr>
                <w:rFonts w:ascii="宋体"/>
                <w:vanish/>
              </w:rPr>
            </w:pPr>
          </w:p>
        </w:tc>
        <w:tc>
          <w:tcPr>
            <w:tcW w:w="0" w:type="auto"/>
            <w:gridSpan w:val="3"/>
            <w:shd w:val="clear" w:color="auto" w:fill="auto"/>
            <w:vAlign w:val="bottom"/>
          </w:tcPr>
          <w:p w14:paraId="39D99142" w14:textId="77777777" w:rsidR="00996AD7" w:rsidRDefault="00996AD7">
            <w:pPr>
              <w:rPr>
                <w:rFonts w:ascii="宋体"/>
                <w:vanish/>
              </w:rPr>
            </w:pPr>
          </w:p>
        </w:tc>
        <w:tc>
          <w:tcPr>
            <w:tcW w:w="0" w:type="auto"/>
            <w:gridSpan w:val="3"/>
            <w:shd w:val="clear" w:color="auto" w:fill="auto"/>
            <w:vAlign w:val="bottom"/>
          </w:tcPr>
          <w:p w14:paraId="39D99143" w14:textId="77777777" w:rsidR="00996AD7" w:rsidRDefault="00996AD7">
            <w:pPr>
              <w:rPr>
                <w:rFonts w:ascii="宋体"/>
                <w:vanish/>
              </w:rPr>
            </w:pPr>
          </w:p>
        </w:tc>
        <w:tc>
          <w:tcPr>
            <w:tcW w:w="0" w:type="auto"/>
            <w:gridSpan w:val="3"/>
            <w:shd w:val="clear" w:color="auto" w:fill="auto"/>
            <w:vAlign w:val="bottom"/>
          </w:tcPr>
          <w:p w14:paraId="39D99144" w14:textId="77777777" w:rsidR="00996AD7" w:rsidRDefault="00996AD7">
            <w:pPr>
              <w:rPr>
                <w:rFonts w:ascii="宋体"/>
                <w:vanish/>
              </w:rPr>
            </w:pPr>
          </w:p>
        </w:tc>
      </w:tr>
      <w:tr w:rsidR="00996AD7" w14:paraId="39D9914B" w14:textId="77777777">
        <w:trPr>
          <w:hidden/>
        </w:trPr>
        <w:tc>
          <w:tcPr>
            <w:tcW w:w="0" w:type="auto"/>
            <w:gridSpan w:val="3"/>
            <w:shd w:val="clear" w:color="auto" w:fill="auto"/>
            <w:vAlign w:val="bottom"/>
          </w:tcPr>
          <w:p w14:paraId="39D99146" w14:textId="77777777" w:rsidR="00996AD7" w:rsidRDefault="00996AD7">
            <w:pPr>
              <w:rPr>
                <w:rFonts w:ascii="宋体"/>
                <w:vanish/>
              </w:rPr>
            </w:pPr>
          </w:p>
        </w:tc>
        <w:tc>
          <w:tcPr>
            <w:tcW w:w="0" w:type="auto"/>
            <w:gridSpan w:val="3"/>
            <w:shd w:val="clear" w:color="auto" w:fill="auto"/>
            <w:vAlign w:val="bottom"/>
          </w:tcPr>
          <w:p w14:paraId="39D99147" w14:textId="77777777" w:rsidR="00996AD7" w:rsidRDefault="00996AD7">
            <w:pPr>
              <w:rPr>
                <w:rFonts w:ascii="宋体"/>
                <w:vanish/>
              </w:rPr>
            </w:pPr>
          </w:p>
        </w:tc>
        <w:tc>
          <w:tcPr>
            <w:tcW w:w="0" w:type="auto"/>
            <w:gridSpan w:val="3"/>
            <w:shd w:val="clear" w:color="auto" w:fill="auto"/>
            <w:vAlign w:val="bottom"/>
          </w:tcPr>
          <w:p w14:paraId="39D99148" w14:textId="77777777" w:rsidR="00996AD7" w:rsidRDefault="00996AD7">
            <w:pPr>
              <w:rPr>
                <w:rFonts w:ascii="宋体"/>
                <w:vanish/>
              </w:rPr>
            </w:pPr>
          </w:p>
        </w:tc>
        <w:tc>
          <w:tcPr>
            <w:tcW w:w="0" w:type="auto"/>
            <w:gridSpan w:val="3"/>
            <w:shd w:val="clear" w:color="auto" w:fill="auto"/>
            <w:vAlign w:val="bottom"/>
          </w:tcPr>
          <w:p w14:paraId="39D99149" w14:textId="77777777" w:rsidR="00996AD7" w:rsidRDefault="00996AD7">
            <w:pPr>
              <w:rPr>
                <w:rFonts w:ascii="宋体"/>
                <w:vanish/>
              </w:rPr>
            </w:pPr>
          </w:p>
        </w:tc>
        <w:tc>
          <w:tcPr>
            <w:tcW w:w="0" w:type="auto"/>
            <w:gridSpan w:val="3"/>
            <w:shd w:val="clear" w:color="auto" w:fill="auto"/>
            <w:vAlign w:val="bottom"/>
          </w:tcPr>
          <w:p w14:paraId="39D9914A" w14:textId="77777777" w:rsidR="00996AD7" w:rsidRDefault="00996AD7">
            <w:pPr>
              <w:rPr>
                <w:rFonts w:ascii="宋体"/>
                <w:vanish/>
              </w:rPr>
            </w:pPr>
          </w:p>
        </w:tc>
      </w:tr>
      <w:tr w:rsidR="00996AD7" w14:paraId="39D99151" w14:textId="77777777">
        <w:trPr>
          <w:hidden/>
        </w:trPr>
        <w:tc>
          <w:tcPr>
            <w:tcW w:w="0" w:type="auto"/>
            <w:gridSpan w:val="3"/>
            <w:shd w:val="clear" w:color="auto" w:fill="auto"/>
            <w:vAlign w:val="bottom"/>
          </w:tcPr>
          <w:p w14:paraId="39D9914C" w14:textId="77777777" w:rsidR="00996AD7" w:rsidRDefault="00996AD7">
            <w:pPr>
              <w:rPr>
                <w:rFonts w:ascii="宋体"/>
                <w:vanish/>
              </w:rPr>
            </w:pPr>
          </w:p>
        </w:tc>
        <w:tc>
          <w:tcPr>
            <w:tcW w:w="0" w:type="auto"/>
            <w:gridSpan w:val="3"/>
            <w:shd w:val="clear" w:color="auto" w:fill="auto"/>
            <w:vAlign w:val="bottom"/>
          </w:tcPr>
          <w:p w14:paraId="39D9914D" w14:textId="77777777" w:rsidR="00996AD7" w:rsidRDefault="00996AD7">
            <w:pPr>
              <w:rPr>
                <w:rFonts w:ascii="宋体"/>
                <w:vanish/>
              </w:rPr>
            </w:pPr>
          </w:p>
        </w:tc>
        <w:tc>
          <w:tcPr>
            <w:tcW w:w="0" w:type="auto"/>
            <w:gridSpan w:val="3"/>
            <w:shd w:val="clear" w:color="auto" w:fill="auto"/>
            <w:vAlign w:val="bottom"/>
          </w:tcPr>
          <w:p w14:paraId="39D9914E" w14:textId="77777777" w:rsidR="00996AD7" w:rsidRDefault="00996AD7">
            <w:pPr>
              <w:rPr>
                <w:rFonts w:ascii="宋体"/>
                <w:vanish/>
              </w:rPr>
            </w:pPr>
          </w:p>
        </w:tc>
        <w:tc>
          <w:tcPr>
            <w:tcW w:w="0" w:type="auto"/>
            <w:gridSpan w:val="3"/>
            <w:shd w:val="clear" w:color="auto" w:fill="auto"/>
            <w:vAlign w:val="bottom"/>
          </w:tcPr>
          <w:p w14:paraId="39D9914F" w14:textId="77777777" w:rsidR="00996AD7" w:rsidRDefault="00996AD7">
            <w:pPr>
              <w:rPr>
                <w:rFonts w:ascii="宋体"/>
                <w:vanish/>
              </w:rPr>
            </w:pPr>
          </w:p>
        </w:tc>
        <w:tc>
          <w:tcPr>
            <w:tcW w:w="0" w:type="auto"/>
            <w:gridSpan w:val="3"/>
            <w:shd w:val="clear" w:color="auto" w:fill="auto"/>
            <w:vAlign w:val="bottom"/>
          </w:tcPr>
          <w:p w14:paraId="39D99150" w14:textId="77777777" w:rsidR="00996AD7" w:rsidRDefault="00996AD7">
            <w:pPr>
              <w:rPr>
                <w:rFonts w:ascii="宋体"/>
                <w:vanish/>
              </w:rPr>
            </w:pPr>
          </w:p>
        </w:tc>
      </w:tr>
      <w:tr w:rsidR="00996AD7" w14:paraId="39D99155" w14:textId="77777777">
        <w:tc>
          <w:tcPr>
            <w:tcW w:w="0" w:type="auto"/>
            <w:gridSpan w:val="3"/>
            <w:shd w:val="clear" w:color="auto" w:fill="auto"/>
            <w:tcMar>
              <w:top w:w="40" w:type="dxa"/>
              <w:left w:w="20" w:type="dxa"/>
              <w:bottom w:w="40" w:type="dxa"/>
              <w:right w:w="20" w:type="dxa"/>
            </w:tcMar>
          </w:tcPr>
          <w:p w14:paraId="39D99152" w14:textId="77777777" w:rsidR="00996AD7" w:rsidRDefault="00D96458">
            <w:pPr>
              <w:textAlignment w:val="top"/>
            </w:pPr>
            <w:r>
              <w:rPr>
                <w:rFonts w:ascii="Arial" w:eastAsia="宋体" w:hAnsi="Arial" w:cs="Arial"/>
                <w:color w:val="0068B5"/>
                <w:sz w:val="18"/>
                <w:szCs w:val="18"/>
              </w:rPr>
              <w:t>Internet of Things</w:t>
            </w:r>
          </w:p>
        </w:tc>
        <w:tc>
          <w:tcPr>
            <w:tcW w:w="0" w:type="auto"/>
            <w:gridSpan w:val="3"/>
            <w:shd w:val="clear" w:color="auto" w:fill="auto"/>
            <w:tcMar>
              <w:top w:w="0" w:type="dxa"/>
              <w:left w:w="20" w:type="dxa"/>
              <w:bottom w:w="0" w:type="dxa"/>
              <w:right w:w="20" w:type="dxa"/>
            </w:tcMar>
            <w:vAlign w:val="bottom"/>
          </w:tcPr>
          <w:p w14:paraId="39D99153"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154" w14:textId="77777777" w:rsidR="00996AD7" w:rsidRDefault="00D96458">
            <w:pPr>
              <w:textAlignment w:val="top"/>
            </w:pPr>
            <w:r>
              <w:rPr>
                <w:rFonts w:ascii="Arial" w:eastAsia="宋体" w:hAnsi="Arial" w:cs="Arial"/>
                <w:color w:val="262626"/>
                <w:sz w:val="18"/>
                <w:szCs w:val="18"/>
              </w:rPr>
              <w:t>The Internet of Things market in which we sell our IOTG and Mobileye products</w:t>
            </w:r>
          </w:p>
        </w:tc>
      </w:tr>
      <w:tr w:rsidR="00996AD7" w14:paraId="39D9915B" w14:textId="77777777">
        <w:trPr>
          <w:hidden/>
        </w:trPr>
        <w:tc>
          <w:tcPr>
            <w:tcW w:w="0" w:type="auto"/>
            <w:gridSpan w:val="3"/>
            <w:shd w:val="clear" w:color="auto" w:fill="auto"/>
            <w:vAlign w:val="bottom"/>
          </w:tcPr>
          <w:p w14:paraId="39D99156" w14:textId="77777777" w:rsidR="00996AD7" w:rsidRDefault="00996AD7">
            <w:pPr>
              <w:rPr>
                <w:rFonts w:ascii="宋体"/>
                <w:vanish/>
              </w:rPr>
            </w:pPr>
          </w:p>
        </w:tc>
        <w:tc>
          <w:tcPr>
            <w:tcW w:w="0" w:type="auto"/>
            <w:gridSpan w:val="3"/>
            <w:shd w:val="clear" w:color="auto" w:fill="auto"/>
            <w:vAlign w:val="bottom"/>
          </w:tcPr>
          <w:p w14:paraId="39D99157" w14:textId="77777777" w:rsidR="00996AD7" w:rsidRDefault="00996AD7">
            <w:pPr>
              <w:rPr>
                <w:rFonts w:ascii="宋体"/>
                <w:vanish/>
              </w:rPr>
            </w:pPr>
          </w:p>
        </w:tc>
        <w:tc>
          <w:tcPr>
            <w:tcW w:w="0" w:type="auto"/>
            <w:gridSpan w:val="3"/>
            <w:shd w:val="clear" w:color="auto" w:fill="auto"/>
            <w:vAlign w:val="bottom"/>
          </w:tcPr>
          <w:p w14:paraId="39D99158" w14:textId="77777777" w:rsidR="00996AD7" w:rsidRDefault="00996AD7">
            <w:pPr>
              <w:rPr>
                <w:rFonts w:ascii="宋体"/>
                <w:vanish/>
              </w:rPr>
            </w:pPr>
          </w:p>
        </w:tc>
        <w:tc>
          <w:tcPr>
            <w:tcW w:w="0" w:type="auto"/>
            <w:gridSpan w:val="3"/>
            <w:shd w:val="clear" w:color="auto" w:fill="auto"/>
            <w:vAlign w:val="bottom"/>
          </w:tcPr>
          <w:p w14:paraId="39D99159" w14:textId="77777777" w:rsidR="00996AD7" w:rsidRDefault="00996AD7">
            <w:pPr>
              <w:rPr>
                <w:rFonts w:ascii="宋体"/>
                <w:vanish/>
              </w:rPr>
            </w:pPr>
          </w:p>
        </w:tc>
        <w:tc>
          <w:tcPr>
            <w:tcW w:w="0" w:type="auto"/>
            <w:gridSpan w:val="3"/>
            <w:shd w:val="clear" w:color="auto" w:fill="auto"/>
            <w:vAlign w:val="bottom"/>
          </w:tcPr>
          <w:p w14:paraId="39D9915A" w14:textId="77777777" w:rsidR="00996AD7" w:rsidRDefault="00996AD7">
            <w:pPr>
              <w:rPr>
                <w:rFonts w:ascii="宋体"/>
                <w:vanish/>
              </w:rPr>
            </w:pPr>
          </w:p>
        </w:tc>
      </w:tr>
      <w:tr w:rsidR="00996AD7" w14:paraId="39D9915F" w14:textId="77777777">
        <w:tc>
          <w:tcPr>
            <w:tcW w:w="0" w:type="auto"/>
            <w:gridSpan w:val="3"/>
            <w:shd w:val="clear" w:color="auto" w:fill="auto"/>
            <w:tcMar>
              <w:top w:w="40" w:type="dxa"/>
              <w:left w:w="20" w:type="dxa"/>
              <w:bottom w:w="40" w:type="dxa"/>
              <w:right w:w="20" w:type="dxa"/>
            </w:tcMar>
          </w:tcPr>
          <w:p w14:paraId="39D9915C" w14:textId="77777777" w:rsidR="00996AD7" w:rsidRDefault="00D96458">
            <w:pPr>
              <w:textAlignment w:val="top"/>
            </w:pPr>
            <w:r>
              <w:rPr>
                <w:rFonts w:ascii="Arial" w:eastAsia="宋体" w:hAnsi="Arial" w:cs="Arial"/>
                <w:color w:val="0068B5"/>
                <w:sz w:val="18"/>
                <w:szCs w:val="18"/>
              </w:rPr>
              <w:t>IOTG</w:t>
            </w:r>
          </w:p>
        </w:tc>
        <w:tc>
          <w:tcPr>
            <w:tcW w:w="0" w:type="auto"/>
            <w:gridSpan w:val="3"/>
            <w:shd w:val="clear" w:color="auto" w:fill="auto"/>
            <w:tcMar>
              <w:top w:w="0" w:type="dxa"/>
              <w:left w:w="20" w:type="dxa"/>
              <w:bottom w:w="0" w:type="dxa"/>
              <w:right w:w="20" w:type="dxa"/>
            </w:tcMar>
            <w:vAlign w:val="bottom"/>
          </w:tcPr>
          <w:p w14:paraId="39D9915D"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15E" w14:textId="77777777" w:rsidR="00996AD7" w:rsidRDefault="00D96458">
            <w:pPr>
              <w:textAlignment w:val="top"/>
            </w:pPr>
            <w:r>
              <w:rPr>
                <w:rFonts w:ascii="Arial" w:eastAsia="宋体" w:hAnsi="Arial" w:cs="Arial"/>
                <w:color w:val="262626"/>
                <w:sz w:val="18"/>
                <w:szCs w:val="18"/>
              </w:rPr>
              <w:t xml:space="preserve">Internet of </w:t>
            </w:r>
            <w:r>
              <w:rPr>
                <w:rFonts w:ascii="Arial" w:eastAsia="宋体" w:hAnsi="Arial" w:cs="Arial"/>
                <w:color w:val="262626"/>
                <w:sz w:val="18"/>
                <w:szCs w:val="18"/>
              </w:rPr>
              <w:t>Things Group operating segment</w:t>
            </w:r>
          </w:p>
        </w:tc>
      </w:tr>
      <w:tr w:rsidR="00996AD7" w14:paraId="39D99165" w14:textId="77777777">
        <w:trPr>
          <w:hidden/>
        </w:trPr>
        <w:tc>
          <w:tcPr>
            <w:tcW w:w="0" w:type="auto"/>
            <w:gridSpan w:val="3"/>
            <w:shd w:val="clear" w:color="auto" w:fill="auto"/>
            <w:vAlign w:val="bottom"/>
          </w:tcPr>
          <w:p w14:paraId="39D99160" w14:textId="77777777" w:rsidR="00996AD7" w:rsidRDefault="00996AD7">
            <w:pPr>
              <w:rPr>
                <w:rFonts w:ascii="宋体"/>
                <w:vanish/>
              </w:rPr>
            </w:pPr>
          </w:p>
        </w:tc>
        <w:tc>
          <w:tcPr>
            <w:tcW w:w="0" w:type="auto"/>
            <w:gridSpan w:val="3"/>
            <w:shd w:val="clear" w:color="auto" w:fill="auto"/>
            <w:vAlign w:val="bottom"/>
          </w:tcPr>
          <w:p w14:paraId="39D99161" w14:textId="77777777" w:rsidR="00996AD7" w:rsidRDefault="00996AD7">
            <w:pPr>
              <w:rPr>
                <w:rFonts w:ascii="宋体"/>
                <w:vanish/>
              </w:rPr>
            </w:pPr>
          </w:p>
        </w:tc>
        <w:tc>
          <w:tcPr>
            <w:tcW w:w="0" w:type="auto"/>
            <w:gridSpan w:val="3"/>
            <w:shd w:val="clear" w:color="auto" w:fill="auto"/>
            <w:vAlign w:val="bottom"/>
          </w:tcPr>
          <w:p w14:paraId="39D99162" w14:textId="77777777" w:rsidR="00996AD7" w:rsidRDefault="00996AD7">
            <w:pPr>
              <w:rPr>
                <w:rFonts w:ascii="宋体"/>
                <w:vanish/>
              </w:rPr>
            </w:pPr>
          </w:p>
        </w:tc>
        <w:tc>
          <w:tcPr>
            <w:tcW w:w="0" w:type="auto"/>
            <w:gridSpan w:val="3"/>
            <w:shd w:val="clear" w:color="auto" w:fill="auto"/>
            <w:vAlign w:val="bottom"/>
          </w:tcPr>
          <w:p w14:paraId="39D99163" w14:textId="77777777" w:rsidR="00996AD7" w:rsidRDefault="00996AD7">
            <w:pPr>
              <w:rPr>
                <w:rFonts w:ascii="宋体"/>
                <w:vanish/>
              </w:rPr>
            </w:pPr>
          </w:p>
        </w:tc>
        <w:tc>
          <w:tcPr>
            <w:tcW w:w="0" w:type="auto"/>
            <w:gridSpan w:val="3"/>
            <w:shd w:val="clear" w:color="auto" w:fill="auto"/>
            <w:vAlign w:val="bottom"/>
          </w:tcPr>
          <w:p w14:paraId="39D99164" w14:textId="77777777" w:rsidR="00996AD7" w:rsidRDefault="00996AD7">
            <w:pPr>
              <w:rPr>
                <w:rFonts w:ascii="宋体"/>
                <w:vanish/>
              </w:rPr>
            </w:pPr>
          </w:p>
        </w:tc>
      </w:tr>
      <w:tr w:rsidR="00996AD7" w14:paraId="39D99169" w14:textId="77777777">
        <w:tc>
          <w:tcPr>
            <w:tcW w:w="0" w:type="auto"/>
            <w:gridSpan w:val="3"/>
            <w:shd w:val="clear" w:color="auto" w:fill="auto"/>
            <w:tcMar>
              <w:top w:w="40" w:type="dxa"/>
              <w:left w:w="20" w:type="dxa"/>
              <w:bottom w:w="40" w:type="dxa"/>
              <w:right w:w="20" w:type="dxa"/>
            </w:tcMar>
          </w:tcPr>
          <w:p w14:paraId="39D99166" w14:textId="77777777" w:rsidR="00996AD7" w:rsidRDefault="00D96458">
            <w:pPr>
              <w:textAlignment w:val="top"/>
            </w:pPr>
            <w:r>
              <w:rPr>
                <w:rFonts w:ascii="Arial" w:eastAsia="宋体" w:hAnsi="Arial" w:cs="Arial"/>
                <w:color w:val="0068B5"/>
                <w:sz w:val="18"/>
                <w:szCs w:val="18"/>
              </w:rPr>
              <w:t>IP</w:t>
            </w:r>
          </w:p>
        </w:tc>
        <w:tc>
          <w:tcPr>
            <w:tcW w:w="0" w:type="auto"/>
            <w:gridSpan w:val="3"/>
            <w:shd w:val="clear" w:color="auto" w:fill="auto"/>
            <w:tcMar>
              <w:top w:w="0" w:type="dxa"/>
              <w:left w:w="20" w:type="dxa"/>
              <w:bottom w:w="0" w:type="dxa"/>
              <w:right w:w="20" w:type="dxa"/>
            </w:tcMar>
            <w:vAlign w:val="bottom"/>
          </w:tcPr>
          <w:p w14:paraId="39D99167"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168" w14:textId="77777777" w:rsidR="00996AD7" w:rsidRDefault="00D96458">
            <w:pPr>
              <w:textAlignment w:val="top"/>
            </w:pPr>
            <w:r>
              <w:rPr>
                <w:rFonts w:ascii="Arial" w:eastAsia="宋体" w:hAnsi="Arial" w:cs="Arial"/>
                <w:color w:val="262626"/>
                <w:sz w:val="18"/>
                <w:szCs w:val="18"/>
              </w:rPr>
              <w:t>Intellectual property</w:t>
            </w:r>
          </w:p>
        </w:tc>
      </w:tr>
      <w:tr w:rsidR="00996AD7" w14:paraId="39D9916F" w14:textId="77777777">
        <w:trPr>
          <w:hidden/>
        </w:trPr>
        <w:tc>
          <w:tcPr>
            <w:tcW w:w="0" w:type="auto"/>
            <w:gridSpan w:val="3"/>
            <w:shd w:val="clear" w:color="auto" w:fill="auto"/>
            <w:vAlign w:val="bottom"/>
          </w:tcPr>
          <w:p w14:paraId="39D9916A" w14:textId="77777777" w:rsidR="00996AD7" w:rsidRDefault="00996AD7">
            <w:pPr>
              <w:rPr>
                <w:rFonts w:ascii="宋体"/>
                <w:vanish/>
              </w:rPr>
            </w:pPr>
          </w:p>
        </w:tc>
        <w:tc>
          <w:tcPr>
            <w:tcW w:w="0" w:type="auto"/>
            <w:gridSpan w:val="3"/>
            <w:shd w:val="clear" w:color="auto" w:fill="auto"/>
            <w:vAlign w:val="bottom"/>
          </w:tcPr>
          <w:p w14:paraId="39D9916B" w14:textId="77777777" w:rsidR="00996AD7" w:rsidRDefault="00996AD7">
            <w:pPr>
              <w:rPr>
                <w:rFonts w:ascii="宋体"/>
                <w:vanish/>
              </w:rPr>
            </w:pPr>
          </w:p>
        </w:tc>
        <w:tc>
          <w:tcPr>
            <w:tcW w:w="0" w:type="auto"/>
            <w:gridSpan w:val="3"/>
            <w:shd w:val="clear" w:color="auto" w:fill="auto"/>
            <w:vAlign w:val="bottom"/>
          </w:tcPr>
          <w:p w14:paraId="39D9916C" w14:textId="77777777" w:rsidR="00996AD7" w:rsidRDefault="00996AD7">
            <w:pPr>
              <w:rPr>
                <w:rFonts w:ascii="宋体"/>
                <w:vanish/>
              </w:rPr>
            </w:pPr>
          </w:p>
        </w:tc>
        <w:tc>
          <w:tcPr>
            <w:tcW w:w="0" w:type="auto"/>
            <w:gridSpan w:val="3"/>
            <w:shd w:val="clear" w:color="auto" w:fill="auto"/>
            <w:vAlign w:val="bottom"/>
          </w:tcPr>
          <w:p w14:paraId="39D9916D" w14:textId="77777777" w:rsidR="00996AD7" w:rsidRDefault="00996AD7">
            <w:pPr>
              <w:rPr>
                <w:rFonts w:ascii="宋体"/>
                <w:vanish/>
              </w:rPr>
            </w:pPr>
          </w:p>
        </w:tc>
        <w:tc>
          <w:tcPr>
            <w:tcW w:w="0" w:type="auto"/>
            <w:gridSpan w:val="3"/>
            <w:shd w:val="clear" w:color="auto" w:fill="auto"/>
            <w:vAlign w:val="bottom"/>
          </w:tcPr>
          <w:p w14:paraId="39D9916E" w14:textId="77777777" w:rsidR="00996AD7" w:rsidRDefault="00996AD7">
            <w:pPr>
              <w:rPr>
                <w:rFonts w:ascii="宋体"/>
                <w:vanish/>
              </w:rPr>
            </w:pPr>
          </w:p>
        </w:tc>
      </w:tr>
      <w:tr w:rsidR="00996AD7" w14:paraId="39D99175" w14:textId="77777777">
        <w:trPr>
          <w:hidden/>
        </w:trPr>
        <w:tc>
          <w:tcPr>
            <w:tcW w:w="0" w:type="auto"/>
            <w:gridSpan w:val="3"/>
            <w:shd w:val="clear" w:color="auto" w:fill="auto"/>
            <w:vAlign w:val="bottom"/>
          </w:tcPr>
          <w:p w14:paraId="39D99170" w14:textId="77777777" w:rsidR="00996AD7" w:rsidRDefault="00996AD7">
            <w:pPr>
              <w:rPr>
                <w:rFonts w:ascii="宋体"/>
                <w:vanish/>
              </w:rPr>
            </w:pPr>
          </w:p>
        </w:tc>
        <w:tc>
          <w:tcPr>
            <w:tcW w:w="0" w:type="auto"/>
            <w:gridSpan w:val="3"/>
            <w:shd w:val="clear" w:color="auto" w:fill="auto"/>
            <w:vAlign w:val="bottom"/>
          </w:tcPr>
          <w:p w14:paraId="39D99171" w14:textId="77777777" w:rsidR="00996AD7" w:rsidRDefault="00996AD7">
            <w:pPr>
              <w:rPr>
                <w:rFonts w:ascii="宋体"/>
                <w:vanish/>
              </w:rPr>
            </w:pPr>
          </w:p>
        </w:tc>
        <w:tc>
          <w:tcPr>
            <w:tcW w:w="0" w:type="auto"/>
            <w:gridSpan w:val="3"/>
            <w:shd w:val="clear" w:color="auto" w:fill="auto"/>
            <w:vAlign w:val="bottom"/>
          </w:tcPr>
          <w:p w14:paraId="39D99172" w14:textId="77777777" w:rsidR="00996AD7" w:rsidRDefault="00996AD7">
            <w:pPr>
              <w:rPr>
                <w:rFonts w:ascii="宋体"/>
                <w:vanish/>
              </w:rPr>
            </w:pPr>
          </w:p>
        </w:tc>
        <w:tc>
          <w:tcPr>
            <w:tcW w:w="0" w:type="auto"/>
            <w:gridSpan w:val="3"/>
            <w:shd w:val="clear" w:color="auto" w:fill="auto"/>
            <w:vAlign w:val="bottom"/>
          </w:tcPr>
          <w:p w14:paraId="39D99173" w14:textId="77777777" w:rsidR="00996AD7" w:rsidRDefault="00996AD7">
            <w:pPr>
              <w:rPr>
                <w:rFonts w:ascii="宋体"/>
                <w:vanish/>
              </w:rPr>
            </w:pPr>
          </w:p>
        </w:tc>
        <w:tc>
          <w:tcPr>
            <w:tcW w:w="0" w:type="auto"/>
            <w:gridSpan w:val="3"/>
            <w:shd w:val="clear" w:color="auto" w:fill="auto"/>
            <w:vAlign w:val="bottom"/>
          </w:tcPr>
          <w:p w14:paraId="39D99174" w14:textId="77777777" w:rsidR="00996AD7" w:rsidRDefault="00996AD7">
            <w:pPr>
              <w:rPr>
                <w:rFonts w:ascii="宋体"/>
                <w:vanish/>
              </w:rPr>
            </w:pPr>
          </w:p>
        </w:tc>
      </w:tr>
      <w:tr w:rsidR="00996AD7" w14:paraId="39D9917D" w14:textId="77777777">
        <w:trPr>
          <w:hidden/>
        </w:trPr>
        <w:tc>
          <w:tcPr>
            <w:tcW w:w="0" w:type="auto"/>
            <w:gridSpan w:val="3"/>
            <w:shd w:val="clear" w:color="auto" w:fill="auto"/>
            <w:vAlign w:val="bottom"/>
          </w:tcPr>
          <w:p w14:paraId="39D99176" w14:textId="77777777" w:rsidR="00996AD7" w:rsidRDefault="00996AD7">
            <w:pPr>
              <w:rPr>
                <w:rFonts w:ascii="宋体"/>
                <w:vanish/>
              </w:rPr>
            </w:pPr>
          </w:p>
        </w:tc>
        <w:tc>
          <w:tcPr>
            <w:tcW w:w="0" w:type="auto"/>
            <w:gridSpan w:val="3"/>
            <w:shd w:val="clear" w:color="auto" w:fill="auto"/>
            <w:vAlign w:val="bottom"/>
          </w:tcPr>
          <w:p w14:paraId="39D99177" w14:textId="77777777" w:rsidR="00996AD7" w:rsidRDefault="00996AD7">
            <w:pPr>
              <w:rPr>
                <w:rFonts w:ascii="宋体"/>
                <w:vanish/>
              </w:rPr>
            </w:pPr>
          </w:p>
        </w:tc>
        <w:tc>
          <w:tcPr>
            <w:tcW w:w="0" w:type="auto"/>
            <w:gridSpan w:val="3"/>
            <w:shd w:val="clear" w:color="auto" w:fill="auto"/>
            <w:vAlign w:val="bottom"/>
          </w:tcPr>
          <w:p w14:paraId="39D99178" w14:textId="77777777" w:rsidR="00996AD7" w:rsidRDefault="00996AD7">
            <w:pPr>
              <w:rPr>
                <w:rFonts w:ascii="宋体"/>
                <w:vanish/>
              </w:rPr>
            </w:pPr>
          </w:p>
        </w:tc>
        <w:tc>
          <w:tcPr>
            <w:tcW w:w="0" w:type="auto"/>
            <w:gridSpan w:val="3"/>
            <w:shd w:val="clear" w:color="auto" w:fill="auto"/>
            <w:vAlign w:val="bottom"/>
          </w:tcPr>
          <w:p w14:paraId="39D99179" w14:textId="77777777" w:rsidR="00996AD7" w:rsidRDefault="00996AD7">
            <w:pPr>
              <w:rPr>
                <w:rFonts w:ascii="宋体"/>
                <w:vanish/>
              </w:rPr>
            </w:pPr>
          </w:p>
        </w:tc>
        <w:tc>
          <w:tcPr>
            <w:tcW w:w="0" w:type="auto"/>
            <w:shd w:val="clear" w:color="auto" w:fill="auto"/>
            <w:vAlign w:val="bottom"/>
          </w:tcPr>
          <w:p w14:paraId="39D9917A" w14:textId="77777777" w:rsidR="00996AD7" w:rsidRDefault="00996AD7">
            <w:pPr>
              <w:rPr>
                <w:rFonts w:ascii="宋体"/>
              </w:rPr>
            </w:pPr>
          </w:p>
        </w:tc>
        <w:tc>
          <w:tcPr>
            <w:tcW w:w="0" w:type="auto"/>
            <w:shd w:val="clear" w:color="auto" w:fill="auto"/>
            <w:vAlign w:val="bottom"/>
          </w:tcPr>
          <w:p w14:paraId="39D9917B" w14:textId="77777777" w:rsidR="00996AD7" w:rsidRDefault="00996AD7">
            <w:pPr>
              <w:rPr>
                <w:rFonts w:ascii="宋体"/>
              </w:rPr>
            </w:pPr>
          </w:p>
        </w:tc>
        <w:tc>
          <w:tcPr>
            <w:tcW w:w="0" w:type="auto"/>
            <w:shd w:val="clear" w:color="auto" w:fill="auto"/>
            <w:vAlign w:val="bottom"/>
          </w:tcPr>
          <w:p w14:paraId="39D9917C" w14:textId="77777777" w:rsidR="00996AD7" w:rsidRDefault="00996AD7">
            <w:pPr>
              <w:rPr>
                <w:rFonts w:ascii="宋体"/>
              </w:rPr>
            </w:pPr>
          </w:p>
        </w:tc>
      </w:tr>
      <w:tr w:rsidR="00996AD7" w14:paraId="39D99183" w14:textId="77777777">
        <w:trPr>
          <w:hidden/>
        </w:trPr>
        <w:tc>
          <w:tcPr>
            <w:tcW w:w="0" w:type="auto"/>
            <w:gridSpan w:val="3"/>
            <w:shd w:val="clear" w:color="auto" w:fill="auto"/>
            <w:vAlign w:val="bottom"/>
          </w:tcPr>
          <w:p w14:paraId="39D9917E" w14:textId="77777777" w:rsidR="00996AD7" w:rsidRDefault="00996AD7">
            <w:pPr>
              <w:rPr>
                <w:rFonts w:ascii="宋体"/>
                <w:vanish/>
              </w:rPr>
            </w:pPr>
          </w:p>
        </w:tc>
        <w:tc>
          <w:tcPr>
            <w:tcW w:w="0" w:type="auto"/>
            <w:gridSpan w:val="3"/>
            <w:shd w:val="clear" w:color="auto" w:fill="auto"/>
            <w:vAlign w:val="bottom"/>
          </w:tcPr>
          <w:p w14:paraId="39D9917F" w14:textId="77777777" w:rsidR="00996AD7" w:rsidRDefault="00996AD7">
            <w:pPr>
              <w:rPr>
                <w:rFonts w:ascii="宋体"/>
                <w:vanish/>
              </w:rPr>
            </w:pPr>
          </w:p>
        </w:tc>
        <w:tc>
          <w:tcPr>
            <w:tcW w:w="0" w:type="auto"/>
            <w:gridSpan w:val="3"/>
            <w:shd w:val="clear" w:color="auto" w:fill="auto"/>
            <w:vAlign w:val="bottom"/>
          </w:tcPr>
          <w:p w14:paraId="39D99180" w14:textId="77777777" w:rsidR="00996AD7" w:rsidRDefault="00996AD7">
            <w:pPr>
              <w:rPr>
                <w:rFonts w:ascii="宋体"/>
                <w:vanish/>
              </w:rPr>
            </w:pPr>
          </w:p>
        </w:tc>
        <w:tc>
          <w:tcPr>
            <w:tcW w:w="0" w:type="auto"/>
            <w:gridSpan w:val="3"/>
            <w:shd w:val="clear" w:color="auto" w:fill="auto"/>
            <w:vAlign w:val="bottom"/>
          </w:tcPr>
          <w:p w14:paraId="39D99181" w14:textId="77777777" w:rsidR="00996AD7" w:rsidRDefault="00996AD7">
            <w:pPr>
              <w:rPr>
                <w:rFonts w:ascii="宋体"/>
                <w:vanish/>
              </w:rPr>
            </w:pPr>
          </w:p>
        </w:tc>
        <w:tc>
          <w:tcPr>
            <w:tcW w:w="0" w:type="auto"/>
            <w:gridSpan w:val="3"/>
            <w:shd w:val="clear" w:color="auto" w:fill="auto"/>
            <w:vAlign w:val="bottom"/>
          </w:tcPr>
          <w:p w14:paraId="39D99182" w14:textId="77777777" w:rsidR="00996AD7" w:rsidRDefault="00996AD7">
            <w:pPr>
              <w:rPr>
                <w:rFonts w:ascii="宋体"/>
                <w:vanish/>
              </w:rPr>
            </w:pPr>
          </w:p>
        </w:tc>
      </w:tr>
      <w:tr w:rsidR="00996AD7" w14:paraId="39D99189" w14:textId="77777777">
        <w:trPr>
          <w:hidden/>
        </w:trPr>
        <w:tc>
          <w:tcPr>
            <w:tcW w:w="0" w:type="auto"/>
            <w:gridSpan w:val="3"/>
            <w:shd w:val="clear" w:color="auto" w:fill="auto"/>
            <w:vAlign w:val="bottom"/>
          </w:tcPr>
          <w:p w14:paraId="39D99184" w14:textId="77777777" w:rsidR="00996AD7" w:rsidRDefault="00996AD7">
            <w:pPr>
              <w:rPr>
                <w:rFonts w:ascii="宋体"/>
                <w:vanish/>
              </w:rPr>
            </w:pPr>
          </w:p>
        </w:tc>
        <w:tc>
          <w:tcPr>
            <w:tcW w:w="0" w:type="auto"/>
            <w:gridSpan w:val="3"/>
            <w:shd w:val="clear" w:color="auto" w:fill="auto"/>
            <w:vAlign w:val="bottom"/>
          </w:tcPr>
          <w:p w14:paraId="39D99185" w14:textId="77777777" w:rsidR="00996AD7" w:rsidRDefault="00996AD7">
            <w:pPr>
              <w:rPr>
                <w:rFonts w:ascii="宋体"/>
                <w:vanish/>
              </w:rPr>
            </w:pPr>
          </w:p>
        </w:tc>
        <w:tc>
          <w:tcPr>
            <w:tcW w:w="0" w:type="auto"/>
            <w:gridSpan w:val="3"/>
            <w:shd w:val="clear" w:color="auto" w:fill="auto"/>
            <w:vAlign w:val="bottom"/>
          </w:tcPr>
          <w:p w14:paraId="39D99186" w14:textId="77777777" w:rsidR="00996AD7" w:rsidRDefault="00996AD7">
            <w:pPr>
              <w:rPr>
                <w:rFonts w:ascii="宋体"/>
                <w:vanish/>
              </w:rPr>
            </w:pPr>
          </w:p>
        </w:tc>
        <w:tc>
          <w:tcPr>
            <w:tcW w:w="0" w:type="auto"/>
            <w:gridSpan w:val="3"/>
            <w:shd w:val="clear" w:color="auto" w:fill="auto"/>
            <w:vAlign w:val="bottom"/>
          </w:tcPr>
          <w:p w14:paraId="39D99187" w14:textId="77777777" w:rsidR="00996AD7" w:rsidRDefault="00996AD7">
            <w:pPr>
              <w:rPr>
                <w:rFonts w:ascii="宋体"/>
                <w:vanish/>
              </w:rPr>
            </w:pPr>
          </w:p>
        </w:tc>
        <w:tc>
          <w:tcPr>
            <w:tcW w:w="0" w:type="auto"/>
            <w:gridSpan w:val="3"/>
            <w:shd w:val="clear" w:color="auto" w:fill="auto"/>
            <w:vAlign w:val="bottom"/>
          </w:tcPr>
          <w:p w14:paraId="39D99188" w14:textId="77777777" w:rsidR="00996AD7" w:rsidRDefault="00996AD7">
            <w:pPr>
              <w:rPr>
                <w:rFonts w:ascii="宋体"/>
                <w:vanish/>
              </w:rPr>
            </w:pPr>
          </w:p>
        </w:tc>
      </w:tr>
      <w:tr w:rsidR="00996AD7" w14:paraId="39D9918F" w14:textId="77777777">
        <w:trPr>
          <w:hidden/>
        </w:trPr>
        <w:tc>
          <w:tcPr>
            <w:tcW w:w="0" w:type="auto"/>
            <w:gridSpan w:val="3"/>
            <w:shd w:val="clear" w:color="auto" w:fill="auto"/>
            <w:vAlign w:val="bottom"/>
          </w:tcPr>
          <w:p w14:paraId="39D9918A" w14:textId="77777777" w:rsidR="00996AD7" w:rsidRDefault="00996AD7">
            <w:pPr>
              <w:rPr>
                <w:rFonts w:ascii="宋体"/>
                <w:vanish/>
              </w:rPr>
            </w:pPr>
          </w:p>
        </w:tc>
        <w:tc>
          <w:tcPr>
            <w:tcW w:w="0" w:type="auto"/>
            <w:gridSpan w:val="3"/>
            <w:shd w:val="clear" w:color="auto" w:fill="auto"/>
            <w:vAlign w:val="bottom"/>
          </w:tcPr>
          <w:p w14:paraId="39D9918B" w14:textId="77777777" w:rsidR="00996AD7" w:rsidRDefault="00996AD7">
            <w:pPr>
              <w:rPr>
                <w:rFonts w:ascii="宋体"/>
                <w:vanish/>
              </w:rPr>
            </w:pPr>
          </w:p>
        </w:tc>
        <w:tc>
          <w:tcPr>
            <w:tcW w:w="0" w:type="auto"/>
            <w:gridSpan w:val="3"/>
            <w:shd w:val="clear" w:color="auto" w:fill="auto"/>
            <w:vAlign w:val="bottom"/>
          </w:tcPr>
          <w:p w14:paraId="39D9918C" w14:textId="77777777" w:rsidR="00996AD7" w:rsidRDefault="00996AD7">
            <w:pPr>
              <w:rPr>
                <w:rFonts w:ascii="宋体"/>
                <w:vanish/>
              </w:rPr>
            </w:pPr>
          </w:p>
        </w:tc>
        <w:tc>
          <w:tcPr>
            <w:tcW w:w="0" w:type="auto"/>
            <w:gridSpan w:val="3"/>
            <w:shd w:val="clear" w:color="auto" w:fill="auto"/>
            <w:vAlign w:val="bottom"/>
          </w:tcPr>
          <w:p w14:paraId="39D9918D" w14:textId="77777777" w:rsidR="00996AD7" w:rsidRDefault="00996AD7">
            <w:pPr>
              <w:rPr>
                <w:rFonts w:ascii="宋体"/>
                <w:vanish/>
              </w:rPr>
            </w:pPr>
          </w:p>
        </w:tc>
        <w:tc>
          <w:tcPr>
            <w:tcW w:w="0" w:type="auto"/>
            <w:gridSpan w:val="3"/>
            <w:shd w:val="clear" w:color="auto" w:fill="auto"/>
            <w:vAlign w:val="bottom"/>
          </w:tcPr>
          <w:p w14:paraId="39D9918E" w14:textId="77777777" w:rsidR="00996AD7" w:rsidRDefault="00996AD7">
            <w:pPr>
              <w:rPr>
                <w:rFonts w:ascii="宋体"/>
                <w:vanish/>
              </w:rPr>
            </w:pPr>
          </w:p>
        </w:tc>
      </w:tr>
      <w:tr w:rsidR="00996AD7" w14:paraId="39D99195" w14:textId="77777777">
        <w:trPr>
          <w:hidden/>
        </w:trPr>
        <w:tc>
          <w:tcPr>
            <w:tcW w:w="0" w:type="auto"/>
            <w:gridSpan w:val="3"/>
            <w:shd w:val="clear" w:color="auto" w:fill="auto"/>
            <w:vAlign w:val="bottom"/>
          </w:tcPr>
          <w:p w14:paraId="39D99190" w14:textId="77777777" w:rsidR="00996AD7" w:rsidRDefault="00996AD7">
            <w:pPr>
              <w:rPr>
                <w:rFonts w:ascii="宋体"/>
                <w:vanish/>
              </w:rPr>
            </w:pPr>
          </w:p>
        </w:tc>
        <w:tc>
          <w:tcPr>
            <w:tcW w:w="0" w:type="auto"/>
            <w:gridSpan w:val="3"/>
            <w:shd w:val="clear" w:color="auto" w:fill="auto"/>
            <w:vAlign w:val="bottom"/>
          </w:tcPr>
          <w:p w14:paraId="39D99191" w14:textId="77777777" w:rsidR="00996AD7" w:rsidRDefault="00996AD7">
            <w:pPr>
              <w:rPr>
                <w:rFonts w:ascii="宋体"/>
                <w:vanish/>
              </w:rPr>
            </w:pPr>
          </w:p>
        </w:tc>
        <w:tc>
          <w:tcPr>
            <w:tcW w:w="0" w:type="auto"/>
            <w:gridSpan w:val="3"/>
            <w:shd w:val="clear" w:color="auto" w:fill="auto"/>
            <w:vAlign w:val="bottom"/>
          </w:tcPr>
          <w:p w14:paraId="39D99192" w14:textId="77777777" w:rsidR="00996AD7" w:rsidRDefault="00996AD7">
            <w:pPr>
              <w:rPr>
                <w:rFonts w:ascii="宋体"/>
                <w:vanish/>
              </w:rPr>
            </w:pPr>
          </w:p>
        </w:tc>
        <w:tc>
          <w:tcPr>
            <w:tcW w:w="0" w:type="auto"/>
            <w:gridSpan w:val="3"/>
            <w:shd w:val="clear" w:color="auto" w:fill="auto"/>
            <w:vAlign w:val="bottom"/>
          </w:tcPr>
          <w:p w14:paraId="39D99193" w14:textId="77777777" w:rsidR="00996AD7" w:rsidRDefault="00996AD7">
            <w:pPr>
              <w:rPr>
                <w:rFonts w:ascii="宋体"/>
                <w:vanish/>
              </w:rPr>
            </w:pPr>
          </w:p>
        </w:tc>
        <w:tc>
          <w:tcPr>
            <w:tcW w:w="0" w:type="auto"/>
            <w:gridSpan w:val="3"/>
            <w:shd w:val="clear" w:color="auto" w:fill="auto"/>
            <w:vAlign w:val="bottom"/>
          </w:tcPr>
          <w:p w14:paraId="39D99194" w14:textId="77777777" w:rsidR="00996AD7" w:rsidRDefault="00996AD7">
            <w:pPr>
              <w:rPr>
                <w:rFonts w:ascii="宋体"/>
                <w:vanish/>
              </w:rPr>
            </w:pPr>
          </w:p>
        </w:tc>
      </w:tr>
      <w:tr w:rsidR="00996AD7" w14:paraId="39D9919B" w14:textId="77777777">
        <w:trPr>
          <w:hidden/>
        </w:trPr>
        <w:tc>
          <w:tcPr>
            <w:tcW w:w="0" w:type="auto"/>
            <w:gridSpan w:val="3"/>
            <w:shd w:val="clear" w:color="auto" w:fill="auto"/>
            <w:vAlign w:val="bottom"/>
          </w:tcPr>
          <w:p w14:paraId="39D99196" w14:textId="77777777" w:rsidR="00996AD7" w:rsidRDefault="00996AD7">
            <w:pPr>
              <w:rPr>
                <w:rFonts w:ascii="宋体"/>
                <w:vanish/>
              </w:rPr>
            </w:pPr>
          </w:p>
        </w:tc>
        <w:tc>
          <w:tcPr>
            <w:tcW w:w="0" w:type="auto"/>
            <w:gridSpan w:val="3"/>
            <w:shd w:val="clear" w:color="auto" w:fill="auto"/>
            <w:vAlign w:val="bottom"/>
          </w:tcPr>
          <w:p w14:paraId="39D99197" w14:textId="77777777" w:rsidR="00996AD7" w:rsidRDefault="00996AD7">
            <w:pPr>
              <w:rPr>
                <w:rFonts w:ascii="宋体"/>
                <w:vanish/>
              </w:rPr>
            </w:pPr>
          </w:p>
        </w:tc>
        <w:tc>
          <w:tcPr>
            <w:tcW w:w="0" w:type="auto"/>
            <w:gridSpan w:val="3"/>
            <w:shd w:val="clear" w:color="auto" w:fill="auto"/>
            <w:vAlign w:val="bottom"/>
          </w:tcPr>
          <w:p w14:paraId="39D99198" w14:textId="77777777" w:rsidR="00996AD7" w:rsidRDefault="00996AD7">
            <w:pPr>
              <w:rPr>
                <w:rFonts w:ascii="宋体"/>
                <w:vanish/>
              </w:rPr>
            </w:pPr>
          </w:p>
        </w:tc>
        <w:tc>
          <w:tcPr>
            <w:tcW w:w="0" w:type="auto"/>
            <w:gridSpan w:val="3"/>
            <w:shd w:val="clear" w:color="auto" w:fill="auto"/>
            <w:vAlign w:val="bottom"/>
          </w:tcPr>
          <w:p w14:paraId="39D99199" w14:textId="77777777" w:rsidR="00996AD7" w:rsidRDefault="00996AD7">
            <w:pPr>
              <w:rPr>
                <w:rFonts w:ascii="宋体"/>
                <w:vanish/>
              </w:rPr>
            </w:pPr>
          </w:p>
        </w:tc>
        <w:tc>
          <w:tcPr>
            <w:tcW w:w="0" w:type="auto"/>
            <w:gridSpan w:val="3"/>
            <w:shd w:val="clear" w:color="auto" w:fill="auto"/>
            <w:vAlign w:val="bottom"/>
          </w:tcPr>
          <w:p w14:paraId="39D9919A" w14:textId="77777777" w:rsidR="00996AD7" w:rsidRDefault="00996AD7">
            <w:pPr>
              <w:rPr>
                <w:rFonts w:ascii="宋体"/>
                <w:vanish/>
              </w:rPr>
            </w:pPr>
          </w:p>
        </w:tc>
      </w:tr>
      <w:tr w:rsidR="00996AD7" w14:paraId="39D991A1" w14:textId="77777777">
        <w:trPr>
          <w:hidden/>
        </w:trPr>
        <w:tc>
          <w:tcPr>
            <w:tcW w:w="0" w:type="auto"/>
            <w:gridSpan w:val="3"/>
            <w:shd w:val="clear" w:color="auto" w:fill="auto"/>
            <w:vAlign w:val="bottom"/>
          </w:tcPr>
          <w:p w14:paraId="39D9919C" w14:textId="77777777" w:rsidR="00996AD7" w:rsidRDefault="00996AD7">
            <w:pPr>
              <w:rPr>
                <w:rFonts w:ascii="宋体"/>
                <w:vanish/>
              </w:rPr>
            </w:pPr>
          </w:p>
        </w:tc>
        <w:tc>
          <w:tcPr>
            <w:tcW w:w="0" w:type="auto"/>
            <w:gridSpan w:val="3"/>
            <w:shd w:val="clear" w:color="auto" w:fill="auto"/>
            <w:vAlign w:val="bottom"/>
          </w:tcPr>
          <w:p w14:paraId="39D9919D" w14:textId="77777777" w:rsidR="00996AD7" w:rsidRDefault="00996AD7">
            <w:pPr>
              <w:rPr>
                <w:rFonts w:ascii="宋体"/>
                <w:vanish/>
              </w:rPr>
            </w:pPr>
          </w:p>
        </w:tc>
        <w:tc>
          <w:tcPr>
            <w:tcW w:w="0" w:type="auto"/>
            <w:gridSpan w:val="3"/>
            <w:shd w:val="clear" w:color="auto" w:fill="auto"/>
            <w:vAlign w:val="bottom"/>
          </w:tcPr>
          <w:p w14:paraId="39D9919E" w14:textId="77777777" w:rsidR="00996AD7" w:rsidRDefault="00996AD7">
            <w:pPr>
              <w:rPr>
                <w:rFonts w:ascii="宋体"/>
                <w:vanish/>
              </w:rPr>
            </w:pPr>
          </w:p>
        </w:tc>
        <w:tc>
          <w:tcPr>
            <w:tcW w:w="0" w:type="auto"/>
            <w:gridSpan w:val="3"/>
            <w:shd w:val="clear" w:color="auto" w:fill="auto"/>
            <w:vAlign w:val="bottom"/>
          </w:tcPr>
          <w:p w14:paraId="39D9919F" w14:textId="77777777" w:rsidR="00996AD7" w:rsidRDefault="00996AD7">
            <w:pPr>
              <w:rPr>
                <w:rFonts w:ascii="宋体"/>
                <w:vanish/>
              </w:rPr>
            </w:pPr>
          </w:p>
        </w:tc>
        <w:tc>
          <w:tcPr>
            <w:tcW w:w="0" w:type="auto"/>
            <w:gridSpan w:val="3"/>
            <w:shd w:val="clear" w:color="auto" w:fill="auto"/>
            <w:vAlign w:val="bottom"/>
          </w:tcPr>
          <w:p w14:paraId="39D991A0" w14:textId="77777777" w:rsidR="00996AD7" w:rsidRDefault="00996AD7">
            <w:pPr>
              <w:rPr>
                <w:rFonts w:ascii="宋体"/>
                <w:vanish/>
              </w:rPr>
            </w:pPr>
          </w:p>
        </w:tc>
      </w:tr>
      <w:tr w:rsidR="00996AD7" w14:paraId="39D991A7" w14:textId="77777777">
        <w:trPr>
          <w:hidden/>
        </w:trPr>
        <w:tc>
          <w:tcPr>
            <w:tcW w:w="0" w:type="auto"/>
            <w:gridSpan w:val="3"/>
            <w:shd w:val="clear" w:color="auto" w:fill="auto"/>
            <w:vAlign w:val="bottom"/>
          </w:tcPr>
          <w:p w14:paraId="39D991A2" w14:textId="77777777" w:rsidR="00996AD7" w:rsidRDefault="00996AD7">
            <w:pPr>
              <w:rPr>
                <w:rFonts w:ascii="宋体"/>
                <w:vanish/>
              </w:rPr>
            </w:pPr>
          </w:p>
        </w:tc>
        <w:tc>
          <w:tcPr>
            <w:tcW w:w="0" w:type="auto"/>
            <w:gridSpan w:val="3"/>
            <w:shd w:val="clear" w:color="auto" w:fill="auto"/>
            <w:vAlign w:val="bottom"/>
          </w:tcPr>
          <w:p w14:paraId="39D991A3" w14:textId="77777777" w:rsidR="00996AD7" w:rsidRDefault="00996AD7">
            <w:pPr>
              <w:rPr>
                <w:rFonts w:ascii="宋体"/>
                <w:vanish/>
              </w:rPr>
            </w:pPr>
          </w:p>
        </w:tc>
        <w:tc>
          <w:tcPr>
            <w:tcW w:w="0" w:type="auto"/>
            <w:gridSpan w:val="3"/>
            <w:shd w:val="clear" w:color="auto" w:fill="auto"/>
            <w:vAlign w:val="bottom"/>
          </w:tcPr>
          <w:p w14:paraId="39D991A4" w14:textId="77777777" w:rsidR="00996AD7" w:rsidRDefault="00996AD7">
            <w:pPr>
              <w:rPr>
                <w:rFonts w:ascii="宋体"/>
                <w:vanish/>
              </w:rPr>
            </w:pPr>
          </w:p>
        </w:tc>
        <w:tc>
          <w:tcPr>
            <w:tcW w:w="0" w:type="auto"/>
            <w:gridSpan w:val="3"/>
            <w:shd w:val="clear" w:color="auto" w:fill="auto"/>
            <w:vAlign w:val="bottom"/>
          </w:tcPr>
          <w:p w14:paraId="39D991A5" w14:textId="77777777" w:rsidR="00996AD7" w:rsidRDefault="00996AD7">
            <w:pPr>
              <w:rPr>
                <w:rFonts w:ascii="宋体"/>
                <w:vanish/>
              </w:rPr>
            </w:pPr>
          </w:p>
        </w:tc>
        <w:tc>
          <w:tcPr>
            <w:tcW w:w="0" w:type="auto"/>
            <w:gridSpan w:val="3"/>
            <w:shd w:val="clear" w:color="auto" w:fill="auto"/>
            <w:vAlign w:val="bottom"/>
          </w:tcPr>
          <w:p w14:paraId="39D991A6" w14:textId="77777777" w:rsidR="00996AD7" w:rsidRDefault="00996AD7">
            <w:pPr>
              <w:rPr>
                <w:rFonts w:ascii="宋体"/>
                <w:vanish/>
              </w:rPr>
            </w:pPr>
          </w:p>
        </w:tc>
      </w:tr>
      <w:tr w:rsidR="00996AD7" w14:paraId="39D991AD" w14:textId="77777777">
        <w:trPr>
          <w:hidden/>
        </w:trPr>
        <w:tc>
          <w:tcPr>
            <w:tcW w:w="0" w:type="auto"/>
            <w:gridSpan w:val="3"/>
            <w:shd w:val="clear" w:color="auto" w:fill="auto"/>
            <w:vAlign w:val="bottom"/>
          </w:tcPr>
          <w:p w14:paraId="39D991A8" w14:textId="77777777" w:rsidR="00996AD7" w:rsidRDefault="00996AD7">
            <w:pPr>
              <w:rPr>
                <w:rFonts w:ascii="宋体"/>
                <w:vanish/>
              </w:rPr>
            </w:pPr>
          </w:p>
        </w:tc>
        <w:tc>
          <w:tcPr>
            <w:tcW w:w="0" w:type="auto"/>
            <w:gridSpan w:val="3"/>
            <w:shd w:val="clear" w:color="auto" w:fill="auto"/>
            <w:vAlign w:val="bottom"/>
          </w:tcPr>
          <w:p w14:paraId="39D991A9" w14:textId="77777777" w:rsidR="00996AD7" w:rsidRDefault="00996AD7">
            <w:pPr>
              <w:rPr>
                <w:rFonts w:ascii="宋体"/>
                <w:vanish/>
              </w:rPr>
            </w:pPr>
          </w:p>
        </w:tc>
        <w:tc>
          <w:tcPr>
            <w:tcW w:w="0" w:type="auto"/>
            <w:gridSpan w:val="3"/>
            <w:shd w:val="clear" w:color="auto" w:fill="auto"/>
            <w:vAlign w:val="bottom"/>
          </w:tcPr>
          <w:p w14:paraId="39D991AA" w14:textId="77777777" w:rsidR="00996AD7" w:rsidRDefault="00996AD7">
            <w:pPr>
              <w:rPr>
                <w:rFonts w:ascii="宋体"/>
                <w:vanish/>
              </w:rPr>
            </w:pPr>
          </w:p>
        </w:tc>
        <w:tc>
          <w:tcPr>
            <w:tcW w:w="0" w:type="auto"/>
            <w:gridSpan w:val="3"/>
            <w:shd w:val="clear" w:color="auto" w:fill="auto"/>
            <w:vAlign w:val="bottom"/>
          </w:tcPr>
          <w:p w14:paraId="39D991AB" w14:textId="77777777" w:rsidR="00996AD7" w:rsidRDefault="00996AD7">
            <w:pPr>
              <w:rPr>
                <w:rFonts w:ascii="宋体"/>
                <w:vanish/>
              </w:rPr>
            </w:pPr>
          </w:p>
        </w:tc>
        <w:tc>
          <w:tcPr>
            <w:tcW w:w="0" w:type="auto"/>
            <w:gridSpan w:val="3"/>
            <w:shd w:val="clear" w:color="auto" w:fill="auto"/>
            <w:vAlign w:val="bottom"/>
          </w:tcPr>
          <w:p w14:paraId="39D991AC" w14:textId="77777777" w:rsidR="00996AD7" w:rsidRDefault="00996AD7">
            <w:pPr>
              <w:rPr>
                <w:rFonts w:ascii="宋体"/>
                <w:vanish/>
              </w:rPr>
            </w:pPr>
          </w:p>
        </w:tc>
      </w:tr>
      <w:tr w:rsidR="00996AD7" w14:paraId="39D991B1" w14:textId="77777777">
        <w:tc>
          <w:tcPr>
            <w:tcW w:w="0" w:type="auto"/>
            <w:gridSpan w:val="3"/>
            <w:shd w:val="clear" w:color="auto" w:fill="auto"/>
            <w:tcMar>
              <w:top w:w="40" w:type="dxa"/>
              <w:left w:w="20" w:type="dxa"/>
              <w:bottom w:w="40" w:type="dxa"/>
              <w:right w:w="20" w:type="dxa"/>
            </w:tcMar>
          </w:tcPr>
          <w:p w14:paraId="39D991AE" w14:textId="77777777" w:rsidR="00996AD7" w:rsidRDefault="00D96458">
            <w:pPr>
              <w:textAlignment w:val="top"/>
            </w:pPr>
            <w:r>
              <w:rPr>
                <w:rFonts w:ascii="Arial" w:eastAsia="宋体" w:hAnsi="Arial" w:cs="Arial"/>
                <w:color w:val="0068B5"/>
                <w:sz w:val="18"/>
                <w:szCs w:val="18"/>
              </w:rPr>
              <w:t>MD&amp;A</w:t>
            </w:r>
          </w:p>
        </w:tc>
        <w:tc>
          <w:tcPr>
            <w:tcW w:w="0" w:type="auto"/>
            <w:gridSpan w:val="3"/>
            <w:shd w:val="clear" w:color="auto" w:fill="auto"/>
            <w:tcMar>
              <w:top w:w="0" w:type="dxa"/>
              <w:left w:w="20" w:type="dxa"/>
              <w:bottom w:w="0" w:type="dxa"/>
              <w:right w:w="20" w:type="dxa"/>
            </w:tcMar>
            <w:vAlign w:val="bottom"/>
          </w:tcPr>
          <w:p w14:paraId="39D991AF"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1B0" w14:textId="77777777" w:rsidR="00996AD7" w:rsidRDefault="00D96458">
            <w:pPr>
              <w:textAlignment w:val="top"/>
            </w:pPr>
            <w:r>
              <w:rPr>
                <w:rFonts w:ascii="Arial" w:eastAsia="宋体" w:hAnsi="Arial" w:cs="Arial"/>
                <w:color w:val="262626"/>
                <w:sz w:val="18"/>
                <w:szCs w:val="18"/>
              </w:rPr>
              <w:t>Management's Discussion &amp; Analysis</w:t>
            </w:r>
          </w:p>
        </w:tc>
      </w:tr>
      <w:tr w:rsidR="00996AD7" w14:paraId="39D991B7" w14:textId="77777777">
        <w:trPr>
          <w:hidden/>
        </w:trPr>
        <w:tc>
          <w:tcPr>
            <w:tcW w:w="0" w:type="auto"/>
            <w:gridSpan w:val="3"/>
            <w:shd w:val="clear" w:color="auto" w:fill="auto"/>
            <w:vAlign w:val="bottom"/>
          </w:tcPr>
          <w:p w14:paraId="39D991B2" w14:textId="77777777" w:rsidR="00996AD7" w:rsidRDefault="00996AD7">
            <w:pPr>
              <w:rPr>
                <w:rFonts w:ascii="宋体"/>
                <w:vanish/>
              </w:rPr>
            </w:pPr>
          </w:p>
        </w:tc>
        <w:tc>
          <w:tcPr>
            <w:tcW w:w="0" w:type="auto"/>
            <w:gridSpan w:val="3"/>
            <w:shd w:val="clear" w:color="auto" w:fill="auto"/>
            <w:vAlign w:val="bottom"/>
          </w:tcPr>
          <w:p w14:paraId="39D991B3" w14:textId="77777777" w:rsidR="00996AD7" w:rsidRDefault="00996AD7">
            <w:pPr>
              <w:rPr>
                <w:rFonts w:ascii="宋体"/>
                <w:vanish/>
              </w:rPr>
            </w:pPr>
          </w:p>
        </w:tc>
        <w:tc>
          <w:tcPr>
            <w:tcW w:w="0" w:type="auto"/>
            <w:gridSpan w:val="3"/>
            <w:shd w:val="clear" w:color="auto" w:fill="auto"/>
            <w:vAlign w:val="bottom"/>
          </w:tcPr>
          <w:p w14:paraId="39D991B4" w14:textId="77777777" w:rsidR="00996AD7" w:rsidRDefault="00996AD7">
            <w:pPr>
              <w:rPr>
                <w:rFonts w:ascii="宋体"/>
                <w:vanish/>
              </w:rPr>
            </w:pPr>
          </w:p>
        </w:tc>
        <w:tc>
          <w:tcPr>
            <w:tcW w:w="0" w:type="auto"/>
            <w:gridSpan w:val="3"/>
            <w:shd w:val="clear" w:color="auto" w:fill="auto"/>
            <w:vAlign w:val="bottom"/>
          </w:tcPr>
          <w:p w14:paraId="39D991B5" w14:textId="77777777" w:rsidR="00996AD7" w:rsidRDefault="00996AD7">
            <w:pPr>
              <w:rPr>
                <w:rFonts w:ascii="宋体"/>
                <w:vanish/>
              </w:rPr>
            </w:pPr>
          </w:p>
        </w:tc>
        <w:tc>
          <w:tcPr>
            <w:tcW w:w="0" w:type="auto"/>
            <w:gridSpan w:val="3"/>
            <w:shd w:val="clear" w:color="auto" w:fill="auto"/>
            <w:vAlign w:val="bottom"/>
          </w:tcPr>
          <w:p w14:paraId="39D991B6" w14:textId="77777777" w:rsidR="00996AD7" w:rsidRDefault="00996AD7">
            <w:pPr>
              <w:rPr>
                <w:rFonts w:ascii="宋体"/>
                <w:vanish/>
              </w:rPr>
            </w:pPr>
          </w:p>
        </w:tc>
      </w:tr>
      <w:tr w:rsidR="00996AD7" w14:paraId="39D991BB" w14:textId="77777777">
        <w:tc>
          <w:tcPr>
            <w:tcW w:w="0" w:type="auto"/>
            <w:gridSpan w:val="3"/>
            <w:shd w:val="clear" w:color="auto" w:fill="auto"/>
            <w:tcMar>
              <w:top w:w="40" w:type="dxa"/>
              <w:left w:w="20" w:type="dxa"/>
              <w:bottom w:w="40" w:type="dxa"/>
              <w:right w:w="20" w:type="dxa"/>
            </w:tcMar>
          </w:tcPr>
          <w:p w14:paraId="39D991B8" w14:textId="77777777" w:rsidR="00996AD7" w:rsidRDefault="00D96458">
            <w:pPr>
              <w:textAlignment w:val="top"/>
            </w:pPr>
            <w:r>
              <w:rPr>
                <w:rFonts w:ascii="Arial" w:eastAsia="宋体" w:hAnsi="Arial" w:cs="Arial"/>
                <w:color w:val="0068B5"/>
                <w:sz w:val="18"/>
                <w:szCs w:val="18"/>
              </w:rPr>
              <w:t>MG&amp;A</w:t>
            </w:r>
          </w:p>
        </w:tc>
        <w:tc>
          <w:tcPr>
            <w:tcW w:w="0" w:type="auto"/>
            <w:gridSpan w:val="3"/>
            <w:shd w:val="clear" w:color="auto" w:fill="auto"/>
            <w:tcMar>
              <w:top w:w="0" w:type="dxa"/>
              <w:left w:w="20" w:type="dxa"/>
              <w:bottom w:w="0" w:type="dxa"/>
              <w:right w:w="20" w:type="dxa"/>
            </w:tcMar>
            <w:vAlign w:val="bottom"/>
          </w:tcPr>
          <w:p w14:paraId="39D991B9"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1BA" w14:textId="77777777" w:rsidR="00996AD7" w:rsidRDefault="00D96458">
            <w:pPr>
              <w:textAlignment w:val="top"/>
            </w:pPr>
            <w:r>
              <w:rPr>
                <w:rFonts w:ascii="Arial" w:eastAsia="宋体" w:hAnsi="Arial" w:cs="Arial"/>
                <w:color w:val="262626"/>
                <w:sz w:val="18"/>
                <w:szCs w:val="18"/>
              </w:rPr>
              <w:t>Marketing, general and administrative</w:t>
            </w:r>
          </w:p>
        </w:tc>
      </w:tr>
      <w:tr w:rsidR="00996AD7" w14:paraId="39D991C1" w14:textId="77777777">
        <w:trPr>
          <w:hidden/>
        </w:trPr>
        <w:tc>
          <w:tcPr>
            <w:tcW w:w="0" w:type="auto"/>
            <w:gridSpan w:val="3"/>
            <w:shd w:val="clear" w:color="auto" w:fill="auto"/>
            <w:vAlign w:val="bottom"/>
          </w:tcPr>
          <w:p w14:paraId="39D991BC" w14:textId="77777777" w:rsidR="00996AD7" w:rsidRDefault="00996AD7">
            <w:pPr>
              <w:rPr>
                <w:rFonts w:ascii="宋体"/>
                <w:vanish/>
              </w:rPr>
            </w:pPr>
          </w:p>
        </w:tc>
        <w:tc>
          <w:tcPr>
            <w:tcW w:w="0" w:type="auto"/>
            <w:gridSpan w:val="3"/>
            <w:shd w:val="clear" w:color="auto" w:fill="auto"/>
            <w:vAlign w:val="bottom"/>
          </w:tcPr>
          <w:p w14:paraId="39D991BD" w14:textId="77777777" w:rsidR="00996AD7" w:rsidRDefault="00996AD7">
            <w:pPr>
              <w:rPr>
                <w:rFonts w:ascii="宋体"/>
                <w:vanish/>
              </w:rPr>
            </w:pPr>
          </w:p>
        </w:tc>
        <w:tc>
          <w:tcPr>
            <w:tcW w:w="0" w:type="auto"/>
            <w:gridSpan w:val="3"/>
            <w:shd w:val="clear" w:color="auto" w:fill="auto"/>
            <w:vAlign w:val="bottom"/>
          </w:tcPr>
          <w:p w14:paraId="39D991BE" w14:textId="77777777" w:rsidR="00996AD7" w:rsidRDefault="00996AD7">
            <w:pPr>
              <w:rPr>
                <w:rFonts w:ascii="宋体"/>
                <w:vanish/>
              </w:rPr>
            </w:pPr>
          </w:p>
        </w:tc>
        <w:tc>
          <w:tcPr>
            <w:tcW w:w="0" w:type="auto"/>
            <w:gridSpan w:val="3"/>
            <w:shd w:val="clear" w:color="auto" w:fill="auto"/>
            <w:vAlign w:val="bottom"/>
          </w:tcPr>
          <w:p w14:paraId="39D991BF" w14:textId="77777777" w:rsidR="00996AD7" w:rsidRDefault="00996AD7">
            <w:pPr>
              <w:rPr>
                <w:rFonts w:ascii="宋体"/>
                <w:vanish/>
              </w:rPr>
            </w:pPr>
          </w:p>
        </w:tc>
        <w:tc>
          <w:tcPr>
            <w:tcW w:w="0" w:type="auto"/>
            <w:gridSpan w:val="3"/>
            <w:shd w:val="clear" w:color="auto" w:fill="auto"/>
            <w:vAlign w:val="bottom"/>
          </w:tcPr>
          <w:p w14:paraId="39D991C0" w14:textId="77777777" w:rsidR="00996AD7" w:rsidRDefault="00996AD7">
            <w:pPr>
              <w:rPr>
                <w:rFonts w:ascii="宋体"/>
                <w:vanish/>
              </w:rPr>
            </w:pPr>
          </w:p>
        </w:tc>
      </w:tr>
      <w:tr w:rsidR="00996AD7" w14:paraId="39D991C7" w14:textId="77777777">
        <w:trPr>
          <w:hidden/>
        </w:trPr>
        <w:tc>
          <w:tcPr>
            <w:tcW w:w="0" w:type="auto"/>
            <w:gridSpan w:val="3"/>
            <w:shd w:val="clear" w:color="auto" w:fill="auto"/>
            <w:vAlign w:val="bottom"/>
          </w:tcPr>
          <w:p w14:paraId="39D991C2" w14:textId="77777777" w:rsidR="00996AD7" w:rsidRDefault="00996AD7">
            <w:pPr>
              <w:rPr>
                <w:rFonts w:ascii="宋体"/>
                <w:vanish/>
              </w:rPr>
            </w:pPr>
          </w:p>
        </w:tc>
        <w:tc>
          <w:tcPr>
            <w:tcW w:w="0" w:type="auto"/>
            <w:gridSpan w:val="3"/>
            <w:shd w:val="clear" w:color="auto" w:fill="auto"/>
            <w:vAlign w:val="bottom"/>
          </w:tcPr>
          <w:p w14:paraId="39D991C3" w14:textId="77777777" w:rsidR="00996AD7" w:rsidRDefault="00996AD7">
            <w:pPr>
              <w:rPr>
                <w:rFonts w:ascii="宋体"/>
                <w:vanish/>
              </w:rPr>
            </w:pPr>
          </w:p>
        </w:tc>
        <w:tc>
          <w:tcPr>
            <w:tcW w:w="0" w:type="auto"/>
            <w:gridSpan w:val="3"/>
            <w:shd w:val="clear" w:color="auto" w:fill="auto"/>
            <w:vAlign w:val="bottom"/>
          </w:tcPr>
          <w:p w14:paraId="39D991C4" w14:textId="77777777" w:rsidR="00996AD7" w:rsidRDefault="00996AD7">
            <w:pPr>
              <w:rPr>
                <w:rFonts w:ascii="宋体"/>
                <w:vanish/>
              </w:rPr>
            </w:pPr>
          </w:p>
        </w:tc>
        <w:tc>
          <w:tcPr>
            <w:tcW w:w="0" w:type="auto"/>
            <w:gridSpan w:val="3"/>
            <w:shd w:val="clear" w:color="auto" w:fill="auto"/>
            <w:vAlign w:val="bottom"/>
          </w:tcPr>
          <w:p w14:paraId="39D991C5" w14:textId="77777777" w:rsidR="00996AD7" w:rsidRDefault="00996AD7">
            <w:pPr>
              <w:rPr>
                <w:rFonts w:ascii="宋体"/>
                <w:vanish/>
              </w:rPr>
            </w:pPr>
          </w:p>
        </w:tc>
        <w:tc>
          <w:tcPr>
            <w:tcW w:w="0" w:type="auto"/>
            <w:gridSpan w:val="3"/>
            <w:shd w:val="clear" w:color="auto" w:fill="auto"/>
            <w:vAlign w:val="bottom"/>
          </w:tcPr>
          <w:p w14:paraId="39D991C6" w14:textId="77777777" w:rsidR="00996AD7" w:rsidRDefault="00996AD7">
            <w:pPr>
              <w:rPr>
                <w:rFonts w:ascii="宋体"/>
                <w:vanish/>
              </w:rPr>
            </w:pPr>
          </w:p>
        </w:tc>
      </w:tr>
      <w:tr w:rsidR="00996AD7" w14:paraId="39D991CB" w14:textId="77777777">
        <w:tc>
          <w:tcPr>
            <w:tcW w:w="0" w:type="auto"/>
            <w:gridSpan w:val="3"/>
            <w:shd w:val="clear" w:color="auto" w:fill="auto"/>
            <w:tcMar>
              <w:top w:w="40" w:type="dxa"/>
              <w:left w:w="20" w:type="dxa"/>
              <w:bottom w:w="40" w:type="dxa"/>
              <w:right w:w="20" w:type="dxa"/>
            </w:tcMar>
          </w:tcPr>
          <w:p w14:paraId="39D991C8" w14:textId="77777777" w:rsidR="00996AD7" w:rsidRDefault="00D96458">
            <w:pPr>
              <w:textAlignment w:val="top"/>
            </w:pPr>
            <w:r>
              <w:rPr>
                <w:rFonts w:ascii="Arial" w:eastAsia="宋体" w:hAnsi="Arial" w:cs="Arial"/>
                <w:color w:val="0068B5"/>
                <w:sz w:val="18"/>
                <w:szCs w:val="18"/>
              </w:rPr>
              <w:t>NAND</w:t>
            </w:r>
          </w:p>
        </w:tc>
        <w:tc>
          <w:tcPr>
            <w:tcW w:w="0" w:type="auto"/>
            <w:gridSpan w:val="3"/>
            <w:shd w:val="clear" w:color="auto" w:fill="auto"/>
            <w:tcMar>
              <w:top w:w="0" w:type="dxa"/>
              <w:left w:w="20" w:type="dxa"/>
              <w:bottom w:w="0" w:type="dxa"/>
              <w:right w:w="20" w:type="dxa"/>
            </w:tcMar>
            <w:vAlign w:val="bottom"/>
          </w:tcPr>
          <w:p w14:paraId="39D991C9"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1CA" w14:textId="77777777" w:rsidR="00996AD7" w:rsidRDefault="00D96458">
            <w:pPr>
              <w:textAlignment w:val="top"/>
            </w:pPr>
            <w:r>
              <w:rPr>
                <w:rFonts w:ascii="Arial" w:eastAsia="宋体" w:hAnsi="Arial" w:cs="Arial"/>
                <w:color w:val="262626"/>
                <w:sz w:val="18"/>
                <w:szCs w:val="18"/>
              </w:rPr>
              <w:t xml:space="preserve">NAND </w:t>
            </w:r>
            <w:r>
              <w:rPr>
                <w:rFonts w:ascii="Arial" w:eastAsia="宋体" w:hAnsi="Arial" w:cs="Arial"/>
                <w:color w:val="262626"/>
                <w:sz w:val="18"/>
                <w:szCs w:val="18"/>
              </w:rPr>
              <w:t>flash memory</w:t>
            </w:r>
          </w:p>
        </w:tc>
      </w:tr>
      <w:tr w:rsidR="00996AD7" w14:paraId="39D991CF" w14:textId="77777777">
        <w:tc>
          <w:tcPr>
            <w:tcW w:w="0" w:type="auto"/>
            <w:gridSpan w:val="3"/>
            <w:shd w:val="clear" w:color="auto" w:fill="auto"/>
            <w:tcMar>
              <w:top w:w="40" w:type="dxa"/>
              <w:left w:w="20" w:type="dxa"/>
              <w:bottom w:w="40" w:type="dxa"/>
              <w:right w:w="20" w:type="dxa"/>
            </w:tcMar>
          </w:tcPr>
          <w:p w14:paraId="39D991CC" w14:textId="77777777" w:rsidR="00996AD7" w:rsidRDefault="00D96458">
            <w:pPr>
              <w:textAlignment w:val="top"/>
            </w:pPr>
            <w:r>
              <w:rPr>
                <w:rFonts w:ascii="Arial" w:eastAsia="宋体" w:hAnsi="Arial" w:cs="Arial"/>
                <w:color w:val="0068B5"/>
                <w:sz w:val="18"/>
                <w:szCs w:val="18"/>
              </w:rPr>
              <w:t>nm</w:t>
            </w:r>
          </w:p>
        </w:tc>
        <w:tc>
          <w:tcPr>
            <w:tcW w:w="0" w:type="auto"/>
            <w:gridSpan w:val="3"/>
            <w:shd w:val="clear" w:color="auto" w:fill="auto"/>
            <w:tcMar>
              <w:top w:w="0" w:type="dxa"/>
              <w:left w:w="20" w:type="dxa"/>
              <w:bottom w:w="0" w:type="dxa"/>
              <w:right w:w="20" w:type="dxa"/>
            </w:tcMar>
            <w:vAlign w:val="bottom"/>
          </w:tcPr>
          <w:p w14:paraId="39D991CD"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1CE" w14:textId="77777777" w:rsidR="00996AD7" w:rsidRDefault="00D96458">
            <w:pPr>
              <w:textAlignment w:val="top"/>
            </w:pPr>
            <w:r>
              <w:rPr>
                <w:rFonts w:ascii="Arial" w:eastAsia="宋体" w:hAnsi="Arial" w:cs="Arial"/>
                <w:color w:val="262626"/>
                <w:sz w:val="18"/>
                <w:szCs w:val="18"/>
              </w:rPr>
              <w:t>Nanometer</w:t>
            </w:r>
          </w:p>
        </w:tc>
      </w:tr>
      <w:tr w:rsidR="00996AD7" w14:paraId="39D991D3" w14:textId="77777777">
        <w:tc>
          <w:tcPr>
            <w:tcW w:w="0" w:type="auto"/>
            <w:gridSpan w:val="3"/>
            <w:shd w:val="clear" w:color="auto" w:fill="auto"/>
            <w:tcMar>
              <w:top w:w="40" w:type="dxa"/>
              <w:left w:w="20" w:type="dxa"/>
              <w:bottom w:w="40" w:type="dxa"/>
              <w:right w:w="20" w:type="dxa"/>
            </w:tcMar>
          </w:tcPr>
          <w:p w14:paraId="39D991D0" w14:textId="77777777" w:rsidR="00996AD7" w:rsidRDefault="00D96458">
            <w:pPr>
              <w:textAlignment w:val="top"/>
            </w:pPr>
            <w:r>
              <w:rPr>
                <w:rFonts w:ascii="Arial" w:eastAsia="宋体" w:hAnsi="Arial" w:cs="Arial"/>
                <w:color w:val="0068B5"/>
                <w:sz w:val="18"/>
                <w:szCs w:val="18"/>
              </w:rPr>
              <w:t>NSG</w:t>
            </w:r>
          </w:p>
        </w:tc>
        <w:tc>
          <w:tcPr>
            <w:tcW w:w="0" w:type="auto"/>
            <w:gridSpan w:val="3"/>
            <w:shd w:val="clear" w:color="auto" w:fill="auto"/>
            <w:tcMar>
              <w:top w:w="0" w:type="dxa"/>
              <w:left w:w="20" w:type="dxa"/>
              <w:bottom w:w="0" w:type="dxa"/>
              <w:right w:w="20" w:type="dxa"/>
            </w:tcMar>
            <w:vAlign w:val="bottom"/>
          </w:tcPr>
          <w:p w14:paraId="39D991D1"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1D2" w14:textId="77777777" w:rsidR="00996AD7" w:rsidRDefault="00D96458">
            <w:pPr>
              <w:textAlignment w:val="top"/>
            </w:pPr>
            <w:r>
              <w:rPr>
                <w:rFonts w:ascii="Arial" w:eastAsia="宋体" w:hAnsi="Arial" w:cs="Arial"/>
                <w:color w:val="262626"/>
                <w:sz w:val="18"/>
                <w:szCs w:val="18"/>
              </w:rPr>
              <w:t>Non-Volatile Memory Solutions Group operating segment</w:t>
            </w:r>
          </w:p>
        </w:tc>
      </w:tr>
      <w:tr w:rsidR="00996AD7" w14:paraId="39D991D9" w14:textId="77777777">
        <w:trPr>
          <w:hidden/>
        </w:trPr>
        <w:tc>
          <w:tcPr>
            <w:tcW w:w="0" w:type="auto"/>
            <w:gridSpan w:val="3"/>
            <w:shd w:val="clear" w:color="auto" w:fill="auto"/>
            <w:vAlign w:val="bottom"/>
          </w:tcPr>
          <w:p w14:paraId="39D991D4" w14:textId="77777777" w:rsidR="00996AD7" w:rsidRDefault="00996AD7">
            <w:pPr>
              <w:rPr>
                <w:rFonts w:ascii="宋体"/>
                <w:vanish/>
              </w:rPr>
            </w:pPr>
          </w:p>
        </w:tc>
        <w:tc>
          <w:tcPr>
            <w:tcW w:w="0" w:type="auto"/>
            <w:gridSpan w:val="3"/>
            <w:shd w:val="clear" w:color="auto" w:fill="auto"/>
            <w:vAlign w:val="bottom"/>
          </w:tcPr>
          <w:p w14:paraId="39D991D5" w14:textId="77777777" w:rsidR="00996AD7" w:rsidRDefault="00996AD7">
            <w:pPr>
              <w:rPr>
                <w:rFonts w:ascii="宋体"/>
                <w:vanish/>
              </w:rPr>
            </w:pPr>
          </w:p>
        </w:tc>
        <w:tc>
          <w:tcPr>
            <w:tcW w:w="0" w:type="auto"/>
            <w:gridSpan w:val="3"/>
            <w:shd w:val="clear" w:color="auto" w:fill="auto"/>
            <w:vAlign w:val="bottom"/>
          </w:tcPr>
          <w:p w14:paraId="39D991D6" w14:textId="77777777" w:rsidR="00996AD7" w:rsidRDefault="00996AD7">
            <w:pPr>
              <w:rPr>
                <w:rFonts w:ascii="宋体"/>
                <w:vanish/>
              </w:rPr>
            </w:pPr>
          </w:p>
        </w:tc>
        <w:tc>
          <w:tcPr>
            <w:tcW w:w="0" w:type="auto"/>
            <w:gridSpan w:val="3"/>
            <w:shd w:val="clear" w:color="auto" w:fill="auto"/>
            <w:vAlign w:val="bottom"/>
          </w:tcPr>
          <w:p w14:paraId="39D991D7" w14:textId="77777777" w:rsidR="00996AD7" w:rsidRDefault="00996AD7">
            <w:pPr>
              <w:rPr>
                <w:rFonts w:ascii="宋体"/>
                <w:vanish/>
              </w:rPr>
            </w:pPr>
          </w:p>
        </w:tc>
        <w:tc>
          <w:tcPr>
            <w:tcW w:w="0" w:type="auto"/>
            <w:gridSpan w:val="3"/>
            <w:shd w:val="clear" w:color="auto" w:fill="auto"/>
            <w:vAlign w:val="bottom"/>
          </w:tcPr>
          <w:p w14:paraId="39D991D8" w14:textId="77777777" w:rsidR="00996AD7" w:rsidRDefault="00996AD7">
            <w:pPr>
              <w:rPr>
                <w:rFonts w:ascii="宋体"/>
                <w:vanish/>
              </w:rPr>
            </w:pPr>
          </w:p>
        </w:tc>
      </w:tr>
      <w:tr w:rsidR="00996AD7" w14:paraId="39D991DF" w14:textId="77777777">
        <w:trPr>
          <w:hidden/>
        </w:trPr>
        <w:tc>
          <w:tcPr>
            <w:tcW w:w="0" w:type="auto"/>
            <w:gridSpan w:val="3"/>
            <w:shd w:val="clear" w:color="auto" w:fill="auto"/>
            <w:vAlign w:val="bottom"/>
          </w:tcPr>
          <w:p w14:paraId="39D991DA" w14:textId="77777777" w:rsidR="00996AD7" w:rsidRDefault="00996AD7">
            <w:pPr>
              <w:rPr>
                <w:rFonts w:ascii="宋体"/>
                <w:vanish/>
              </w:rPr>
            </w:pPr>
          </w:p>
        </w:tc>
        <w:tc>
          <w:tcPr>
            <w:tcW w:w="0" w:type="auto"/>
            <w:gridSpan w:val="3"/>
            <w:shd w:val="clear" w:color="auto" w:fill="auto"/>
            <w:vAlign w:val="bottom"/>
          </w:tcPr>
          <w:p w14:paraId="39D991DB" w14:textId="77777777" w:rsidR="00996AD7" w:rsidRDefault="00996AD7">
            <w:pPr>
              <w:rPr>
                <w:rFonts w:ascii="宋体"/>
                <w:vanish/>
              </w:rPr>
            </w:pPr>
          </w:p>
        </w:tc>
        <w:tc>
          <w:tcPr>
            <w:tcW w:w="0" w:type="auto"/>
            <w:gridSpan w:val="3"/>
            <w:shd w:val="clear" w:color="auto" w:fill="auto"/>
            <w:vAlign w:val="bottom"/>
          </w:tcPr>
          <w:p w14:paraId="39D991DC" w14:textId="77777777" w:rsidR="00996AD7" w:rsidRDefault="00996AD7">
            <w:pPr>
              <w:rPr>
                <w:rFonts w:ascii="宋体"/>
                <w:vanish/>
              </w:rPr>
            </w:pPr>
          </w:p>
        </w:tc>
        <w:tc>
          <w:tcPr>
            <w:tcW w:w="0" w:type="auto"/>
            <w:gridSpan w:val="3"/>
            <w:shd w:val="clear" w:color="auto" w:fill="auto"/>
            <w:vAlign w:val="bottom"/>
          </w:tcPr>
          <w:p w14:paraId="39D991DD" w14:textId="77777777" w:rsidR="00996AD7" w:rsidRDefault="00996AD7">
            <w:pPr>
              <w:rPr>
                <w:rFonts w:ascii="宋体"/>
                <w:vanish/>
              </w:rPr>
            </w:pPr>
          </w:p>
        </w:tc>
        <w:tc>
          <w:tcPr>
            <w:tcW w:w="0" w:type="auto"/>
            <w:gridSpan w:val="3"/>
            <w:shd w:val="clear" w:color="auto" w:fill="auto"/>
            <w:vAlign w:val="bottom"/>
          </w:tcPr>
          <w:p w14:paraId="39D991DE" w14:textId="77777777" w:rsidR="00996AD7" w:rsidRDefault="00996AD7">
            <w:pPr>
              <w:rPr>
                <w:rFonts w:ascii="宋体"/>
                <w:vanish/>
              </w:rPr>
            </w:pPr>
          </w:p>
        </w:tc>
      </w:tr>
      <w:tr w:rsidR="00996AD7" w14:paraId="39D991E3" w14:textId="77777777">
        <w:tc>
          <w:tcPr>
            <w:tcW w:w="0" w:type="auto"/>
            <w:gridSpan w:val="3"/>
            <w:shd w:val="clear" w:color="auto" w:fill="auto"/>
            <w:tcMar>
              <w:top w:w="40" w:type="dxa"/>
              <w:left w:w="20" w:type="dxa"/>
              <w:bottom w:w="40" w:type="dxa"/>
              <w:right w:w="20" w:type="dxa"/>
            </w:tcMar>
          </w:tcPr>
          <w:p w14:paraId="39D991E0" w14:textId="77777777" w:rsidR="00996AD7" w:rsidRDefault="00D96458">
            <w:pPr>
              <w:textAlignment w:val="top"/>
            </w:pPr>
            <w:r>
              <w:rPr>
                <w:rFonts w:ascii="Arial" w:eastAsia="宋体" w:hAnsi="Arial" w:cs="Arial"/>
                <w:color w:val="0068B5"/>
                <w:sz w:val="18"/>
                <w:szCs w:val="18"/>
              </w:rPr>
              <w:t>OEM</w:t>
            </w:r>
          </w:p>
        </w:tc>
        <w:tc>
          <w:tcPr>
            <w:tcW w:w="0" w:type="auto"/>
            <w:gridSpan w:val="3"/>
            <w:shd w:val="clear" w:color="auto" w:fill="auto"/>
            <w:tcMar>
              <w:top w:w="0" w:type="dxa"/>
              <w:left w:w="20" w:type="dxa"/>
              <w:bottom w:w="0" w:type="dxa"/>
              <w:right w:w="20" w:type="dxa"/>
            </w:tcMar>
            <w:vAlign w:val="bottom"/>
          </w:tcPr>
          <w:p w14:paraId="39D991E1"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1E2" w14:textId="77777777" w:rsidR="00996AD7" w:rsidRDefault="00D96458">
            <w:pPr>
              <w:textAlignment w:val="top"/>
            </w:pPr>
            <w:r>
              <w:rPr>
                <w:rFonts w:ascii="Arial" w:eastAsia="宋体" w:hAnsi="Arial" w:cs="Arial"/>
                <w:color w:val="262626"/>
                <w:sz w:val="18"/>
                <w:szCs w:val="18"/>
              </w:rPr>
              <w:t>Original equipment manufacturer</w:t>
            </w:r>
          </w:p>
        </w:tc>
      </w:tr>
      <w:tr w:rsidR="00996AD7" w14:paraId="39D991E9" w14:textId="77777777">
        <w:trPr>
          <w:hidden/>
        </w:trPr>
        <w:tc>
          <w:tcPr>
            <w:tcW w:w="0" w:type="auto"/>
            <w:gridSpan w:val="3"/>
            <w:shd w:val="clear" w:color="auto" w:fill="auto"/>
            <w:vAlign w:val="bottom"/>
          </w:tcPr>
          <w:p w14:paraId="39D991E4" w14:textId="77777777" w:rsidR="00996AD7" w:rsidRDefault="00996AD7">
            <w:pPr>
              <w:rPr>
                <w:rFonts w:ascii="宋体"/>
                <w:vanish/>
              </w:rPr>
            </w:pPr>
          </w:p>
        </w:tc>
        <w:tc>
          <w:tcPr>
            <w:tcW w:w="0" w:type="auto"/>
            <w:gridSpan w:val="3"/>
            <w:shd w:val="clear" w:color="auto" w:fill="auto"/>
            <w:vAlign w:val="bottom"/>
          </w:tcPr>
          <w:p w14:paraId="39D991E5" w14:textId="77777777" w:rsidR="00996AD7" w:rsidRDefault="00996AD7">
            <w:pPr>
              <w:rPr>
                <w:rFonts w:ascii="宋体"/>
                <w:vanish/>
              </w:rPr>
            </w:pPr>
          </w:p>
        </w:tc>
        <w:tc>
          <w:tcPr>
            <w:tcW w:w="0" w:type="auto"/>
            <w:gridSpan w:val="3"/>
            <w:shd w:val="clear" w:color="auto" w:fill="auto"/>
            <w:vAlign w:val="bottom"/>
          </w:tcPr>
          <w:p w14:paraId="39D991E6" w14:textId="77777777" w:rsidR="00996AD7" w:rsidRDefault="00996AD7">
            <w:pPr>
              <w:rPr>
                <w:rFonts w:ascii="宋体"/>
                <w:vanish/>
              </w:rPr>
            </w:pPr>
          </w:p>
        </w:tc>
        <w:tc>
          <w:tcPr>
            <w:tcW w:w="0" w:type="auto"/>
            <w:gridSpan w:val="3"/>
            <w:shd w:val="clear" w:color="auto" w:fill="auto"/>
            <w:vAlign w:val="bottom"/>
          </w:tcPr>
          <w:p w14:paraId="39D991E7" w14:textId="77777777" w:rsidR="00996AD7" w:rsidRDefault="00996AD7">
            <w:pPr>
              <w:rPr>
                <w:rFonts w:ascii="宋体"/>
                <w:vanish/>
              </w:rPr>
            </w:pPr>
          </w:p>
        </w:tc>
        <w:tc>
          <w:tcPr>
            <w:tcW w:w="0" w:type="auto"/>
            <w:gridSpan w:val="3"/>
            <w:shd w:val="clear" w:color="auto" w:fill="auto"/>
            <w:vAlign w:val="bottom"/>
          </w:tcPr>
          <w:p w14:paraId="39D991E8" w14:textId="77777777" w:rsidR="00996AD7" w:rsidRDefault="00996AD7">
            <w:pPr>
              <w:rPr>
                <w:rFonts w:ascii="宋体"/>
                <w:vanish/>
              </w:rPr>
            </w:pPr>
          </w:p>
        </w:tc>
      </w:tr>
      <w:tr w:rsidR="00996AD7" w14:paraId="39D991EF" w14:textId="77777777">
        <w:trPr>
          <w:hidden/>
        </w:trPr>
        <w:tc>
          <w:tcPr>
            <w:tcW w:w="0" w:type="auto"/>
            <w:gridSpan w:val="3"/>
            <w:shd w:val="clear" w:color="auto" w:fill="auto"/>
            <w:vAlign w:val="bottom"/>
          </w:tcPr>
          <w:p w14:paraId="39D991EA" w14:textId="77777777" w:rsidR="00996AD7" w:rsidRDefault="00996AD7">
            <w:pPr>
              <w:rPr>
                <w:rFonts w:ascii="宋体"/>
                <w:vanish/>
              </w:rPr>
            </w:pPr>
          </w:p>
        </w:tc>
        <w:tc>
          <w:tcPr>
            <w:tcW w:w="0" w:type="auto"/>
            <w:gridSpan w:val="3"/>
            <w:shd w:val="clear" w:color="auto" w:fill="auto"/>
            <w:vAlign w:val="bottom"/>
          </w:tcPr>
          <w:p w14:paraId="39D991EB" w14:textId="77777777" w:rsidR="00996AD7" w:rsidRDefault="00996AD7">
            <w:pPr>
              <w:rPr>
                <w:rFonts w:ascii="宋体"/>
                <w:vanish/>
              </w:rPr>
            </w:pPr>
          </w:p>
        </w:tc>
        <w:tc>
          <w:tcPr>
            <w:tcW w:w="0" w:type="auto"/>
            <w:gridSpan w:val="3"/>
            <w:shd w:val="clear" w:color="auto" w:fill="auto"/>
            <w:vAlign w:val="bottom"/>
          </w:tcPr>
          <w:p w14:paraId="39D991EC" w14:textId="77777777" w:rsidR="00996AD7" w:rsidRDefault="00996AD7">
            <w:pPr>
              <w:rPr>
                <w:rFonts w:ascii="宋体"/>
                <w:vanish/>
              </w:rPr>
            </w:pPr>
          </w:p>
        </w:tc>
        <w:tc>
          <w:tcPr>
            <w:tcW w:w="0" w:type="auto"/>
            <w:gridSpan w:val="3"/>
            <w:shd w:val="clear" w:color="auto" w:fill="auto"/>
            <w:vAlign w:val="bottom"/>
          </w:tcPr>
          <w:p w14:paraId="39D991ED" w14:textId="77777777" w:rsidR="00996AD7" w:rsidRDefault="00996AD7">
            <w:pPr>
              <w:rPr>
                <w:rFonts w:ascii="宋体"/>
                <w:vanish/>
              </w:rPr>
            </w:pPr>
          </w:p>
        </w:tc>
        <w:tc>
          <w:tcPr>
            <w:tcW w:w="0" w:type="auto"/>
            <w:gridSpan w:val="3"/>
            <w:shd w:val="clear" w:color="auto" w:fill="auto"/>
            <w:vAlign w:val="bottom"/>
          </w:tcPr>
          <w:p w14:paraId="39D991EE" w14:textId="77777777" w:rsidR="00996AD7" w:rsidRDefault="00996AD7">
            <w:pPr>
              <w:rPr>
                <w:rFonts w:ascii="宋体"/>
                <w:vanish/>
              </w:rPr>
            </w:pPr>
          </w:p>
        </w:tc>
      </w:tr>
      <w:tr w:rsidR="00996AD7" w14:paraId="39D991F5" w14:textId="77777777">
        <w:trPr>
          <w:hidden/>
        </w:trPr>
        <w:tc>
          <w:tcPr>
            <w:tcW w:w="0" w:type="auto"/>
            <w:gridSpan w:val="3"/>
            <w:shd w:val="clear" w:color="auto" w:fill="auto"/>
            <w:vAlign w:val="bottom"/>
          </w:tcPr>
          <w:p w14:paraId="39D991F0" w14:textId="77777777" w:rsidR="00996AD7" w:rsidRDefault="00996AD7">
            <w:pPr>
              <w:rPr>
                <w:rFonts w:ascii="宋体"/>
                <w:vanish/>
              </w:rPr>
            </w:pPr>
          </w:p>
        </w:tc>
        <w:tc>
          <w:tcPr>
            <w:tcW w:w="0" w:type="auto"/>
            <w:gridSpan w:val="3"/>
            <w:shd w:val="clear" w:color="auto" w:fill="auto"/>
            <w:vAlign w:val="bottom"/>
          </w:tcPr>
          <w:p w14:paraId="39D991F1" w14:textId="77777777" w:rsidR="00996AD7" w:rsidRDefault="00996AD7">
            <w:pPr>
              <w:rPr>
                <w:rFonts w:ascii="宋体"/>
                <w:vanish/>
              </w:rPr>
            </w:pPr>
          </w:p>
        </w:tc>
        <w:tc>
          <w:tcPr>
            <w:tcW w:w="0" w:type="auto"/>
            <w:gridSpan w:val="3"/>
            <w:shd w:val="clear" w:color="auto" w:fill="auto"/>
            <w:vAlign w:val="bottom"/>
          </w:tcPr>
          <w:p w14:paraId="39D991F2" w14:textId="77777777" w:rsidR="00996AD7" w:rsidRDefault="00996AD7">
            <w:pPr>
              <w:rPr>
                <w:rFonts w:ascii="宋体"/>
                <w:vanish/>
              </w:rPr>
            </w:pPr>
          </w:p>
        </w:tc>
        <w:tc>
          <w:tcPr>
            <w:tcW w:w="0" w:type="auto"/>
            <w:gridSpan w:val="3"/>
            <w:shd w:val="clear" w:color="auto" w:fill="auto"/>
            <w:vAlign w:val="bottom"/>
          </w:tcPr>
          <w:p w14:paraId="39D991F3" w14:textId="77777777" w:rsidR="00996AD7" w:rsidRDefault="00996AD7">
            <w:pPr>
              <w:rPr>
                <w:rFonts w:ascii="宋体"/>
                <w:vanish/>
              </w:rPr>
            </w:pPr>
          </w:p>
        </w:tc>
        <w:tc>
          <w:tcPr>
            <w:tcW w:w="0" w:type="auto"/>
            <w:gridSpan w:val="3"/>
            <w:shd w:val="clear" w:color="auto" w:fill="auto"/>
            <w:vAlign w:val="bottom"/>
          </w:tcPr>
          <w:p w14:paraId="39D991F4" w14:textId="77777777" w:rsidR="00996AD7" w:rsidRDefault="00996AD7">
            <w:pPr>
              <w:rPr>
                <w:rFonts w:ascii="宋体"/>
                <w:vanish/>
              </w:rPr>
            </w:pPr>
          </w:p>
        </w:tc>
      </w:tr>
      <w:tr w:rsidR="00996AD7" w14:paraId="39D991FB" w14:textId="77777777">
        <w:trPr>
          <w:hidden/>
        </w:trPr>
        <w:tc>
          <w:tcPr>
            <w:tcW w:w="0" w:type="auto"/>
            <w:gridSpan w:val="3"/>
            <w:shd w:val="clear" w:color="auto" w:fill="auto"/>
            <w:vAlign w:val="bottom"/>
          </w:tcPr>
          <w:p w14:paraId="39D991F6" w14:textId="77777777" w:rsidR="00996AD7" w:rsidRDefault="00996AD7">
            <w:pPr>
              <w:rPr>
                <w:rFonts w:ascii="宋体"/>
                <w:vanish/>
              </w:rPr>
            </w:pPr>
          </w:p>
        </w:tc>
        <w:tc>
          <w:tcPr>
            <w:tcW w:w="0" w:type="auto"/>
            <w:gridSpan w:val="3"/>
            <w:shd w:val="clear" w:color="auto" w:fill="auto"/>
            <w:vAlign w:val="bottom"/>
          </w:tcPr>
          <w:p w14:paraId="39D991F7" w14:textId="77777777" w:rsidR="00996AD7" w:rsidRDefault="00996AD7">
            <w:pPr>
              <w:rPr>
                <w:rFonts w:ascii="宋体"/>
                <w:vanish/>
              </w:rPr>
            </w:pPr>
          </w:p>
        </w:tc>
        <w:tc>
          <w:tcPr>
            <w:tcW w:w="0" w:type="auto"/>
            <w:gridSpan w:val="3"/>
            <w:shd w:val="clear" w:color="auto" w:fill="auto"/>
            <w:vAlign w:val="bottom"/>
          </w:tcPr>
          <w:p w14:paraId="39D991F8" w14:textId="77777777" w:rsidR="00996AD7" w:rsidRDefault="00996AD7">
            <w:pPr>
              <w:rPr>
                <w:rFonts w:ascii="宋体"/>
                <w:vanish/>
              </w:rPr>
            </w:pPr>
          </w:p>
        </w:tc>
        <w:tc>
          <w:tcPr>
            <w:tcW w:w="0" w:type="auto"/>
            <w:gridSpan w:val="3"/>
            <w:shd w:val="clear" w:color="auto" w:fill="auto"/>
            <w:vAlign w:val="bottom"/>
          </w:tcPr>
          <w:p w14:paraId="39D991F9" w14:textId="77777777" w:rsidR="00996AD7" w:rsidRDefault="00996AD7">
            <w:pPr>
              <w:rPr>
                <w:rFonts w:ascii="宋体"/>
                <w:vanish/>
              </w:rPr>
            </w:pPr>
          </w:p>
        </w:tc>
        <w:tc>
          <w:tcPr>
            <w:tcW w:w="0" w:type="auto"/>
            <w:gridSpan w:val="3"/>
            <w:shd w:val="clear" w:color="auto" w:fill="auto"/>
            <w:vAlign w:val="bottom"/>
          </w:tcPr>
          <w:p w14:paraId="39D991FA" w14:textId="77777777" w:rsidR="00996AD7" w:rsidRDefault="00996AD7">
            <w:pPr>
              <w:rPr>
                <w:rFonts w:ascii="宋体"/>
                <w:vanish/>
              </w:rPr>
            </w:pPr>
          </w:p>
        </w:tc>
      </w:tr>
      <w:tr w:rsidR="00996AD7" w14:paraId="39D99201" w14:textId="77777777">
        <w:trPr>
          <w:hidden/>
        </w:trPr>
        <w:tc>
          <w:tcPr>
            <w:tcW w:w="0" w:type="auto"/>
            <w:gridSpan w:val="3"/>
            <w:shd w:val="clear" w:color="auto" w:fill="auto"/>
            <w:vAlign w:val="bottom"/>
          </w:tcPr>
          <w:p w14:paraId="39D991FC" w14:textId="77777777" w:rsidR="00996AD7" w:rsidRDefault="00996AD7">
            <w:pPr>
              <w:rPr>
                <w:rFonts w:ascii="宋体"/>
                <w:vanish/>
              </w:rPr>
            </w:pPr>
          </w:p>
        </w:tc>
        <w:tc>
          <w:tcPr>
            <w:tcW w:w="0" w:type="auto"/>
            <w:gridSpan w:val="3"/>
            <w:shd w:val="clear" w:color="auto" w:fill="auto"/>
            <w:vAlign w:val="bottom"/>
          </w:tcPr>
          <w:p w14:paraId="39D991FD" w14:textId="77777777" w:rsidR="00996AD7" w:rsidRDefault="00996AD7">
            <w:pPr>
              <w:rPr>
                <w:rFonts w:ascii="宋体"/>
                <w:vanish/>
              </w:rPr>
            </w:pPr>
          </w:p>
        </w:tc>
        <w:tc>
          <w:tcPr>
            <w:tcW w:w="0" w:type="auto"/>
            <w:gridSpan w:val="3"/>
            <w:shd w:val="clear" w:color="auto" w:fill="auto"/>
            <w:vAlign w:val="bottom"/>
          </w:tcPr>
          <w:p w14:paraId="39D991FE" w14:textId="77777777" w:rsidR="00996AD7" w:rsidRDefault="00996AD7">
            <w:pPr>
              <w:rPr>
                <w:rFonts w:ascii="宋体"/>
                <w:vanish/>
              </w:rPr>
            </w:pPr>
          </w:p>
        </w:tc>
        <w:tc>
          <w:tcPr>
            <w:tcW w:w="0" w:type="auto"/>
            <w:gridSpan w:val="3"/>
            <w:shd w:val="clear" w:color="auto" w:fill="auto"/>
            <w:vAlign w:val="bottom"/>
          </w:tcPr>
          <w:p w14:paraId="39D991FF" w14:textId="77777777" w:rsidR="00996AD7" w:rsidRDefault="00996AD7">
            <w:pPr>
              <w:rPr>
                <w:rFonts w:ascii="宋体"/>
                <w:vanish/>
              </w:rPr>
            </w:pPr>
          </w:p>
        </w:tc>
        <w:tc>
          <w:tcPr>
            <w:tcW w:w="0" w:type="auto"/>
            <w:gridSpan w:val="3"/>
            <w:shd w:val="clear" w:color="auto" w:fill="auto"/>
            <w:vAlign w:val="bottom"/>
          </w:tcPr>
          <w:p w14:paraId="39D99200" w14:textId="77777777" w:rsidR="00996AD7" w:rsidRDefault="00996AD7">
            <w:pPr>
              <w:rPr>
                <w:rFonts w:ascii="宋体"/>
                <w:vanish/>
              </w:rPr>
            </w:pPr>
          </w:p>
        </w:tc>
      </w:tr>
      <w:tr w:rsidR="00996AD7" w14:paraId="39D99205" w14:textId="77777777">
        <w:tc>
          <w:tcPr>
            <w:tcW w:w="0" w:type="auto"/>
            <w:gridSpan w:val="3"/>
            <w:shd w:val="clear" w:color="auto" w:fill="auto"/>
            <w:tcMar>
              <w:top w:w="40" w:type="dxa"/>
              <w:left w:w="20" w:type="dxa"/>
              <w:bottom w:w="40" w:type="dxa"/>
              <w:right w:w="20" w:type="dxa"/>
            </w:tcMar>
          </w:tcPr>
          <w:p w14:paraId="39D99202" w14:textId="77777777" w:rsidR="00996AD7" w:rsidRDefault="00D96458">
            <w:pPr>
              <w:textAlignment w:val="top"/>
            </w:pPr>
            <w:r>
              <w:rPr>
                <w:rFonts w:ascii="Arial" w:eastAsia="宋体" w:hAnsi="Arial" w:cs="Arial"/>
                <w:color w:val="0068B5"/>
                <w:sz w:val="18"/>
                <w:szCs w:val="18"/>
              </w:rPr>
              <w:t>Platform products</w:t>
            </w:r>
          </w:p>
        </w:tc>
        <w:tc>
          <w:tcPr>
            <w:tcW w:w="0" w:type="auto"/>
            <w:gridSpan w:val="3"/>
            <w:shd w:val="clear" w:color="auto" w:fill="auto"/>
            <w:tcMar>
              <w:top w:w="0" w:type="dxa"/>
              <w:left w:w="20" w:type="dxa"/>
              <w:bottom w:w="0" w:type="dxa"/>
              <w:right w:w="20" w:type="dxa"/>
            </w:tcMar>
            <w:vAlign w:val="bottom"/>
          </w:tcPr>
          <w:p w14:paraId="39D99203"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204" w14:textId="77777777" w:rsidR="00996AD7" w:rsidRDefault="00D96458">
            <w:pPr>
              <w:textAlignment w:val="top"/>
            </w:pPr>
            <w:r>
              <w:rPr>
                <w:rFonts w:ascii="Arial" w:eastAsia="宋体" w:hAnsi="Arial" w:cs="Arial"/>
                <w:color w:val="262626"/>
                <w:sz w:val="18"/>
                <w:szCs w:val="18"/>
              </w:rPr>
              <w:t xml:space="preserve">A microprocessor (CPU) and chipset, a stand-alone SoC, or a </w:t>
            </w:r>
            <w:r>
              <w:rPr>
                <w:rFonts w:ascii="Arial" w:eastAsia="宋体" w:hAnsi="Arial" w:cs="Arial"/>
                <w:color w:val="262626"/>
                <w:sz w:val="18"/>
                <w:szCs w:val="18"/>
              </w:rPr>
              <w:t>multichip package, based on Intel architecture. Platform products are primarily used in solutions sold through the CCG, DCG, and IOTG segments</w:t>
            </w:r>
          </w:p>
        </w:tc>
      </w:tr>
      <w:tr w:rsidR="00996AD7" w14:paraId="39D9920B" w14:textId="77777777">
        <w:trPr>
          <w:hidden/>
        </w:trPr>
        <w:tc>
          <w:tcPr>
            <w:tcW w:w="0" w:type="auto"/>
            <w:gridSpan w:val="3"/>
            <w:shd w:val="clear" w:color="auto" w:fill="auto"/>
            <w:vAlign w:val="bottom"/>
          </w:tcPr>
          <w:p w14:paraId="39D99206" w14:textId="77777777" w:rsidR="00996AD7" w:rsidRDefault="00996AD7">
            <w:pPr>
              <w:rPr>
                <w:rFonts w:ascii="宋体"/>
                <w:vanish/>
              </w:rPr>
            </w:pPr>
          </w:p>
        </w:tc>
        <w:tc>
          <w:tcPr>
            <w:tcW w:w="0" w:type="auto"/>
            <w:gridSpan w:val="3"/>
            <w:shd w:val="clear" w:color="auto" w:fill="auto"/>
            <w:vAlign w:val="bottom"/>
          </w:tcPr>
          <w:p w14:paraId="39D99207" w14:textId="77777777" w:rsidR="00996AD7" w:rsidRDefault="00996AD7">
            <w:pPr>
              <w:rPr>
                <w:rFonts w:ascii="宋体"/>
                <w:vanish/>
              </w:rPr>
            </w:pPr>
          </w:p>
        </w:tc>
        <w:tc>
          <w:tcPr>
            <w:tcW w:w="0" w:type="auto"/>
            <w:gridSpan w:val="3"/>
            <w:shd w:val="clear" w:color="auto" w:fill="auto"/>
            <w:vAlign w:val="bottom"/>
          </w:tcPr>
          <w:p w14:paraId="39D99208" w14:textId="77777777" w:rsidR="00996AD7" w:rsidRDefault="00996AD7">
            <w:pPr>
              <w:rPr>
                <w:rFonts w:ascii="宋体"/>
                <w:vanish/>
              </w:rPr>
            </w:pPr>
          </w:p>
        </w:tc>
        <w:tc>
          <w:tcPr>
            <w:tcW w:w="0" w:type="auto"/>
            <w:gridSpan w:val="3"/>
            <w:shd w:val="clear" w:color="auto" w:fill="auto"/>
            <w:vAlign w:val="bottom"/>
          </w:tcPr>
          <w:p w14:paraId="39D99209" w14:textId="77777777" w:rsidR="00996AD7" w:rsidRDefault="00996AD7">
            <w:pPr>
              <w:rPr>
                <w:rFonts w:ascii="宋体"/>
                <w:vanish/>
              </w:rPr>
            </w:pPr>
          </w:p>
        </w:tc>
        <w:tc>
          <w:tcPr>
            <w:tcW w:w="0" w:type="auto"/>
            <w:gridSpan w:val="3"/>
            <w:shd w:val="clear" w:color="auto" w:fill="auto"/>
            <w:vAlign w:val="bottom"/>
          </w:tcPr>
          <w:p w14:paraId="39D9920A" w14:textId="77777777" w:rsidR="00996AD7" w:rsidRDefault="00996AD7">
            <w:pPr>
              <w:rPr>
                <w:rFonts w:ascii="宋体"/>
                <w:vanish/>
              </w:rPr>
            </w:pPr>
          </w:p>
        </w:tc>
      </w:tr>
      <w:tr w:rsidR="00996AD7" w14:paraId="39D99211" w14:textId="77777777">
        <w:trPr>
          <w:hidden/>
        </w:trPr>
        <w:tc>
          <w:tcPr>
            <w:tcW w:w="0" w:type="auto"/>
            <w:gridSpan w:val="3"/>
            <w:shd w:val="clear" w:color="auto" w:fill="auto"/>
            <w:vAlign w:val="bottom"/>
          </w:tcPr>
          <w:p w14:paraId="39D9920C" w14:textId="77777777" w:rsidR="00996AD7" w:rsidRDefault="00996AD7">
            <w:pPr>
              <w:rPr>
                <w:rFonts w:ascii="宋体"/>
                <w:vanish/>
              </w:rPr>
            </w:pPr>
          </w:p>
        </w:tc>
        <w:tc>
          <w:tcPr>
            <w:tcW w:w="0" w:type="auto"/>
            <w:gridSpan w:val="3"/>
            <w:shd w:val="clear" w:color="auto" w:fill="auto"/>
            <w:vAlign w:val="bottom"/>
          </w:tcPr>
          <w:p w14:paraId="39D9920D" w14:textId="77777777" w:rsidR="00996AD7" w:rsidRDefault="00996AD7">
            <w:pPr>
              <w:rPr>
                <w:rFonts w:ascii="宋体"/>
                <w:vanish/>
              </w:rPr>
            </w:pPr>
          </w:p>
        </w:tc>
        <w:tc>
          <w:tcPr>
            <w:tcW w:w="0" w:type="auto"/>
            <w:gridSpan w:val="3"/>
            <w:shd w:val="clear" w:color="auto" w:fill="auto"/>
            <w:vAlign w:val="bottom"/>
          </w:tcPr>
          <w:p w14:paraId="39D9920E" w14:textId="77777777" w:rsidR="00996AD7" w:rsidRDefault="00996AD7">
            <w:pPr>
              <w:rPr>
                <w:rFonts w:ascii="宋体"/>
                <w:vanish/>
              </w:rPr>
            </w:pPr>
          </w:p>
        </w:tc>
        <w:tc>
          <w:tcPr>
            <w:tcW w:w="0" w:type="auto"/>
            <w:gridSpan w:val="3"/>
            <w:shd w:val="clear" w:color="auto" w:fill="auto"/>
            <w:vAlign w:val="bottom"/>
          </w:tcPr>
          <w:p w14:paraId="39D9920F" w14:textId="77777777" w:rsidR="00996AD7" w:rsidRDefault="00996AD7">
            <w:pPr>
              <w:rPr>
                <w:rFonts w:ascii="宋体"/>
                <w:vanish/>
              </w:rPr>
            </w:pPr>
          </w:p>
        </w:tc>
        <w:tc>
          <w:tcPr>
            <w:tcW w:w="0" w:type="auto"/>
            <w:gridSpan w:val="3"/>
            <w:shd w:val="clear" w:color="auto" w:fill="auto"/>
            <w:vAlign w:val="bottom"/>
          </w:tcPr>
          <w:p w14:paraId="39D99210" w14:textId="77777777" w:rsidR="00996AD7" w:rsidRDefault="00996AD7">
            <w:pPr>
              <w:rPr>
                <w:rFonts w:ascii="宋体"/>
                <w:vanish/>
              </w:rPr>
            </w:pPr>
          </w:p>
        </w:tc>
      </w:tr>
      <w:tr w:rsidR="00996AD7" w14:paraId="39D99219" w14:textId="77777777">
        <w:trPr>
          <w:hidden/>
        </w:trPr>
        <w:tc>
          <w:tcPr>
            <w:tcW w:w="0" w:type="auto"/>
            <w:gridSpan w:val="3"/>
            <w:shd w:val="clear" w:color="auto" w:fill="auto"/>
            <w:vAlign w:val="bottom"/>
          </w:tcPr>
          <w:p w14:paraId="39D99212" w14:textId="77777777" w:rsidR="00996AD7" w:rsidRDefault="00996AD7">
            <w:pPr>
              <w:rPr>
                <w:rFonts w:ascii="宋体"/>
                <w:vanish/>
              </w:rPr>
            </w:pPr>
          </w:p>
        </w:tc>
        <w:tc>
          <w:tcPr>
            <w:tcW w:w="0" w:type="auto"/>
            <w:gridSpan w:val="3"/>
            <w:shd w:val="clear" w:color="auto" w:fill="auto"/>
            <w:vAlign w:val="bottom"/>
          </w:tcPr>
          <w:p w14:paraId="39D99213" w14:textId="77777777" w:rsidR="00996AD7" w:rsidRDefault="00996AD7">
            <w:pPr>
              <w:rPr>
                <w:rFonts w:ascii="宋体"/>
                <w:vanish/>
              </w:rPr>
            </w:pPr>
          </w:p>
        </w:tc>
        <w:tc>
          <w:tcPr>
            <w:tcW w:w="0" w:type="auto"/>
            <w:gridSpan w:val="3"/>
            <w:shd w:val="clear" w:color="auto" w:fill="auto"/>
            <w:vAlign w:val="bottom"/>
          </w:tcPr>
          <w:p w14:paraId="39D99214" w14:textId="77777777" w:rsidR="00996AD7" w:rsidRDefault="00996AD7">
            <w:pPr>
              <w:rPr>
                <w:rFonts w:ascii="宋体"/>
                <w:vanish/>
              </w:rPr>
            </w:pPr>
          </w:p>
        </w:tc>
        <w:tc>
          <w:tcPr>
            <w:tcW w:w="0" w:type="auto"/>
            <w:gridSpan w:val="3"/>
            <w:shd w:val="clear" w:color="auto" w:fill="auto"/>
            <w:vAlign w:val="bottom"/>
          </w:tcPr>
          <w:p w14:paraId="39D99215" w14:textId="77777777" w:rsidR="00996AD7" w:rsidRDefault="00996AD7">
            <w:pPr>
              <w:rPr>
                <w:rFonts w:ascii="宋体"/>
                <w:vanish/>
              </w:rPr>
            </w:pPr>
          </w:p>
        </w:tc>
        <w:tc>
          <w:tcPr>
            <w:tcW w:w="0" w:type="auto"/>
            <w:shd w:val="clear" w:color="auto" w:fill="auto"/>
            <w:vAlign w:val="bottom"/>
          </w:tcPr>
          <w:p w14:paraId="39D99216" w14:textId="77777777" w:rsidR="00996AD7" w:rsidRDefault="00996AD7">
            <w:pPr>
              <w:rPr>
                <w:rFonts w:ascii="宋体"/>
              </w:rPr>
            </w:pPr>
          </w:p>
        </w:tc>
        <w:tc>
          <w:tcPr>
            <w:tcW w:w="0" w:type="auto"/>
            <w:shd w:val="clear" w:color="auto" w:fill="auto"/>
            <w:vAlign w:val="bottom"/>
          </w:tcPr>
          <w:p w14:paraId="39D99217" w14:textId="77777777" w:rsidR="00996AD7" w:rsidRDefault="00996AD7">
            <w:pPr>
              <w:rPr>
                <w:rFonts w:ascii="宋体"/>
              </w:rPr>
            </w:pPr>
          </w:p>
        </w:tc>
        <w:tc>
          <w:tcPr>
            <w:tcW w:w="0" w:type="auto"/>
            <w:shd w:val="clear" w:color="auto" w:fill="auto"/>
            <w:vAlign w:val="bottom"/>
          </w:tcPr>
          <w:p w14:paraId="39D99218" w14:textId="77777777" w:rsidR="00996AD7" w:rsidRDefault="00996AD7">
            <w:pPr>
              <w:rPr>
                <w:rFonts w:ascii="宋体"/>
              </w:rPr>
            </w:pPr>
          </w:p>
        </w:tc>
      </w:tr>
      <w:tr w:rsidR="00996AD7" w14:paraId="39D9921F" w14:textId="77777777">
        <w:trPr>
          <w:hidden/>
        </w:trPr>
        <w:tc>
          <w:tcPr>
            <w:tcW w:w="0" w:type="auto"/>
            <w:gridSpan w:val="3"/>
            <w:shd w:val="clear" w:color="auto" w:fill="auto"/>
            <w:vAlign w:val="bottom"/>
          </w:tcPr>
          <w:p w14:paraId="39D9921A" w14:textId="77777777" w:rsidR="00996AD7" w:rsidRDefault="00996AD7">
            <w:pPr>
              <w:rPr>
                <w:rFonts w:ascii="宋体"/>
                <w:vanish/>
              </w:rPr>
            </w:pPr>
          </w:p>
        </w:tc>
        <w:tc>
          <w:tcPr>
            <w:tcW w:w="0" w:type="auto"/>
            <w:gridSpan w:val="3"/>
            <w:shd w:val="clear" w:color="auto" w:fill="auto"/>
            <w:vAlign w:val="bottom"/>
          </w:tcPr>
          <w:p w14:paraId="39D9921B" w14:textId="77777777" w:rsidR="00996AD7" w:rsidRDefault="00996AD7">
            <w:pPr>
              <w:rPr>
                <w:rFonts w:ascii="宋体"/>
                <w:vanish/>
              </w:rPr>
            </w:pPr>
          </w:p>
        </w:tc>
        <w:tc>
          <w:tcPr>
            <w:tcW w:w="0" w:type="auto"/>
            <w:gridSpan w:val="3"/>
            <w:shd w:val="clear" w:color="auto" w:fill="auto"/>
            <w:vAlign w:val="bottom"/>
          </w:tcPr>
          <w:p w14:paraId="39D9921C" w14:textId="77777777" w:rsidR="00996AD7" w:rsidRDefault="00996AD7">
            <w:pPr>
              <w:rPr>
                <w:rFonts w:ascii="宋体"/>
                <w:vanish/>
              </w:rPr>
            </w:pPr>
          </w:p>
        </w:tc>
        <w:tc>
          <w:tcPr>
            <w:tcW w:w="0" w:type="auto"/>
            <w:gridSpan w:val="3"/>
            <w:shd w:val="clear" w:color="auto" w:fill="auto"/>
            <w:vAlign w:val="bottom"/>
          </w:tcPr>
          <w:p w14:paraId="39D9921D" w14:textId="77777777" w:rsidR="00996AD7" w:rsidRDefault="00996AD7">
            <w:pPr>
              <w:rPr>
                <w:rFonts w:ascii="宋体"/>
                <w:vanish/>
              </w:rPr>
            </w:pPr>
          </w:p>
        </w:tc>
        <w:tc>
          <w:tcPr>
            <w:tcW w:w="0" w:type="auto"/>
            <w:gridSpan w:val="3"/>
            <w:shd w:val="clear" w:color="auto" w:fill="auto"/>
            <w:vAlign w:val="bottom"/>
          </w:tcPr>
          <w:p w14:paraId="39D9921E" w14:textId="77777777" w:rsidR="00996AD7" w:rsidRDefault="00996AD7">
            <w:pPr>
              <w:rPr>
                <w:rFonts w:ascii="宋体"/>
                <w:vanish/>
              </w:rPr>
            </w:pPr>
          </w:p>
        </w:tc>
      </w:tr>
      <w:tr w:rsidR="00996AD7" w14:paraId="39D99225" w14:textId="77777777">
        <w:trPr>
          <w:hidden/>
        </w:trPr>
        <w:tc>
          <w:tcPr>
            <w:tcW w:w="0" w:type="auto"/>
            <w:gridSpan w:val="3"/>
            <w:shd w:val="clear" w:color="auto" w:fill="auto"/>
            <w:vAlign w:val="bottom"/>
          </w:tcPr>
          <w:p w14:paraId="39D99220" w14:textId="77777777" w:rsidR="00996AD7" w:rsidRDefault="00996AD7">
            <w:pPr>
              <w:rPr>
                <w:rFonts w:ascii="宋体"/>
                <w:vanish/>
              </w:rPr>
            </w:pPr>
          </w:p>
        </w:tc>
        <w:tc>
          <w:tcPr>
            <w:tcW w:w="0" w:type="auto"/>
            <w:gridSpan w:val="3"/>
            <w:shd w:val="clear" w:color="auto" w:fill="auto"/>
            <w:vAlign w:val="bottom"/>
          </w:tcPr>
          <w:p w14:paraId="39D99221" w14:textId="77777777" w:rsidR="00996AD7" w:rsidRDefault="00996AD7">
            <w:pPr>
              <w:rPr>
                <w:rFonts w:ascii="宋体"/>
                <w:vanish/>
              </w:rPr>
            </w:pPr>
          </w:p>
        </w:tc>
        <w:tc>
          <w:tcPr>
            <w:tcW w:w="0" w:type="auto"/>
            <w:gridSpan w:val="3"/>
            <w:shd w:val="clear" w:color="auto" w:fill="auto"/>
            <w:vAlign w:val="bottom"/>
          </w:tcPr>
          <w:p w14:paraId="39D99222" w14:textId="77777777" w:rsidR="00996AD7" w:rsidRDefault="00996AD7">
            <w:pPr>
              <w:rPr>
                <w:rFonts w:ascii="宋体"/>
                <w:vanish/>
              </w:rPr>
            </w:pPr>
          </w:p>
        </w:tc>
        <w:tc>
          <w:tcPr>
            <w:tcW w:w="0" w:type="auto"/>
            <w:gridSpan w:val="3"/>
            <w:shd w:val="clear" w:color="auto" w:fill="auto"/>
            <w:vAlign w:val="bottom"/>
          </w:tcPr>
          <w:p w14:paraId="39D99223" w14:textId="77777777" w:rsidR="00996AD7" w:rsidRDefault="00996AD7">
            <w:pPr>
              <w:rPr>
                <w:rFonts w:ascii="宋体"/>
                <w:vanish/>
              </w:rPr>
            </w:pPr>
          </w:p>
        </w:tc>
        <w:tc>
          <w:tcPr>
            <w:tcW w:w="0" w:type="auto"/>
            <w:gridSpan w:val="3"/>
            <w:shd w:val="clear" w:color="auto" w:fill="auto"/>
            <w:vAlign w:val="bottom"/>
          </w:tcPr>
          <w:p w14:paraId="39D99224" w14:textId="77777777" w:rsidR="00996AD7" w:rsidRDefault="00996AD7">
            <w:pPr>
              <w:rPr>
                <w:rFonts w:ascii="宋体"/>
                <w:vanish/>
              </w:rPr>
            </w:pPr>
          </w:p>
        </w:tc>
      </w:tr>
      <w:tr w:rsidR="00996AD7" w14:paraId="39D9922B" w14:textId="77777777">
        <w:trPr>
          <w:hidden/>
        </w:trPr>
        <w:tc>
          <w:tcPr>
            <w:tcW w:w="0" w:type="auto"/>
            <w:gridSpan w:val="3"/>
            <w:shd w:val="clear" w:color="auto" w:fill="auto"/>
            <w:vAlign w:val="bottom"/>
          </w:tcPr>
          <w:p w14:paraId="39D99226" w14:textId="77777777" w:rsidR="00996AD7" w:rsidRDefault="00996AD7">
            <w:pPr>
              <w:rPr>
                <w:rFonts w:ascii="宋体"/>
                <w:vanish/>
              </w:rPr>
            </w:pPr>
          </w:p>
        </w:tc>
        <w:tc>
          <w:tcPr>
            <w:tcW w:w="0" w:type="auto"/>
            <w:gridSpan w:val="3"/>
            <w:shd w:val="clear" w:color="auto" w:fill="auto"/>
            <w:vAlign w:val="bottom"/>
          </w:tcPr>
          <w:p w14:paraId="39D99227" w14:textId="77777777" w:rsidR="00996AD7" w:rsidRDefault="00996AD7">
            <w:pPr>
              <w:rPr>
                <w:rFonts w:ascii="宋体"/>
                <w:vanish/>
              </w:rPr>
            </w:pPr>
          </w:p>
        </w:tc>
        <w:tc>
          <w:tcPr>
            <w:tcW w:w="0" w:type="auto"/>
            <w:gridSpan w:val="3"/>
            <w:shd w:val="clear" w:color="auto" w:fill="auto"/>
            <w:vAlign w:val="bottom"/>
          </w:tcPr>
          <w:p w14:paraId="39D99228" w14:textId="77777777" w:rsidR="00996AD7" w:rsidRDefault="00996AD7">
            <w:pPr>
              <w:rPr>
                <w:rFonts w:ascii="宋体"/>
                <w:vanish/>
              </w:rPr>
            </w:pPr>
          </w:p>
        </w:tc>
        <w:tc>
          <w:tcPr>
            <w:tcW w:w="0" w:type="auto"/>
            <w:gridSpan w:val="3"/>
            <w:shd w:val="clear" w:color="auto" w:fill="auto"/>
            <w:vAlign w:val="bottom"/>
          </w:tcPr>
          <w:p w14:paraId="39D99229" w14:textId="77777777" w:rsidR="00996AD7" w:rsidRDefault="00996AD7">
            <w:pPr>
              <w:rPr>
                <w:rFonts w:ascii="宋体"/>
                <w:vanish/>
              </w:rPr>
            </w:pPr>
          </w:p>
        </w:tc>
        <w:tc>
          <w:tcPr>
            <w:tcW w:w="0" w:type="auto"/>
            <w:gridSpan w:val="3"/>
            <w:shd w:val="clear" w:color="auto" w:fill="auto"/>
            <w:vAlign w:val="bottom"/>
          </w:tcPr>
          <w:p w14:paraId="39D9922A" w14:textId="77777777" w:rsidR="00996AD7" w:rsidRDefault="00996AD7">
            <w:pPr>
              <w:rPr>
                <w:rFonts w:ascii="宋体"/>
                <w:vanish/>
              </w:rPr>
            </w:pPr>
          </w:p>
        </w:tc>
      </w:tr>
      <w:tr w:rsidR="00996AD7" w14:paraId="39D99231" w14:textId="77777777">
        <w:trPr>
          <w:hidden/>
        </w:trPr>
        <w:tc>
          <w:tcPr>
            <w:tcW w:w="0" w:type="auto"/>
            <w:gridSpan w:val="3"/>
            <w:shd w:val="clear" w:color="auto" w:fill="auto"/>
            <w:vAlign w:val="bottom"/>
          </w:tcPr>
          <w:p w14:paraId="39D9922C" w14:textId="77777777" w:rsidR="00996AD7" w:rsidRDefault="00996AD7">
            <w:pPr>
              <w:rPr>
                <w:rFonts w:ascii="宋体"/>
                <w:vanish/>
              </w:rPr>
            </w:pPr>
          </w:p>
        </w:tc>
        <w:tc>
          <w:tcPr>
            <w:tcW w:w="0" w:type="auto"/>
            <w:gridSpan w:val="3"/>
            <w:shd w:val="clear" w:color="auto" w:fill="auto"/>
            <w:vAlign w:val="bottom"/>
          </w:tcPr>
          <w:p w14:paraId="39D9922D" w14:textId="77777777" w:rsidR="00996AD7" w:rsidRDefault="00996AD7">
            <w:pPr>
              <w:rPr>
                <w:rFonts w:ascii="宋体"/>
                <w:vanish/>
              </w:rPr>
            </w:pPr>
          </w:p>
        </w:tc>
        <w:tc>
          <w:tcPr>
            <w:tcW w:w="0" w:type="auto"/>
            <w:gridSpan w:val="3"/>
            <w:shd w:val="clear" w:color="auto" w:fill="auto"/>
            <w:vAlign w:val="bottom"/>
          </w:tcPr>
          <w:p w14:paraId="39D9922E" w14:textId="77777777" w:rsidR="00996AD7" w:rsidRDefault="00996AD7">
            <w:pPr>
              <w:rPr>
                <w:rFonts w:ascii="宋体"/>
                <w:vanish/>
              </w:rPr>
            </w:pPr>
          </w:p>
        </w:tc>
        <w:tc>
          <w:tcPr>
            <w:tcW w:w="0" w:type="auto"/>
            <w:gridSpan w:val="3"/>
            <w:shd w:val="clear" w:color="auto" w:fill="auto"/>
            <w:vAlign w:val="bottom"/>
          </w:tcPr>
          <w:p w14:paraId="39D9922F" w14:textId="77777777" w:rsidR="00996AD7" w:rsidRDefault="00996AD7">
            <w:pPr>
              <w:rPr>
                <w:rFonts w:ascii="宋体"/>
                <w:vanish/>
              </w:rPr>
            </w:pPr>
          </w:p>
        </w:tc>
        <w:tc>
          <w:tcPr>
            <w:tcW w:w="0" w:type="auto"/>
            <w:gridSpan w:val="3"/>
            <w:shd w:val="clear" w:color="auto" w:fill="auto"/>
            <w:vAlign w:val="bottom"/>
          </w:tcPr>
          <w:p w14:paraId="39D99230" w14:textId="77777777" w:rsidR="00996AD7" w:rsidRDefault="00996AD7">
            <w:pPr>
              <w:rPr>
                <w:rFonts w:ascii="宋体"/>
                <w:vanish/>
              </w:rPr>
            </w:pPr>
          </w:p>
        </w:tc>
      </w:tr>
      <w:tr w:rsidR="00996AD7" w14:paraId="39D99237" w14:textId="77777777">
        <w:trPr>
          <w:hidden/>
        </w:trPr>
        <w:tc>
          <w:tcPr>
            <w:tcW w:w="0" w:type="auto"/>
            <w:gridSpan w:val="3"/>
            <w:shd w:val="clear" w:color="auto" w:fill="auto"/>
            <w:vAlign w:val="bottom"/>
          </w:tcPr>
          <w:p w14:paraId="39D99232" w14:textId="77777777" w:rsidR="00996AD7" w:rsidRDefault="00996AD7">
            <w:pPr>
              <w:rPr>
                <w:rFonts w:ascii="宋体"/>
                <w:vanish/>
              </w:rPr>
            </w:pPr>
          </w:p>
        </w:tc>
        <w:tc>
          <w:tcPr>
            <w:tcW w:w="0" w:type="auto"/>
            <w:gridSpan w:val="3"/>
            <w:shd w:val="clear" w:color="auto" w:fill="auto"/>
            <w:vAlign w:val="bottom"/>
          </w:tcPr>
          <w:p w14:paraId="39D99233" w14:textId="77777777" w:rsidR="00996AD7" w:rsidRDefault="00996AD7">
            <w:pPr>
              <w:rPr>
                <w:rFonts w:ascii="宋体"/>
                <w:vanish/>
              </w:rPr>
            </w:pPr>
          </w:p>
        </w:tc>
        <w:tc>
          <w:tcPr>
            <w:tcW w:w="0" w:type="auto"/>
            <w:gridSpan w:val="3"/>
            <w:shd w:val="clear" w:color="auto" w:fill="auto"/>
            <w:vAlign w:val="bottom"/>
          </w:tcPr>
          <w:p w14:paraId="39D99234" w14:textId="77777777" w:rsidR="00996AD7" w:rsidRDefault="00996AD7">
            <w:pPr>
              <w:rPr>
                <w:rFonts w:ascii="宋体"/>
                <w:vanish/>
              </w:rPr>
            </w:pPr>
          </w:p>
        </w:tc>
        <w:tc>
          <w:tcPr>
            <w:tcW w:w="0" w:type="auto"/>
            <w:gridSpan w:val="3"/>
            <w:shd w:val="clear" w:color="auto" w:fill="auto"/>
            <w:vAlign w:val="bottom"/>
          </w:tcPr>
          <w:p w14:paraId="39D99235" w14:textId="77777777" w:rsidR="00996AD7" w:rsidRDefault="00996AD7">
            <w:pPr>
              <w:rPr>
                <w:rFonts w:ascii="宋体"/>
                <w:vanish/>
              </w:rPr>
            </w:pPr>
          </w:p>
        </w:tc>
        <w:tc>
          <w:tcPr>
            <w:tcW w:w="0" w:type="auto"/>
            <w:gridSpan w:val="3"/>
            <w:shd w:val="clear" w:color="auto" w:fill="auto"/>
            <w:vAlign w:val="bottom"/>
          </w:tcPr>
          <w:p w14:paraId="39D99236" w14:textId="77777777" w:rsidR="00996AD7" w:rsidRDefault="00996AD7">
            <w:pPr>
              <w:rPr>
                <w:rFonts w:ascii="宋体"/>
                <w:vanish/>
              </w:rPr>
            </w:pPr>
          </w:p>
        </w:tc>
      </w:tr>
      <w:tr w:rsidR="00996AD7" w14:paraId="39D9923B" w14:textId="77777777">
        <w:tc>
          <w:tcPr>
            <w:tcW w:w="0" w:type="auto"/>
            <w:gridSpan w:val="3"/>
            <w:shd w:val="clear" w:color="auto" w:fill="auto"/>
            <w:tcMar>
              <w:top w:w="40" w:type="dxa"/>
              <w:left w:w="20" w:type="dxa"/>
              <w:bottom w:w="40" w:type="dxa"/>
              <w:right w:w="20" w:type="dxa"/>
            </w:tcMar>
          </w:tcPr>
          <w:p w14:paraId="39D99238" w14:textId="77777777" w:rsidR="00996AD7" w:rsidRDefault="00D96458">
            <w:pPr>
              <w:textAlignment w:val="top"/>
            </w:pPr>
            <w:r>
              <w:rPr>
                <w:rFonts w:ascii="Arial" w:eastAsia="宋体" w:hAnsi="Arial" w:cs="Arial"/>
                <w:color w:val="0068B5"/>
                <w:sz w:val="18"/>
                <w:szCs w:val="18"/>
              </w:rPr>
              <w:t>PSG</w:t>
            </w:r>
          </w:p>
        </w:tc>
        <w:tc>
          <w:tcPr>
            <w:tcW w:w="0" w:type="auto"/>
            <w:gridSpan w:val="3"/>
            <w:shd w:val="clear" w:color="auto" w:fill="auto"/>
            <w:tcMar>
              <w:top w:w="0" w:type="dxa"/>
              <w:left w:w="20" w:type="dxa"/>
              <w:bottom w:w="0" w:type="dxa"/>
              <w:right w:w="20" w:type="dxa"/>
            </w:tcMar>
            <w:vAlign w:val="bottom"/>
          </w:tcPr>
          <w:p w14:paraId="39D99239"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23A" w14:textId="77777777" w:rsidR="00996AD7" w:rsidRDefault="00D96458">
            <w:pPr>
              <w:textAlignment w:val="top"/>
            </w:pPr>
            <w:r>
              <w:rPr>
                <w:rFonts w:ascii="Arial" w:eastAsia="宋体" w:hAnsi="Arial" w:cs="Arial"/>
                <w:color w:val="262626"/>
                <w:sz w:val="18"/>
                <w:szCs w:val="18"/>
              </w:rPr>
              <w:t>Programmable Solutions Group operating segment</w:t>
            </w:r>
          </w:p>
        </w:tc>
      </w:tr>
      <w:tr w:rsidR="00996AD7" w14:paraId="39D99241" w14:textId="77777777">
        <w:trPr>
          <w:hidden/>
        </w:trPr>
        <w:tc>
          <w:tcPr>
            <w:tcW w:w="0" w:type="auto"/>
            <w:gridSpan w:val="3"/>
            <w:shd w:val="clear" w:color="auto" w:fill="auto"/>
            <w:vAlign w:val="bottom"/>
          </w:tcPr>
          <w:p w14:paraId="39D9923C" w14:textId="77777777" w:rsidR="00996AD7" w:rsidRDefault="00996AD7">
            <w:pPr>
              <w:rPr>
                <w:rFonts w:ascii="宋体"/>
                <w:vanish/>
              </w:rPr>
            </w:pPr>
          </w:p>
        </w:tc>
        <w:tc>
          <w:tcPr>
            <w:tcW w:w="0" w:type="auto"/>
            <w:gridSpan w:val="3"/>
            <w:shd w:val="clear" w:color="auto" w:fill="auto"/>
            <w:vAlign w:val="bottom"/>
          </w:tcPr>
          <w:p w14:paraId="39D9923D" w14:textId="77777777" w:rsidR="00996AD7" w:rsidRDefault="00996AD7">
            <w:pPr>
              <w:rPr>
                <w:rFonts w:ascii="宋体"/>
                <w:vanish/>
              </w:rPr>
            </w:pPr>
          </w:p>
        </w:tc>
        <w:tc>
          <w:tcPr>
            <w:tcW w:w="0" w:type="auto"/>
            <w:gridSpan w:val="3"/>
            <w:shd w:val="clear" w:color="auto" w:fill="auto"/>
            <w:vAlign w:val="bottom"/>
          </w:tcPr>
          <w:p w14:paraId="39D9923E" w14:textId="77777777" w:rsidR="00996AD7" w:rsidRDefault="00996AD7">
            <w:pPr>
              <w:rPr>
                <w:rFonts w:ascii="宋体"/>
                <w:vanish/>
              </w:rPr>
            </w:pPr>
          </w:p>
        </w:tc>
        <w:tc>
          <w:tcPr>
            <w:tcW w:w="0" w:type="auto"/>
            <w:gridSpan w:val="3"/>
            <w:shd w:val="clear" w:color="auto" w:fill="auto"/>
            <w:vAlign w:val="bottom"/>
          </w:tcPr>
          <w:p w14:paraId="39D9923F" w14:textId="77777777" w:rsidR="00996AD7" w:rsidRDefault="00996AD7">
            <w:pPr>
              <w:rPr>
                <w:rFonts w:ascii="宋体"/>
                <w:vanish/>
              </w:rPr>
            </w:pPr>
          </w:p>
        </w:tc>
        <w:tc>
          <w:tcPr>
            <w:tcW w:w="0" w:type="auto"/>
            <w:gridSpan w:val="3"/>
            <w:shd w:val="clear" w:color="auto" w:fill="auto"/>
            <w:vAlign w:val="bottom"/>
          </w:tcPr>
          <w:p w14:paraId="39D99240" w14:textId="77777777" w:rsidR="00996AD7" w:rsidRDefault="00996AD7">
            <w:pPr>
              <w:rPr>
                <w:rFonts w:ascii="宋体"/>
                <w:vanish/>
              </w:rPr>
            </w:pPr>
          </w:p>
        </w:tc>
      </w:tr>
      <w:tr w:rsidR="00996AD7" w14:paraId="39D99247" w14:textId="77777777">
        <w:trPr>
          <w:hidden/>
        </w:trPr>
        <w:tc>
          <w:tcPr>
            <w:tcW w:w="0" w:type="auto"/>
            <w:gridSpan w:val="3"/>
            <w:shd w:val="clear" w:color="auto" w:fill="auto"/>
            <w:vAlign w:val="bottom"/>
          </w:tcPr>
          <w:p w14:paraId="39D99242" w14:textId="77777777" w:rsidR="00996AD7" w:rsidRDefault="00996AD7">
            <w:pPr>
              <w:rPr>
                <w:rFonts w:ascii="宋体"/>
                <w:vanish/>
              </w:rPr>
            </w:pPr>
          </w:p>
        </w:tc>
        <w:tc>
          <w:tcPr>
            <w:tcW w:w="0" w:type="auto"/>
            <w:gridSpan w:val="3"/>
            <w:shd w:val="clear" w:color="auto" w:fill="auto"/>
            <w:vAlign w:val="bottom"/>
          </w:tcPr>
          <w:p w14:paraId="39D99243" w14:textId="77777777" w:rsidR="00996AD7" w:rsidRDefault="00996AD7">
            <w:pPr>
              <w:rPr>
                <w:rFonts w:ascii="宋体"/>
                <w:vanish/>
              </w:rPr>
            </w:pPr>
          </w:p>
        </w:tc>
        <w:tc>
          <w:tcPr>
            <w:tcW w:w="0" w:type="auto"/>
            <w:gridSpan w:val="3"/>
            <w:shd w:val="clear" w:color="auto" w:fill="auto"/>
            <w:vAlign w:val="bottom"/>
          </w:tcPr>
          <w:p w14:paraId="39D99244" w14:textId="77777777" w:rsidR="00996AD7" w:rsidRDefault="00996AD7">
            <w:pPr>
              <w:rPr>
                <w:rFonts w:ascii="宋体"/>
                <w:vanish/>
              </w:rPr>
            </w:pPr>
          </w:p>
        </w:tc>
        <w:tc>
          <w:tcPr>
            <w:tcW w:w="0" w:type="auto"/>
            <w:gridSpan w:val="3"/>
            <w:shd w:val="clear" w:color="auto" w:fill="auto"/>
            <w:vAlign w:val="bottom"/>
          </w:tcPr>
          <w:p w14:paraId="39D99245" w14:textId="77777777" w:rsidR="00996AD7" w:rsidRDefault="00996AD7">
            <w:pPr>
              <w:rPr>
                <w:rFonts w:ascii="宋体"/>
                <w:vanish/>
              </w:rPr>
            </w:pPr>
          </w:p>
        </w:tc>
        <w:tc>
          <w:tcPr>
            <w:tcW w:w="0" w:type="auto"/>
            <w:gridSpan w:val="3"/>
            <w:shd w:val="clear" w:color="auto" w:fill="auto"/>
            <w:vAlign w:val="bottom"/>
          </w:tcPr>
          <w:p w14:paraId="39D99246" w14:textId="77777777" w:rsidR="00996AD7" w:rsidRDefault="00996AD7">
            <w:pPr>
              <w:rPr>
                <w:rFonts w:ascii="宋体"/>
                <w:vanish/>
              </w:rPr>
            </w:pPr>
          </w:p>
        </w:tc>
      </w:tr>
      <w:tr w:rsidR="00996AD7" w14:paraId="39D9924D" w14:textId="77777777">
        <w:trPr>
          <w:hidden/>
        </w:trPr>
        <w:tc>
          <w:tcPr>
            <w:tcW w:w="0" w:type="auto"/>
            <w:gridSpan w:val="3"/>
            <w:shd w:val="clear" w:color="auto" w:fill="auto"/>
            <w:vAlign w:val="bottom"/>
          </w:tcPr>
          <w:p w14:paraId="39D99248" w14:textId="77777777" w:rsidR="00996AD7" w:rsidRDefault="00996AD7">
            <w:pPr>
              <w:rPr>
                <w:rFonts w:ascii="宋体"/>
                <w:vanish/>
              </w:rPr>
            </w:pPr>
          </w:p>
        </w:tc>
        <w:tc>
          <w:tcPr>
            <w:tcW w:w="0" w:type="auto"/>
            <w:gridSpan w:val="3"/>
            <w:shd w:val="clear" w:color="auto" w:fill="auto"/>
            <w:vAlign w:val="bottom"/>
          </w:tcPr>
          <w:p w14:paraId="39D99249" w14:textId="77777777" w:rsidR="00996AD7" w:rsidRDefault="00996AD7">
            <w:pPr>
              <w:rPr>
                <w:rFonts w:ascii="宋体"/>
                <w:vanish/>
              </w:rPr>
            </w:pPr>
          </w:p>
        </w:tc>
        <w:tc>
          <w:tcPr>
            <w:tcW w:w="0" w:type="auto"/>
            <w:gridSpan w:val="3"/>
            <w:shd w:val="clear" w:color="auto" w:fill="auto"/>
            <w:vAlign w:val="bottom"/>
          </w:tcPr>
          <w:p w14:paraId="39D9924A" w14:textId="77777777" w:rsidR="00996AD7" w:rsidRDefault="00996AD7">
            <w:pPr>
              <w:rPr>
                <w:rFonts w:ascii="宋体"/>
                <w:vanish/>
              </w:rPr>
            </w:pPr>
          </w:p>
        </w:tc>
        <w:tc>
          <w:tcPr>
            <w:tcW w:w="0" w:type="auto"/>
            <w:gridSpan w:val="3"/>
            <w:shd w:val="clear" w:color="auto" w:fill="auto"/>
            <w:vAlign w:val="bottom"/>
          </w:tcPr>
          <w:p w14:paraId="39D9924B" w14:textId="77777777" w:rsidR="00996AD7" w:rsidRDefault="00996AD7">
            <w:pPr>
              <w:rPr>
                <w:rFonts w:ascii="宋体"/>
                <w:vanish/>
              </w:rPr>
            </w:pPr>
          </w:p>
        </w:tc>
        <w:tc>
          <w:tcPr>
            <w:tcW w:w="0" w:type="auto"/>
            <w:gridSpan w:val="3"/>
            <w:shd w:val="clear" w:color="auto" w:fill="auto"/>
            <w:vAlign w:val="bottom"/>
          </w:tcPr>
          <w:p w14:paraId="39D9924C" w14:textId="77777777" w:rsidR="00996AD7" w:rsidRDefault="00996AD7">
            <w:pPr>
              <w:rPr>
                <w:rFonts w:ascii="宋体"/>
                <w:vanish/>
              </w:rPr>
            </w:pPr>
          </w:p>
        </w:tc>
      </w:tr>
      <w:tr w:rsidR="00996AD7" w14:paraId="39D99253" w14:textId="77777777">
        <w:trPr>
          <w:hidden/>
        </w:trPr>
        <w:tc>
          <w:tcPr>
            <w:tcW w:w="0" w:type="auto"/>
            <w:gridSpan w:val="3"/>
            <w:shd w:val="clear" w:color="auto" w:fill="auto"/>
            <w:vAlign w:val="bottom"/>
          </w:tcPr>
          <w:p w14:paraId="39D9924E" w14:textId="77777777" w:rsidR="00996AD7" w:rsidRDefault="00996AD7">
            <w:pPr>
              <w:rPr>
                <w:rFonts w:ascii="宋体"/>
                <w:vanish/>
              </w:rPr>
            </w:pPr>
          </w:p>
        </w:tc>
        <w:tc>
          <w:tcPr>
            <w:tcW w:w="0" w:type="auto"/>
            <w:gridSpan w:val="3"/>
            <w:shd w:val="clear" w:color="auto" w:fill="auto"/>
            <w:vAlign w:val="bottom"/>
          </w:tcPr>
          <w:p w14:paraId="39D9924F" w14:textId="77777777" w:rsidR="00996AD7" w:rsidRDefault="00996AD7">
            <w:pPr>
              <w:rPr>
                <w:rFonts w:ascii="宋体"/>
                <w:vanish/>
              </w:rPr>
            </w:pPr>
          </w:p>
        </w:tc>
        <w:tc>
          <w:tcPr>
            <w:tcW w:w="0" w:type="auto"/>
            <w:gridSpan w:val="3"/>
            <w:shd w:val="clear" w:color="auto" w:fill="auto"/>
            <w:vAlign w:val="bottom"/>
          </w:tcPr>
          <w:p w14:paraId="39D99250" w14:textId="77777777" w:rsidR="00996AD7" w:rsidRDefault="00996AD7">
            <w:pPr>
              <w:rPr>
                <w:rFonts w:ascii="宋体"/>
                <w:vanish/>
              </w:rPr>
            </w:pPr>
          </w:p>
        </w:tc>
        <w:tc>
          <w:tcPr>
            <w:tcW w:w="0" w:type="auto"/>
            <w:gridSpan w:val="3"/>
            <w:shd w:val="clear" w:color="auto" w:fill="auto"/>
            <w:vAlign w:val="bottom"/>
          </w:tcPr>
          <w:p w14:paraId="39D99251" w14:textId="77777777" w:rsidR="00996AD7" w:rsidRDefault="00996AD7">
            <w:pPr>
              <w:rPr>
                <w:rFonts w:ascii="宋体"/>
                <w:vanish/>
              </w:rPr>
            </w:pPr>
          </w:p>
        </w:tc>
        <w:tc>
          <w:tcPr>
            <w:tcW w:w="0" w:type="auto"/>
            <w:gridSpan w:val="3"/>
            <w:shd w:val="clear" w:color="auto" w:fill="auto"/>
            <w:vAlign w:val="bottom"/>
          </w:tcPr>
          <w:p w14:paraId="39D99252" w14:textId="77777777" w:rsidR="00996AD7" w:rsidRDefault="00996AD7">
            <w:pPr>
              <w:rPr>
                <w:rFonts w:ascii="宋体"/>
                <w:vanish/>
              </w:rPr>
            </w:pPr>
          </w:p>
        </w:tc>
      </w:tr>
      <w:tr w:rsidR="00996AD7" w14:paraId="39D99259" w14:textId="77777777">
        <w:trPr>
          <w:hidden/>
        </w:trPr>
        <w:tc>
          <w:tcPr>
            <w:tcW w:w="0" w:type="auto"/>
            <w:gridSpan w:val="3"/>
            <w:shd w:val="clear" w:color="auto" w:fill="auto"/>
            <w:vAlign w:val="bottom"/>
          </w:tcPr>
          <w:p w14:paraId="39D99254" w14:textId="77777777" w:rsidR="00996AD7" w:rsidRDefault="00996AD7">
            <w:pPr>
              <w:rPr>
                <w:rFonts w:ascii="宋体"/>
                <w:vanish/>
              </w:rPr>
            </w:pPr>
          </w:p>
        </w:tc>
        <w:tc>
          <w:tcPr>
            <w:tcW w:w="0" w:type="auto"/>
            <w:gridSpan w:val="3"/>
            <w:shd w:val="clear" w:color="auto" w:fill="auto"/>
            <w:vAlign w:val="bottom"/>
          </w:tcPr>
          <w:p w14:paraId="39D99255" w14:textId="77777777" w:rsidR="00996AD7" w:rsidRDefault="00996AD7">
            <w:pPr>
              <w:rPr>
                <w:rFonts w:ascii="宋体"/>
                <w:vanish/>
              </w:rPr>
            </w:pPr>
          </w:p>
        </w:tc>
        <w:tc>
          <w:tcPr>
            <w:tcW w:w="0" w:type="auto"/>
            <w:gridSpan w:val="3"/>
            <w:shd w:val="clear" w:color="auto" w:fill="auto"/>
            <w:vAlign w:val="bottom"/>
          </w:tcPr>
          <w:p w14:paraId="39D99256" w14:textId="77777777" w:rsidR="00996AD7" w:rsidRDefault="00996AD7">
            <w:pPr>
              <w:rPr>
                <w:rFonts w:ascii="宋体"/>
                <w:vanish/>
              </w:rPr>
            </w:pPr>
          </w:p>
        </w:tc>
        <w:tc>
          <w:tcPr>
            <w:tcW w:w="0" w:type="auto"/>
            <w:gridSpan w:val="3"/>
            <w:shd w:val="clear" w:color="auto" w:fill="auto"/>
            <w:vAlign w:val="bottom"/>
          </w:tcPr>
          <w:p w14:paraId="39D99257" w14:textId="77777777" w:rsidR="00996AD7" w:rsidRDefault="00996AD7">
            <w:pPr>
              <w:rPr>
                <w:rFonts w:ascii="宋体"/>
                <w:vanish/>
              </w:rPr>
            </w:pPr>
          </w:p>
        </w:tc>
        <w:tc>
          <w:tcPr>
            <w:tcW w:w="0" w:type="auto"/>
            <w:gridSpan w:val="3"/>
            <w:shd w:val="clear" w:color="auto" w:fill="auto"/>
            <w:vAlign w:val="bottom"/>
          </w:tcPr>
          <w:p w14:paraId="39D99258" w14:textId="77777777" w:rsidR="00996AD7" w:rsidRDefault="00996AD7">
            <w:pPr>
              <w:rPr>
                <w:rFonts w:ascii="宋体"/>
                <w:vanish/>
              </w:rPr>
            </w:pPr>
          </w:p>
        </w:tc>
      </w:tr>
      <w:tr w:rsidR="00996AD7" w14:paraId="39D9925F" w14:textId="77777777">
        <w:trPr>
          <w:hidden/>
        </w:trPr>
        <w:tc>
          <w:tcPr>
            <w:tcW w:w="0" w:type="auto"/>
            <w:gridSpan w:val="3"/>
            <w:shd w:val="clear" w:color="auto" w:fill="auto"/>
            <w:vAlign w:val="bottom"/>
          </w:tcPr>
          <w:p w14:paraId="39D9925A" w14:textId="77777777" w:rsidR="00996AD7" w:rsidRDefault="00996AD7">
            <w:pPr>
              <w:rPr>
                <w:rFonts w:ascii="宋体"/>
                <w:vanish/>
              </w:rPr>
            </w:pPr>
          </w:p>
        </w:tc>
        <w:tc>
          <w:tcPr>
            <w:tcW w:w="0" w:type="auto"/>
            <w:gridSpan w:val="3"/>
            <w:shd w:val="clear" w:color="auto" w:fill="auto"/>
            <w:vAlign w:val="bottom"/>
          </w:tcPr>
          <w:p w14:paraId="39D9925B" w14:textId="77777777" w:rsidR="00996AD7" w:rsidRDefault="00996AD7">
            <w:pPr>
              <w:rPr>
                <w:rFonts w:ascii="宋体"/>
                <w:vanish/>
              </w:rPr>
            </w:pPr>
          </w:p>
        </w:tc>
        <w:tc>
          <w:tcPr>
            <w:tcW w:w="0" w:type="auto"/>
            <w:gridSpan w:val="3"/>
            <w:shd w:val="clear" w:color="auto" w:fill="auto"/>
            <w:vAlign w:val="bottom"/>
          </w:tcPr>
          <w:p w14:paraId="39D9925C" w14:textId="77777777" w:rsidR="00996AD7" w:rsidRDefault="00996AD7">
            <w:pPr>
              <w:rPr>
                <w:rFonts w:ascii="宋体"/>
                <w:vanish/>
              </w:rPr>
            </w:pPr>
          </w:p>
        </w:tc>
        <w:tc>
          <w:tcPr>
            <w:tcW w:w="0" w:type="auto"/>
            <w:gridSpan w:val="3"/>
            <w:shd w:val="clear" w:color="auto" w:fill="auto"/>
            <w:vAlign w:val="bottom"/>
          </w:tcPr>
          <w:p w14:paraId="39D9925D" w14:textId="77777777" w:rsidR="00996AD7" w:rsidRDefault="00996AD7">
            <w:pPr>
              <w:rPr>
                <w:rFonts w:ascii="宋体"/>
                <w:vanish/>
              </w:rPr>
            </w:pPr>
          </w:p>
        </w:tc>
        <w:tc>
          <w:tcPr>
            <w:tcW w:w="0" w:type="auto"/>
            <w:gridSpan w:val="3"/>
            <w:shd w:val="clear" w:color="auto" w:fill="auto"/>
            <w:vAlign w:val="bottom"/>
          </w:tcPr>
          <w:p w14:paraId="39D9925E" w14:textId="77777777" w:rsidR="00996AD7" w:rsidRDefault="00996AD7">
            <w:pPr>
              <w:rPr>
                <w:rFonts w:ascii="宋体"/>
                <w:vanish/>
              </w:rPr>
            </w:pPr>
          </w:p>
        </w:tc>
      </w:tr>
      <w:tr w:rsidR="00996AD7" w14:paraId="39D99265" w14:textId="77777777">
        <w:trPr>
          <w:hidden/>
        </w:trPr>
        <w:tc>
          <w:tcPr>
            <w:tcW w:w="0" w:type="auto"/>
            <w:gridSpan w:val="3"/>
            <w:shd w:val="clear" w:color="auto" w:fill="auto"/>
            <w:vAlign w:val="bottom"/>
          </w:tcPr>
          <w:p w14:paraId="39D99260" w14:textId="77777777" w:rsidR="00996AD7" w:rsidRDefault="00996AD7">
            <w:pPr>
              <w:rPr>
                <w:rFonts w:ascii="宋体"/>
                <w:vanish/>
              </w:rPr>
            </w:pPr>
          </w:p>
        </w:tc>
        <w:tc>
          <w:tcPr>
            <w:tcW w:w="0" w:type="auto"/>
            <w:gridSpan w:val="3"/>
            <w:shd w:val="clear" w:color="auto" w:fill="auto"/>
            <w:vAlign w:val="bottom"/>
          </w:tcPr>
          <w:p w14:paraId="39D99261" w14:textId="77777777" w:rsidR="00996AD7" w:rsidRDefault="00996AD7">
            <w:pPr>
              <w:rPr>
                <w:rFonts w:ascii="宋体"/>
                <w:vanish/>
              </w:rPr>
            </w:pPr>
          </w:p>
        </w:tc>
        <w:tc>
          <w:tcPr>
            <w:tcW w:w="0" w:type="auto"/>
            <w:gridSpan w:val="3"/>
            <w:shd w:val="clear" w:color="auto" w:fill="auto"/>
            <w:vAlign w:val="bottom"/>
          </w:tcPr>
          <w:p w14:paraId="39D99262" w14:textId="77777777" w:rsidR="00996AD7" w:rsidRDefault="00996AD7">
            <w:pPr>
              <w:rPr>
                <w:rFonts w:ascii="宋体"/>
                <w:vanish/>
              </w:rPr>
            </w:pPr>
          </w:p>
        </w:tc>
        <w:tc>
          <w:tcPr>
            <w:tcW w:w="0" w:type="auto"/>
            <w:gridSpan w:val="3"/>
            <w:shd w:val="clear" w:color="auto" w:fill="auto"/>
            <w:vAlign w:val="bottom"/>
          </w:tcPr>
          <w:p w14:paraId="39D99263" w14:textId="77777777" w:rsidR="00996AD7" w:rsidRDefault="00996AD7">
            <w:pPr>
              <w:rPr>
                <w:rFonts w:ascii="宋体"/>
                <w:vanish/>
              </w:rPr>
            </w:pPr>
          </w:p>
        </w:tc>
        <w:tc>
          <w:tcPr>
            <w:tcW w:w="0" w:type="auto"/>
            <w:gridSpan w:val="3"/>
            <w:shd w:val="clear" w:color="auto" w:fill="auto"/>
            <w:vAlign w:val="bottom"/>
          </w:tcPr>
          <w:p w14:paraId="39D99264" w14:textId="77777777" w:rsidR="00996AD7" w:rsidRDefault="00996AD7">
            <w:pPr>
              <w:rPr>
                <w:rFonts w:ascii="宋体"/>
                <w:vanish/>
              </w:rPr>
            </w:pPr>
          </w:p>
        </w:tc>
      </w:tr>
      <w:tr w:rsidR="00996AD7" w14:paraId="39D99269" w14:textId="77777777">
        <w:tc>
          <w:tcPr>
            <w:tcW w:w="0" w:type="auto"/>
            <w:gridSpan w:val="3"/>
            <w:shd w:val="clear" w:color="auto" w:fill="auto"/>
            <w:tcMar>
              <w:top w:w="40" w:type="dxa"/>
              <w:left w:w="20" w:type="dxa"/>
              <w:bottom w:w="40" w:type="dxa"/>
              <w:right w:w="20" w:type="dxa"/>
            </w:tcMar>
          </w:tcPr>
          <w:p w14:paraId="39D99266" w14:textId="77777777" w:rsidR="00996AD7" w:rsidRDefault="00D96458">
            <w:pPr>
              <w:textAlignment w:val="top"/>
            </w:pPr>
            <w:r>
              <w:rPr>
                <w:rFonts w:ascii="Arial" w:eastAsia="宋体" w:hAnsi="Arial" w:cs="Arial"/>
                <w:color w:val="0068B5"/>
                <w:sz w:val="18"/>
                <w:szCs w:val="18"/>
              </w:rPr>
              <w:t>R&amp;D</w:t>
            </w:r>
          </w:p>
        </w:tc>
        <w:tc>
          <w:tcPr>
            <w:tcW w:w="0" w:type="auto"/>
            <w:gridSpan w:val="3"/>
            <w:shd w:val="clear" w:color="auto" w:fill="auto"/>
            <w:tcMar>
              <w:top w:w="0" w:type="dxa"/>
              <w:left w:w="20" w:type="dxa"/>
              <w:bottom w:w="0" w:type="dxa"/>
              <w:right w:w="20" w:type="dxa"/>
            </w:tcMar>
            <w:vAlign w:val="bottom"/>
          </w:tcPr>
          <w:p w14:paraId="39D99267"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268" w14:textId="77777777" w:rsidR="00996AD7" w:rsidRDefault="00D96458">
            <w:pPr>
              <w:textAlignment w:val="top"/>
            </w:pPr>
            <w:r>
              <w:rPr>
                <w:rFonts w:ascii="Arial" w:eastAsia="宋体" w:hAnsi="Arial" w:cs="Arial"/>
                <w:color w:val="262626"/>
                <w:sz w:val="18"/>
                <w:szCs w:val="18"/>
              </w:rPr>
              <w:t>Research and development</w:t>
            </w:r>
          </w:p>
        </w:tc>
      </w:tr>
      <w:tr w:rsidR="00996AD7" w14:paraId="39D9926F" w14:textId="77777777">
        <w:trPr>
          <w:hidden/>
        </w:trPr>
        <w:tc>
          <w:tcPr>
            <w:tcW w:w="0" w:type="auto"/>
            <w:gridSpan w:val="3"/>
            <w:shd w:val="clear" w:color="auto" w:fill="auto"/>
            <w:vAlign w:val="bottom"/>
          </w:tcPr>
          <w:p w14:paraId="39D9926A" w14:textId="77777777" w:rsidR="00996AD7" w:rsidRDefault="00996AD7">
            <w:pPr>
              <w:rPr>
                <w:rFonts w:ascii="宋体"/>
                <w:vanish/>
              </w:rPr>
            </w:pPr>
          </w:p>
        </w:tc>
        <w:tc>
          <w:tcPr>
            <w:tcW w:w="0" w:type="auto"/>
            <w:gridSpan w:val="3"/>
            <w:shd w:val="clear" w:color="auto" w:fill="auto"/>
            <w:vAlign w:val="bottom"/>
          </w:tcPr>
          <w:p w14:paraId="39D9926B" w14:textId="77777777" w:rsidR="00996AD7" w:rsidRDefault="00996AD7">
            <w:pPr>
              <w:rPr>
                <w:rFonts w:ascii="宋体"/>
                <w:vanish/>
              </w:rPr>
            </w:pPr>
          </w:p>
        </w:tc>
        <w:tc>
          <w:tcPr>
            <w:tcW w:w="0" w:type="auto"/>
            <w:gridSpan w:val="3"/>
            <w:shd w:val="clear" w:color="auto" w:fill="auto"/>
            <w:vAlign w:val="bottom"/>
          </w:tcPr>
          <w:p w14:paraId="39D9926C" w14:textId="77777777" w:rsidR="00996AD7" w:rsidRDefault="00996AD7">
            <w:pPr>
              <w:rPr>
                <w:rFonts w:ascii="宋体"/>
                <w:vanish/>
              </w:rPr>
            </w:pPr>
          </w:p>
        </w:tc>
        <w:tc>
          <w:tcPr>
            <w:tcW w:w="0" w:type="auto"/>
            <w:gridSpan w:val="3"/>
            <w:shd w:val="clear" w:color="auto" w:fill="auto"/>
            <w:vAlign w:val="bottom"/>
          </w:tcPr>
          <w:p w14:paraId="39D9926D" w14:textId="77777777" w:rsidR="00996AD7" w:rsidRDefault="00996AD7">
            <w:pPr>
              <w:rPr>
                <w:rFonts w:ascii="宋体"/>
                <w:vanish/>
              </w:rPr>
            </w:pPr>
          </w:p>
        </w:tc>
        <w:tc>
          <w:tcPr>
            <w:tcW w:w="0" w:type="auto"/>
            <w:gridSpan w:val="3"/>
            <w:shd w:val="clear" w:color="auto" w:fill="auto"/>
            <w:vAlign w:val="bottom"/>
          </w:tcPr>
          <w:p w14:paraId="39D9926E" w14:textId="77777777" w:rsidR="00996AD7" w:rsidRDefault="00996AD7">
            <w:pPr>
              <w:rPr>
                <w:rFonts w:ascii="宋体"/>
                <w:vanish/>
              </w:rPr>
            </w:pPr>
          </w:p>
        </w:tc>
      </w:tr>
      <w:tr w:rsidR="00996AD7" w14:paraId="39D99275" w14:textId="77777777">
        <w:trPr>
          <w:hidden/>
        </w:trPr>
        <w:tc>
          <w:tcPr>
            <w:tcW w:w="0" w:type="auto"/>
            <w:gridSpan w:val="3"/>
            <w:shd w:val="clear" w:color="auto" w:fill="auto"/>
            <w:vAlign w:val="bottom"/>
          </w:tcPr>
          <w:p w14:paraId="39D99270" w14:textId="77777777" w:rsidR="00996AD7" w:rsidRDefault="00996AD7">
            <w:pPr>
              <w:rPr>
                <w:rFonts w:ascii="宋体"/>
                <w:vanish/>
              </w:rPr>
            </w:pPr>
          </w:p>
        </w:tc>
        <w:tc>
          <w:tcPr>
            <w:tcW w:w="0" w:type="auto"/>
            <w:gridSpan w:val="3"/>
            <w:shd w:val="clear" w:color="auto" w:fill="auto"/>
            <w:vAlign w:val="bottom"/>
          </w:tcPr>
          <w:p w14:paraId="39D99271" w14:textId="77777777" w:rsidR="00996AD7" w:rsidRDefault="00996AD7">
            <w:pPr>
              <w:rPr>
                <w:rFonts w:ascii="宋体"/>
                <w:vanish/>
              </w:rPr>
            </w:pPr>
          </w:p>
        </w:tc>
        <w:tc>
          <w:tcPr>
            <w:tcW w:w="0" w:type="auto"/>
            <w:gridSpan w:val="3"/>
            <w:shd w:val="clear" w:color="auto" w:fill="auto"/>
            <w:vAlign w:val="bottom"/>
          </w:tcPr>
          <w:p w14:paraId="39D99272" w14:textId="77777777" w:rsidR="00996AD7" w:rsidRDefault="00996AD7">
            <w:pPr>
              <w:rPr>
                <w:rFonts w:ascii="宋体"/>
                <w:vanish/>
              </w:rPr>
            </w:pPr>
          </w:p>
        </w:tc>
        <w:tc>
          <w:tcPr>
            <w:tcW w:w="0" w:type="auto"/>
            <w:gridSpan w:val="3"/>
            <w:shd w:val="clear" w:color="auto" w:fill="auto"/>
            <w:vAlign w:val="bottom"/>
          </w:tcPr>
          <w:p w14:paraId="39D99273" w14:textId="77777777" w:rsidR="00996AD7" w:rsidRDefault="00996AD7">
            <w:pPr>
              <w:rPr>
                <w:rFonts w:ascii="宋体"/>
                <w:vanish/>
              </w:rPr>
            </w:pPr>
          </w:p>
        </w:tc>
        <w:tc>
          <w:tcPr>
            <w:tcW w:w="0" w:type="auto"/>
            <w:gridSpan w:val="3"/>
            <w:shd w:val="clear" w:color="auto" w:fill="auto"/>
            <w:vAlign w:val="bottom"/>
          </w:tcPr>
          <w:p w14:paraId="39D99274" w14:textId="77777777" w:rsidR="00996AD7" w:rsidRDefault="00996AD7">
            <w:pPr>
              <w:rPr>
                <w:rFonts w:ascii="宋体"/>
                <w:vanish/>
              </w:rPr>
            </w:pPr>
          </w:p>
        </w:tc>
      </w:tr>
      <w:tr w:rsidR="00996AD7" w14:paraId="39D9927B" w14:textId="77777777">
        <w:trPr>
          <w:hidden/>
        </w:trPr>
        <w:tc>
          <w:tcPr>
            <w:tcW w:w="0" w:type="auto"/>
            <w:gridSpan w:val="3"/>
            <w:shd w:val="clear" w:color="auto" w:fill="auto"/>
            <w:vAlign w:val="bottom"/>
          </w:tcPr>
          <w:p w14:paraId="39D99276" w14:textId="77777777" w:rsidR="00996AD7" w:rsidRDefault="00996AD7">
            <w:pPr>
              <w:rPr>
                <w:rFonts w:ascii="宋体"/>
                <w:vanish/>
              </w:rPr>
            </w:pPr>
          </w:p>
        </w:tc>
        <w:tc>
          <w:tcPr>
            <w:tcW w:w="0" w:type="auto"/>
            <w:gridSpan w:val="3"/>
            <w:shd w:val="clear" w:color="auto" w:fill="auto"/>
            <w:vAlign w:val="bottom"/>
          </w:tcPr>
          <w:p w14:paraId="39D99277" w14:textId="77777777" w:rsidR="00996AD7" w:rsidRDefault="00996AD7">
            <w:pPr>
              <w:rPr>
                <w:rFonts w:ascii="宋体"/>
                <w:vanish/>
              </w:rPr>
            </w:pPr>
          </w:p>
        </w:tc>
        <w:tc>
          <w:tcPr>
            <w:tcW w:w="0" w:type="auto"/>
            <w:gridSpan w:val="3"/>
            <w:shd w:val="clear" w:color="auto" w:fill="auto"/>
            <w:vAlign w:val="bottom"/>
          </w:tcPr>
          <w:p w14:paraId="39D99278" w14:textId="77777777" w:rsidR="00996AD7" w:rsidRDefault="00996AD7">
            <w:pPr>
              <w:rPr>
                <w:rFonts w:ascii="宋体"/>
                <w:vanish/>
              </w:rPr>
            </w:pPr>
          </w:p>
        </w:tc>
        <w:tc>
          <w:tcPr>
            <w:tcW w:w="0" w:type="auto"/>
            <w:gridSpan w:val="3"/>
            <w:shd w:val="clear" w:color="auto" w:fill="auto"/>
            <w:vAlign w:val="bottom"/>
          </w:tcPr>
          <w:p w14:paraId="39D99279" w14:textId="77777777" w:rsidR="00996AD7" w:rsidRDefault="00996AD7">
            <w:pPr>
              <w:rPr>
                <w:rFonts w:ascii="宋体"/>
                <w:vanish/>
              </w:rPr>
            </w:pPr>
          </w:p>
        </w:tc>
        <w:tc>
          <w:tcPr>
            <w:tcW w:w="0" w:type="auto"/>
            <w:gridSpan w:val="3"/>
            <w:shd w:val="clear" w:color="auto" w:fill="auto"/>
            <w:vAlign w:val="bottom"/>
          </w:tcPr>
          <w:p w14:paraId="39D9927A" w14:textId="77777777" w:rsidR="00996AD7" w:rsidRDefault="00996AD7">
            <w:pPr>
              <w:rPr>
                <w:rFonts w:ascii="宋体"/>
                <w:vanish/>
              </w:rPr>
            </w:pPr>
          </w:p>
        </w:tc>
      </w:tr>
      <w:tr w:rsidR="00996AD7" w14:paraId="39D9927F" w14:textId="77777777">
        <w:tc>
          <w:tcPr>
            <w:tcW w:w="0" w:type="auto"/>
            <w:gridSpan w:val="3"/>
            <w:shd w:val="clear" w:color="auto" w:fill="auto"/>
            <w:tcMar>
              <w:top w:w="40" w:type="dxa"/>
              <w:left w:w="20" w:type="dxa"/>
              <w:bottom w:w="40" w:type="dxa"/>
              <w:right w:w="20" w:type="dxa"/>
            </w:tcMar>
          </w:tcPr>
          <w:p w14:paraId="39D9927C" w14:textId="77777777" w:rsidR="00996AD7" w:rsidRDefault="00D96458">
            <w:pPr>
              <w:textAlignment w:val="top"/>
            </w:pPr>
            <w:r>
              <w:rPr>
                <w:rFonts w:ascii="Arial" w:eastAsia="宋体" w:hAnsi="Arial" w:cs="Arial"/>
                <w:color w:val="0068B5"/>
                <w:sz w:val="18"/>
                <w:szCs w:val="18"/>
              </w:rPr>
              <w:t xml:space="preserve">RSU </w:t>
            </w:r>
          </w:p>
        </w:tc>
        <w:tc>
          <w:tcPr>
            <w:tcW w:w="0" w:type="auto"/>
            <w:gridSpan w:val="3"/>
            <w:shd w:val="clear" w:color="auto" w:fill="auto"/>
            <w:tcMar>
              <w:top w:w="0" w:type="dxa"/>
              <w:left w:w="20" w:type="dxa"/>
              <w:bottom w:w="0" w:type="dxa"/>
              <w:right w:w="20" w:type="dxa"/>
            </w:tcMar>
            <w:vAlign w:val="bottom"/>
          </w:tcPr>
          <w:p w14:paraId="39D9927D"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27E" w14:textId="77777777" w:rsidR="00996AD7" w:rsidRDefault="00D96458">
            <w:pPr>
              <w:textAlignment w:val="top"/>
            </w:pPr>
            <w:r>
              <w:rPr>
                <w:rFonts w:ascii="Arial" w:eastAsia="宋体" w:hAnsi="Arial" w:cs="Arial"/>
                <w:color w:val="262626"/>
                <w:sz w:val="18"/>
                <w:szCs w:val="18"/>
              </w:rPr>
              <w:t>Restricted stock unit</w:t>
            </w:r>
          </w:p>
        </w:tc>
      </w:tr>
      <w:tr w:rsidR="00996AD7" w14:paraId="39D99285" w14:textId="77777777">
        <w:trPr>
          <w:hidden/>
        </w:trPr>
        <w:tc>
          <w:tcPr>
            <w:tcW w:w="0" w:type="auto"/>
            <w:gridSpan w:val="3"/>
            <w:shd w:val="clear" w:color="auto" w:fill="auto"/>
            <w:vAlign w:val="bottom"/>
          </w:tcPr>
          <w:p w14:paraId="39D99280" w14:textId="77777777" w:rsidR="00996AD7" w:rsidRDefault="00996AD7">
            <w:pPr>
              <w:rPr>
                <w:rFonts w:ascii="宋体"/>
                <w:vanish/>
              </w:rPr>
            </w:pPr>
          </w:p>
        </w:tc>
        <w:tc>
          <w:tcPr>
            <w:tcW w:w="0" w:type="auto"/>
            <w:gridSpan w:val="3"/>
            <w:shd w:val="clear" w:color="auto" w:fill="auto"/>
            <w:vAlign w:val="bottom"/>
          </w:tcPr>
          <w:p w14:paraId="39D99281" w14:textId="77777777" w:rsidR="00996AD7" w:rsidRDefault="00996AD7">
            <w:pPr>
              <w:rPr>
                <w:rFonts w:ascii="宋体"/>
                <w:vanish/>
              </w:rPr>
            </w:pPr>
          </w:p>
        </w:tc>
        <w:tc>
          <w:tcPr>
            <w:tcW w:w="0" w:type="auto"/>
            <w:gridSpan w:val="3"/>
            <w:shd w:val="clear" w:color="auto" w:fill="auto"/>
            <w:vAlign w:val="bottom"/>
          </w:tcPr>
          <w:p w14:paraId="39D99282" w14:textId="77777777" w:rsidR="00996AD7" w:rsidRDefault="00996AD7">
            <w:pPr>
              <w:rPr>
                <w:rFonts w:ascii="宋体"/>
                <w:vanish/>
              </w:rPr>
            </w:pPr>
          </w:p>
        </w:tc>
        <w:tc>
          <w:tcPr>
            <w:tcW w:w="0" w:type="auto"/>
            <w:gridSpan w:val="3"/>
            <w:shd w:val="clear" w:color="auto" w:fill="auto"/>
            <w:vAlign w:val="bottom"/>
          </w:tcPr>
          <w:p w14:paraId="39D99283" w14:textId="77777777" w:rsidR="00996AD7" w:rsidRDefault="00996AD7">
            <w:pPr>
              <w:rPr>
                <w:rFonts w:ascii="宋体"/>
                <w:vanish/>
              </w:rPr>
            </w:pPr>
          </w:p>
        </w:tc>
        <w:tc>
          <w:tcPr>
            <w:tcW w:w="0" w:type="auto"/>
            <w:gridSpan w:val="3"/>
            <w:shd w:val="clear" w:color="auto" w:fill="auto"/>
            <w:vAlign w:val="bottom"/>
          </w:tcPr>
          <w:p w14:paraId="39D99284" w14:textId="77777777" w:rsidR="00996AD7" w:rsidRDefault="00996AD7">
            <w:pPr>
              <w:rPr>
                <w:rFonts w:ascii="宋体"/>
                <w:vanish/>
              </w:rPr>
            </w:pPr>
          </w:p>
        </w:tc>
      </w:tr>
      <w:tr w:rsidR="00996AD7" w14:paraId="39D9928B" w14:textId="77777777">
        <w:trPr>
          <w:hidden/>
        </w:trPr>
        <w:tc>
          <w:tcPr>
            <w:tcW w:w="0" w:type="auto"/>
            <w:gridSpan w:val="3"/>
            <w:shd w:val="clear" w:color="auto" w:fill="auto"/>
            <w:vAlign w:val="bottom"/>
          </w:tcPr>
          <w:p w14:paraId="39D99286" w14:textId="77777777" w:rsidR="00996AD7" w:rsidRDefault="00996AD7">
            <w:pPr>
              <w:rPr>
                <w:rFonts w:ascii="宋体"/>
                <w:vanish/>
              </w:rPr>
            </w:pPr>
          </w:p>
        </w:tc>
        <w:tc>
          <w:tcPr>
            <w:tcW w:w="0" w:type="auto"/>
            <w:gridSpan w:val="3"/>
            <w:shd w:val="clear" w:color="auto" w:fill="auto"/>
            <w:vAlign w:val="bottom"/>
          </w:tcPr>
          <w:p w14:paraId="39D99287" w14:textId="77777777" w:rsidR="00996AD7" w:rsidRDefault="00996AD7">
            <w:pPr>
              <w:rPr>
                <w:rFonts w:ascii="宋体"/>
                <w:vanish/>
              </w:rPr>
            </w:pPr>
          </w:p>
        </w:tc>
        <w:tc>
          <w:tcPr>
            <w:tcW w:w="0" w:type="auto"/>
            <w:gridSpan w:val="3"/>
            <w:shd w:val="clear" w:color="auto" w:fill="auto"/>
            <w:vAlign w:val="bottom"/>
          </w:tcPr>
          <w:p w14:paraId="39D99288" w14:textId="77777777" w:rsidR="00996AD7" w:rsidRDefault="00996AD7">
            <w:pPr>
              <w:rPr>
                <w:rFonts w:ascii="宋体"/>
                <w:vanish/>
              </w:rPr>
            </w:pPr>
          </w:p>
        </w:tc>
        <w:tc>
          <w:tcPr>
            <w:tcW w:w="0" w:type="auto"/>
            <w:gridSpan w:val="3"/>
            <w:shd w:val="clear" w:color="auto" w:fill="auto"/>
            <w:vAlign w:val="bottom"/>
          </w:tcPr>
          <w:p w14:paraId="39D99289" w14:textId="77777777" w:rsidR="00996AD7" w:rsidRDefault="00996AD7">
            <w:pPr>
              <w:rPr>
                <w:rFonts w:ascii="宋体"/>
                <w:vanish/>
              </w:rPr>
            </w:pPr>
          </w:p>
        </w:tc>
        <w:tc>
          <w:tcPr>
            <w:tcW w:w="0" w:type="auto"/>
            <w:gridSpan w:val="3"/>
            <w:shd w:val="clear" w:color="auto" w:fill="auto"/>
            <w:vAlign w:val="bottom"/>
          </w:tcPr>
          <w:p w14:paraId="39D9928A" w14:textId="77777777" w:rsidR="00996AD7" w:rsidRDefault="00996AD7">
            <w:pPr>
              <w:rPr>
                <w:rFonts w:ascii="宋体"/>
                <w:vanish/>
              </w:rPr>
            </w:pPr>
          </w:p>
        </w:tc>
      </w:tr>
      <w:tr w:rsidR="00996AD7" w14:paraId="39D99291" w14:textId="77777777">
        <w:trPr>
          <w:hidden/>
        </w:trPr>
        <w:tc>
          <w:tcPr>
            <w:tcW w:w="0" w:type="auto"/>
            <w:gridSpan w:val="3"/>
            <w:shd w:val="clear" w:color="auto" w:fill="auto"/>
            <w:vAlign w:val="bottom"/>
          </w:tcPr>
          <w:p w14:paraId="39D9928C" w14:textId="77777777" w:rsidR="00996AD7" w:rsidRDefault="00996AD7">
            <w:pPr>
              <w:rPr>
                <w:rFonts w:ascii="宋体"/>
                <w:vanish/>
              </w:rPr>
            </w:pPr>
          </w:p>
        </w:tc>
        <w:tc>
          <w:tcPr>
            <w:tcW w:w="0" w:type="auto"/>
            <w:gridSpan w:val="3"/>
            <w:shd w:val="clear" w:color="auto" w:fill="auto"/>
            <w:vAlign w:val="bottom"/>
          </w:tcPr>
          <w:p w14:paraId="39D9928D" w14:textId="77777777" w:rsidR="00996AD7" w:rsidRDefault="00996AD7">
            <w:pPr>
              <w:rPr>
                <w:rFonts w:ascii="宋体"/>
                <w:vanish/>
              </w:rPr>
            </w:pPr>
          </w:p>
        </w:tc>
        <w:tc>
          <w:tcPr>
            <w:tcW w:w="0" w:type="auto"/>
            <w:gridSpan w:val="3"/>
            <w:shd w:val="clear" w:color="auto" w:fill="auto"/>
            <w:vAlign w:val="bottom"/>
          </w:tcPr>
          <w:p w14:paraId="39D9928E" w14:textId="77777777" w:rsidR="00996AD7" w:rsidRDefault="00996AD7">
            <w:pPr>
              <w:rPr>
                <w:rFonts w:ascii="宋体"/>
                <w:vanish/>
              </w:rPr>
            </w:pPr>
          </w:p>
        </w:tc>
        <w:tc>
          <w:tcPr>
            <w:tcW w:w="0" w:type="auto"/>
            <w:gridSpan w:val="3"/>
            <w:shd w:val="clear" w:color="auto" w:fill="auto"/>
            <w:vAlign w:val="bottom"/>
          </w:tcPr>
          <w:p w14:paraId="39D9928F" w14:textId="77777777" w:rsidR="00996AD7" w:rsidRDefault="00996AD7">
            <w:pPr>
              <w:rPr>
                <w:rFonts w:ascii="宋体"/>
                <w:vanish/>
              </w:rPr>
            </w:pPr>
          </w:p>
        </w:tc>
        <w:tc>
          <w:tcPr>
            <w:tcW w:w="0" w:type="auto"/>
            <w:gridSpan w:val="3"/>
            <w:shd w:val="clear" w:color="auto" w:fill="auto"/>
            <w:vAlign w:val="bottom"/>
          </w:tcPr>
          <w:p w14:paraId="39D99290" w14:textId="77777777" w:rsidR="00996AD7" w:rsidRDefault="00996AD7">
            <w:pPr>
              <w:rPr>
                <w:rFonts w:ascii="宋体"/>
                <w:vanish/>
              </w:rPr>
            </w:pPr>
          </w:p>
        </w:tc>
      </w:tr>
      <w:tr w:rsidR="00996AD7" w14:paraId="39D99297" w14:textId="77777777">
        <w:trPr>
          <w:hidden/>
        </w:trPr>
        <w:tc>
          <w:tcPr>
            <w:tcW w:w="0" w:type="auto"/>
            <w:gridSpan w:val="3"/>
            <w:shd w:val="clear" w:color="auto" w:fill="auto"/>
            <w:vAlign w:val="bottom"/>
          </w:tcPr>
          <w:p w14:paraId="39D99292" w14:textId="77777777" w:rsidR="00996AD7" w:rsidRDefault="00996AD7">
            <w:pPr>
              <w:rPr>
                <w:rFonts w:ascii="宋体"/>
                <w:vanish/>
              </w:rPr>
            </w:pPr>
          </w:p>
        </w:tc>
        <w:tc>
          <w:tcPr>
            <w:tcW w:w="0" w:type="auto"/>
            <w:gridSpan w:val="3"/>
            <w:shd w:val="clear" w:color="auto" w:fill="auto"/>
            <w:vAlign w:val="bottom"/>
          </w:tcPr>
          <w:p w14:paraId="39D99293" w14:textId="77777777" w:rsidR="00996AD7" w:rsidRDefault="00996AD7">
            <w:pPr>
              <w:rPr>
                <w:rFonts w:ascii="宋体"/>
                <w:vanish/>
              </w:rPr>
            </w:pPr>
          </w:p>
        </w:tc>
        <w:tc>
          <w:tcPr>
            <w:tcW w:w="0" w:type="auto"/>
            <w:gridSpan w:val="3"/>
            <w:shd w:val="clear" w:color="auto" w:fill="auto"/>
            <w:vAlign w:val="bottom"/>
          </w:tcPr>
          <w:p w14:paraId="39D99294" w14:textId="77777777" w:rsidR="00996AD7" w:rsidRDefault="00996AD7">
            <w:pPr>
              <w:rPr>
                <w:rFonts w:ascii="宋体"/>
                <w:vanish/>
              </w:rPr>
            </w:pPr>
          </w:p>
        </w:tc>
        <w:tc>
          <w:tcPr>
            <w:tcW w:w="0" w:type="auto"/>
            <w:gridSpan w:val="3"/>
            <w:shd w:val="clear" w:color="auto" w:fill="auto"/>
            <w:vAlign w:val="bottom"/>
          </w:tcPr>
          <w:p w14:paraId="39D99295" w14:textId="77777777" w:rsidR="00996AD7" w:rsidRDefault="00996AD7">
            <w:pPr>
              <w:rPr>
                <w:rFonts w:ascii="宋体"/>
                <w:vanish/>
              </w:rPr>
            </w:pPr>
          </w:p>
        </w:tc>
        <w:tc>
          <w:tcPr>
            <w:tcW w:w="0" w:type="auto"/>
            <w:gridSpan w:val="3"/>
            <w:shd w:val="clear" w:color="auto" w:fill="auto"/>
            <w:vAlign w:val="bottom"/>
          </w:tcPr>
          <w:p w14:paraId="39D99296" w14:textId="77777777" w:rsidR="00996AD7" w:rsidRDefault="00996AD7">
            <w:pPr>
              <w:rPr>
                <w:rFonts w:ascii="宋体"/>
                <w:vanish/>
              </w:rPr>
            </w:pPr>
          </w:p>
        </w:tc>
      </w:tr>
      <w:tr w:rsidR="00996AD7" w14:paraId="39D9929B" w14:textId="77777777">
        <w:tc>
          <w:tcPr>
            <w:tcW w:w="0" w:type="auto"/>
            <w:gridSpan w:val="3"/>
            <w:shd w:val="clear" w:color="auto" w:fill="auto"/>
            <w:tcMar>
              <w:top w:w="40" w:type="dxa"/>
              <w:left w:w="20" w:type="dxa"/>
              <w:bottom w:w="40" w:type="dxa"/>
              <w:right w:w="20" w:type="dxa"/>
            </w:tcMar>
          </w:tcPr>
          <w:p w14:paraId="39D99298" w14:textId="77777777" w:rsidR="00996AD7" w:rsidRDefault="00D96458">
            <w:pPr>
              <w:textAlignment w:val="top"/>
            </w:pPr>
            <w:r>
              <w:rPr>
                <w:rFonts w:ascii="Arial" w:eastAsia="宋体" w:hAnsi="Arial" w:cs="Arial"/>
                <w:color w:val="0068B5"/>
                <w:sz w:val="18"/>
                <w:szCs w:val="18"/>
              </w:rPr>
              <w:t>SEC</w:t>
            </w:r>
          </w:p>
        </w:tc>
        <w:tc>
          <w:tcPr>
            <w:tcW w:w="0" w:type="auto"/>
            <w:gridSpan w:val="3"/>
            <w:shd w:val="clear" w:color="auto" w:fill="auto"/>
            <w:tcMar>
              <w:top w:w="0" w:type="dxa"/>
              <w:left w:w="20" w:type="dxa"/>
              <w:bottom w:w="0" w:type="dxa"/>
              <w:right w:w="20" w:type="dxa"/>
            </w:tcMar>
            <w:vAlign w:val="bottom"/>
          </w:tcPr>
          <w:p w14:paraId="39D99299"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29A" w14:textId="77777777" w:rsidR="00996AD7" w:rsidRDefault="00D96458">
            <w:pPr>
              <w:textAlignment w:val="top"/>
            </w:pPr>
            <w:r>
              <w:rPr>
                <w:rFonts w:ascii="Arial" w:eastAsia="宋体" w:hAnsi="Arial" w:cs="Arial"/>
                <w:color w:val="262626"/>
                <w:sz w:val="18"/>
                <w:szCs w:val="18"/>
              </w:rPr>
              <w:t>U.S. Securities and Exchange Commission</w:t>
            </w:r>
          </w:p>
        </w:tc>
      </w:tr>
      <w:tr w:rsidR="00996AD7" w14:paraId="39D992A1" w14:textId="77777777">
        <w:trPr>
          <w:hidden/>
        </w:trPr>
        <w:tc>
          <w:tcPr>
            <w:tcW w:w="0" w:type="auto"/>
            <w:gridSpan w:val="3"/>
            <w:shd w:val="clear" w:color="auto" w:fill="auto"/>
            <w:vAlign w:val="bottom"/>
          </w:tcPr>
          <w:p w14:paraId="39D9929C" w14:textId="77777777" w:rsidR="00996AD7" w:rsidRDefault="00996AD7">
            <w:pPr>
              <w:rPr>
                <w:rFonts w:ascii="宋体"/>
                <w:vanish/>
              </w:rPr>
            </w:pPr>
          </w:p>
        </w:tc>
        <w:tc>
          <w:tcPr>
            <w:tcW w:w="0" w:type="auto"/>
            <w:gridSpan w:val="3"/>
            <w:shd w:val="clear" w:color="auto" w:fill="auto"/>
            <w:vAlign w:val="bottom"/>
          </w:tcPr>
          <w:p w14:paraId="39D9929D" w14:textId="77777777" w:rsidR="00996AD7" w:rsidRDefault="00996AD7">
            <w:pPr>
              <w:rPr>
                <w:rFonts w:ascii="宋体"/>
                <w:vanish/>
              </w:rPr>
            </w:pPr>
          </w:p>
        </w:tc>
        <w:tc>
          <w:tcPr>
            <w:tcW w:w="0" w:type="auto"/>
            <w:gridSpan w:val="3"/>
            <w:shd w:val="clear" w:color="auto" w:fill="auto"/>
            <w:vAlign w:val="bottom"/>
          </w:tcPr>
          <w:p w14:paraId="39D9929E" w14:textId="77777777" w:rsidR="00996AD7" w:rsidRDefault="00996AD7">
            <w:pPr>
              <w:rPr>
                <w:rFonts w:ascii="宋体"/>
                <w:vanish/>
              </w:rPr>
            </w:pPr>
          </w:p>
        </w:tc>
        <w:tc>
          <w:tcPr>
            <w:tcW w:w="0" w:type="auto"/>
            <w:gridSpan w:val="3"/>
            <w:shd w:val="clear" w:color="auto" w:fill="auto"/>
            <w:vAlign w:val="bottom"/>
          </w:tcPr>
          <w:p w14:paraId="39D9929F" w14:textId="77777777" w:rsidR="00996AD7" w:rsidRDefault="00996AD7">
            <w:pPr>
              <w:rPr>
                <w:rFonts w:ascii="宋体"/>
                <w:vanish/>
              </w:rPr>
            </w:pPr>
          </w:p>
        </w:tc>
        <w:tc>
          <w:tcPr>
            <w:tcW w:w="0" w:type="auto"/>
            <w:gridSpan w:val="3"/>
            <w:shd w:val="clear" w:color="auto" w:fill="auto"/>
            <w:vAlign w:val="bottom"/>
          </w:tcPr>
          <w:p w14:paraId="39D992A0" w14:textId="77777777" w:rsidR="00996AD7" w:rsidRDefault="00996AD7">
            <w:pPr>
              <w:rPr>
                <w:rFonts w:ascii="宋体"/>
                <w:vanish/>
              </w:rPr>
            </w:pPr>
          </w:p>
        </w:tc>
      </w:tr>
      <w:tr w:rsidR="00996AD7" w14:paraId="39D992A5" w14:textId="77777777">
        <w:tc>
          <w:tcPr>
            <w:tcW w:w="0" w:type="auto"/>
            <w:gridSpan w:val="3"/>
            <w:shd w:val="clear" w:color="auto" w:fill="auto"/>
            <w:tcMar>
              <w:top w:w="40" w:type="dxa"/>
              <w:left w:w="20" w:type="dxa"/>
              <w:bottom w:w="40" w:type="dxa"/>
              <w:right w:w="20" w:type="dxa"/>
            </w:tcMar>
          </w:tcPr>
          <w:p w14:paraId="39D992A2" w14:textId="77777777" w:rsidR="00996AD7" w:rsidRDefault="00D96458">
            <w:pPr>
              <w:textAlignment w:val="top"/>
            </w:pPr>
            <w:r>
              <w:rPr>
                <w:rFonts w:ascii="Arial" w:eastAsia="宋体" w:hAnsi="Arial" w:cs="Arial"/>
                <w:color w:val="0068B5"/>
                <w:sz w:val="18"/>
                <w:szCs w:val="18"/>
              </w:rPr>
              <w:t>SoC</w:t>
            </w:r>
          </w:p>
        </w:tc>
        <w:tc>
          <w:tcPr>
            <w:tcW w:w="0" w:type="auto"/>
            <w:gridSpan w:val="3"/>
            <w:shd w:val="clear" w:color="auto" w:fill="auto"/>
            <w:tcMar>
              <w:top w:w="0" w:type="dxa"/>
              <w:left w:w="20" w:type="dxa"/>
              <w:bottom w:w="0" w:type="dxa"/>
              <w:right w:w="20" w:type="dxa"/>
            </w:tcMar>
            <w:vAlign w:val="bottom"/>
          </w:tcPr>
          <w:p w14:paraId="39D992A3"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2A4" w14:textId="77777777" w:rsidR="00996AD7" w:rsidRDefault="00D96458">
            <w:pPr>
              <w:textAlignment w:val="top"/>
            </w:pPr>
            <w:r>
              <w:rPr>
                <w:rFonts w:ascii="Arial" w:eastAsia="宋体" w:hAnsi="Arial" w:cs="Arial"/>
                <w:color w:val="262626"/>
                <w:sz w:val="18"/>
                <w:szCs w:val="18"/>
              </w:rPr>
              <w:t xml:space="preserve">A System-on-a-Chip, which integrates most of the </w:t>
            </w:r>
            <w:r>
              <w:rPr>
                <w:rFonts w:ascii="Arial" w:eastAsia="宋体" w:hAnsi="Arial" w:cs="Arial"/>
                <w:color w:val="262626"/>
                <w:sz w:val="18"/>
                <w:szCs w:val="18"/>
              </w:rPr>
              <w:t>components of a computer or other electronic system into a single silicon chip. We offer a range of SoC platform products in CCG, DCG, and IOTG. In our DCG business, we offer SoCs across many market segments for a variety of applications, including product</w:t>
            </w:r>
            <w:r>
              <w:rPr>
                <w:rFonts w:ascii="Arial" w:eastAsia="宋体" w:hAnsi="Arial" w:cs="Arial"/>
                <w:color w:val="262626"/>
                <w:sz w:val="18"/>
                <w:szCs w:val="18"/>
              </w:rPr>
              <w:t>s targeted for 5G base stations and network infrastructure</w:t>
            </w:r>
          </w:p>
        </w:tc>
      </w:tr>
      <w:tr w:rsidR="00996AD7" w14:paraId="39D992AB" w14:textId="77777777">
        <w:trPr>
          <w:hidden/>
        </w:trPr>
        <w:tc>
          <w:tcPr>
            <w:tcW w:w="0" w:type="auto"/>
            <w:gridSpan w:val="3"/>
            <w:shd w:val="clear" w:color="auto" w:fill="auto"/>
            <w:vAlign w:val="bottom"/>
          </w:tcPr>
          <w:p w14:paraId="39D992A6" w14:textId="77777777" w:rsidR="00996AD7" w:rsidRDefault="00996AD7">
            <w:pPr>
              <w:rPr>
                <w:rFonts w:ascii="宋体"/>
                <w:vanish/>
              </w:rPr>
            </w:pPr>
          </w:p>
        </w:tc>
        <w:tc>
          <w:tcPr>
            <w:tcW w:w="0" w:type="auto"/>
            <w:gridSpan w:val="3"/>
            <w:shd w:val="clear" w:color="auto" w:fill="auto"/>
            <w:vAlign w:val="bottom"/>
          </w:tcPr>
          <w:p w14:paraId="39D992A7" w14:textId="77777777" w:rsidR="00996AD7" w:rsidRDefault="00996AD7">
            <w:pPr>
              <w:rPr>
                <w:rFonts w:ascii="宋体"/>
                <w:vanish/>
              </w:rPr>
            </w:pPr>
          </w:p>
        </w:tc>
        <w:tc>
          <w:tcPr>
            <w:tcW w:w="0" w:type="auto"/>
            <w:gridSpan w:val="3"/>
            <w:shd w:val="clear" w:color="auto" w:fill="auto"/>
            <w:vAlign w:val="bottom"/>
          </w:tcPr>
          <w:p w14:paraId="39D992A8" w14:textId="77777777" w:rsidR="00996AD7" w:rsidRDefault="00996AD7">
            <w:pPr>
              <w:rPr>
                <w:rFonts w:ascii="宋体"/>
                <w:vanish/>
              </w:rPr>
            </w:pPr>
          </w:p>
        </w:tc>
        <w:tc>
          <w:tcPr>
            <w:tcW w:w="0" w:type="auto"/>
            <w:gridSpan w:val="3"/>
            <w:shd w:val="clear" w:color="auto" w:fill="auto"/>
            <w:vAlign w:val="bottom"/>
          </w:tcPr>
          <w:p w14:paraId="39D992A9" w14:textId="77777777" w:rsidR="00996AD7" w:rsidRDefault="00996AD7">
            <w:pPr>
              <w:rPr>
                <w:rFonts w:ascii="宋体"/>
                <w:vanish/>
              </w:rPr>
            </w:pPr>
          </w:p>
        </w:tc>
        <w:tc>
          <w:tcPr>
            <w:tcW w:w="0" w:type="auto"/>
            <w:gridSpan w:val="3"/>
            <w:shd w:val="clear" w:color="auto" w:fill="auto"/>
            <w:vAlign w:val="bottom"/>
          </w:tcPr>
          <w:p w14:paraId="39D992AA" w14:textId="77777777" w:rsidR="00996AD7" w:rsidRDefault="00996AD7">
            <w:pPr>
              <w:rPr>
                <w:rFonts w:ascii="宋体"/>
                <w:vanish/>
              </w:rPr>
            </w:pPr>
          </w:p>
        </w:tc>
      </w:tr>
      <w:tr w:rsidR="00996AD7" w14:paraId="39D992B1" w14:textId="77777777">
        <w:trPr>
          <w:hidden/>
        </w:trPr>
        <w:tc>
          <w:tcPr>
            <w:tcW w:w="0" w:type="auto"/>
            <w:gridSpan w:val="3"/>
            <w:shd w:val="clear" w:color="auto" w:fill="auto"/>
            <w:vAlign w:val="bottom"/>
          </w:tcPr>
          <w:p w14:paraId="39D992AC" w14:textId="77777777" w:rsidR="00996AD7" w:rsidRDefault="00996AD7">
            <w:pPr>
              <w:rPr>
                <w:rFonts w:ascii="宋体"/>
                <w:vanish/>
              </w:rPr>
            </w:pPr>
          </w:p>
        </w:tc>
        <w:tc>
          <w:tcPr>
            <w:tcW w:w="0" w:type="auto"/>
            <w:gridSpan w:val="3"/>
            <w:shd w:val="clear" w:color="auto" w:fill="auto"/>
            <w:vAlign w:val="bottom"/>
          </w:tcPr>
          <w:p w14:paraId="39D992AD" w14:textId="77777777" w:rsidR="00996AD7" w:rsidRDefault="00996AD7">
            <w:pPr>
              <w:rPr>
                <w:rFonts w:ascii="宋体"/>
                <w:vanish/>
              </w:rPr>
            </w:pPr>
          </w:p>
        </w:tc>
        <w:tc>
          <w:tcPr>
            <w:tcW w:w="0" w:type="auto"/>
            <w:gridSpan w:val="3"/>
            <w:shd w:val="clear" w:color="auto" w:fill="auto"/>
            <w:vAlign w:val="bottom"/>
          </w:tcPr>
          <w:p w14:paraId="39D992AE" w14:textId="77777777" w:rsidR="00996AD7" w:rsidRDefault="00996AD7">
            <w:pPr>
              <w:rPr>
                <w:rFonts w:ascii="宋体"/>
                <w:vanish/>
              </w:rPr>
            </w:pPr>
          </w:p>
        </w:tc>
        <w:tc>
          <w:tcPr>
            <w:tcW w:w="0" w:type="auto"/>
            <w:gridSpan w:val="3"/>
            <w:shd w:val="clear" w:color="auto" w:fill="auto"/>
            <w:vAlign w:val="bottom"/>
          </w:tcPr>
          <w:p w14:paraId="39D992AF" w14:textId="77777777" w:rsidR="00996AD7" w:rsidRDefault="00996AD7">
            <w:pPr>
              <w:rPr>
                <w:rFonts w:ascii="宋体"/>
                <w:vanish/>
              </w:rPr>
            </w:pPr>
          </w:p>
        </w:tc>
        <w:tc>
          <w:tcPr>
            <w:tcW w:w="0" w:type="auto"/>
            <w:gridSpan w:val="3"/>
            <w:shd w:val="clear" w:color="auto" w:fill="auto"/>
            <w:vAlign w:val="bottom"/>
          </w:tcPr>
          <w:p w14:paraId="39D992B0" w14:textId="77777777" w:rsidR="00996AD7" w:rsidRDefault="00996AD7">
            <w:pPr>
              <w:rPr>
                <w:rFonts w:ascii="宋体"/>
                <w:vanish/>
              </w:rPr>
            </w:pPr>
          </w:p>
        </w:tc>
      </w:tr>
      <w:tr w:rsidR="00996AD7" w14:paraId="39D992B5" w14:textId="77777777">
        <w:tc>
          <w:tcPr>
            <w:tcW w:w="0" w:type="auto"/>
            <w:gridSpan w:val="3"/>
            <w:shd w:val="clear" w:color="auto" w:fill="auto"/>
            <w:tcMar>
              <w:top w:w="40" w:type="dxa"/>
              <w:left w:w="20" w:type="dxa"/>
              <w:bottom w:w="40" w:type="dxa"/>
              <w:right w:w="20" w:type="dxa"/>
            </w:tcMar>
          </w:tcPr>
          <w:p w14:paraId="39D992B2" w14:textId="77777777" w:rsidR="00996AD7" w:rsidRDefault="00D96458">
            <w:pPr>
              <w:textAlignment w:val="top"/>
            </w:pPr>
            <w:r>
              <w:rPr>
                <w:rFonts w:ascii="Arial" w:eastAsia="宋体" w:hAnsi="Arial" w:cs="Arial"/>
                <w:color w:val="0068B5"/>
                <w:sz w:val="18"/>
                <w:szCs w:val="18"/>
              </w:rPr>
              <w:t>SSD</w:t>
            </w:r>
          </w:p>
        </w:tc>
        <w:tc>
          <w:tcPr>
            <w:tcW w:w="0" w:type="auto"/>
            <w:gridSpan w:val="3"/>
            <w:shd w:val="clear" w:color="auto" w:fill="auto"/>
            <w:tcMar>
              <w:top w:w="0" w:type="dxa"/>
              <w:left w:w="20" w:type="dxa"/>
              <w:bottom w:w="0" w:type="dxa"/>
              <w:right w:w="20" w:type="dxa"/>
            </w:tcMar>
            <w:vAlign w:val="bottom"/>
          </w:tcPr>
          <w:p w14:paraId="39D992B3"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2B4" w14:textId="77777777" w:rsidR="00996AD7" w:rsidRDefault="00D96458">
            <w:pPr>
              <w:textAlignment w:val="top"/>
            </w:pPr>
            <w:r>
              <w:rPr>
                <w:rFonts w:ascii="Arial" w:eastAsia="宋体" w:hAnsi="Arial" w:cs="Arial"/>
                <w:color w:val="262626"/>
                <w:sz w:val="18"/>
                <w:szCs w:val="18"/>
              </w:rPr>
              <w:t>Solid-state drive</w:t>
            </w:r>
          </w:p>
        </w:tc>
      </w:tr>
      <w:tr w:rsidR="00996AD7" w14:paraId="39D992BB" w14:textId="77777777">
        <w:trPr>
          <w:hidden/>
        </w:trPr>
        <w:tc>
          <w:tcPr>
            <w:tcW w:w="0" w:type="auto"/>
            <w:gridSpan w:val="3"/>
            <w:shd w:val="clear" w:color="auto" w:fill="auto"/>
            <w:vAlign w:val="bottom"/>
          </w:tcPr>
          <w:p w14:paraId="39D992B6" w14:textId="77777777" w:rsidR="00996AD7" w:rsidRDefault="00996AD7">
            <w:pPr>
              <w:rPr>
                <w:rFonts w:ascii="宋体"/>
                <w:vanish/>
              </w:rPr>
            </w:pPr>
          </w:p>
        </w:tc>
        <w:tc>
          <w:tcPr>
            <w:tcW w:w="0" w:type="auto"/>
            <w:gridSpan w:val="3"/>
            <w:shd w:val="clear" w:color="auto" w:fill="auto"/>
            <w:vAlign w:val="bottom"/>
          </w:tcPr>
          <w:p w14:paraId="39D992B7" w14:textId="77777777" w:rsidR="00996AD7" w:rsidRDefault="00996AD7">
            <w:pPr>
              <w:rPr>
                <w:rFonts w:ascii="宋体"/>
                <w:vanish/>
              </w:rPr>
            </w:pPr>
          </w:p>
        </w:tc>
        <w:tc>
          <w:tcPr>
            <w:tcW w:w="0" w:type="auto"/>
            <w:gridSpan w:val="3"/>
            <w:shd w:val="clear" w:color="auto" w:fill="auto"/>
            <w:vAlign w:val="bottom"/>
          </w:tcPr>
          <w:p w14:paraId="39D992B8" w14:textId="77777777" w:rsidR="00996AD7" w:rsidRDefault="00996AD7">
            <w:pPr>
              <w:rPr>
                <w:rFonts w:ascii="宋体"/>
                <w:vanish/>
              </w:rPr>
            </w:pPr>
          </w:p>
        </w:tc>
        <w:tc>
          <w:tcPr>
            <w:tcW w:w="0" w:type="auto"/>
            <w:gridSpan w:val="3"/>
            <w:shd w:val="clear" w:color="auto" w:fill="auto"/>
            <w:vAlign w:val="bottom"/>
          </w:tcPr>
          <w:p w14:paraId="39D992B9" w14:textId="77777777" w:rsidR="00996AD7" w:rsidRDefault="00996AD7">
            <w:pPr>
              <w:rPr>
                <w:rFonts w:ascii="宋体"/>
                <w:vanish/>
              </w:rPr>
            </w:pPr>
          </w:p>
        </w:tc>
        <w:tc>
          <w:tcPr>
            <w:tcW w:w="0" w:type="auto"/>
            <w:gridSpan w:val="3"/>
            <w:shd w:val="clear" w:color="auto" w:fill="auto"/>
            <w:vAlign w:val="bottom"/>
          </w:tcPr>
          <w:p w14:paraId="39D992BA" w14:textId="77777777" w:rsidR="00996AD7" w:rsidRDefault="00996AD7">
            <w:pPr>
              <w:rPr>
                <w:rFonts w:ascii="宋体"/>
                <w:vanish/>
              </w:rPr>
            </w:pPr>
          </w:p>
        </w:tc>
      </w:tr>
      <w:tr w:rsidR="00996AD7" w14:paraId="39D992C1" w14:textId="77777777">
        <w:trPr>
          <w:hidden/>
        </w:trPr>
        <w:tc>
          <w:tcPr>
            <w:tcW w:w="0" w:type="auto"/>
            <w:gridSpan w:val="3"/>
            <w:shd w:val="clear" w:color="auto" w:fill="auto"/>
            <w:vAlign w:val="bottom"/>
          </w:tcPr>
          <w:p w14:paraId="39D992BC" w14:textId="77777777" w:rsidR="00996AD7" w:rsidRDefault="00996AD7">
            <w:pPr>
              <w:rPr>
                <w:rFonts w:ascii="宋体"/>
                <w:vanish/>
              </w:rPr>
            </w:pPr>
          </w:p>
        </w:tc>
        <w:tc>
          <w:tcPr>
            <w:tcW w:w="0" w:type="auto"/>
            <w:gridSpan w:val="3"/>
            <w:shd w:val="clear" w:color="auto" w:fill="auto"/>
            <w:vAlign w:val="bottom"/>
          </w:tcPr>
          <w:p w14:paraId="39D992BD" w14:textId="77777777" w:rsidR="00996AD7" w:rsidRDefault="00996AD7">
            <w:pPr>
              <w:rPr>
                <w:rFonts w:ascii="宋体"/>
                <w:vanish/>
              </w:rPr>
            </w:pPr>
          </w:p>
        </w:tc>
        <w:tc>
          <w:tcPr>
            <w:tcW w:w="0" w:type="auto"/>
            <w:gridSpan w:val="3"/>
            <w:shd w:val="clear" w:color="auto" w:fill="auto"/>
            <w:vAlign w:val="bottom"/>
          </w:tcPr>
          <w:p w14:paraId="39D992BE" w14:textId="77777777" w:rsidR="00996AD7" w:rsidRDefault="00996AD7">
            <w:pPr>
              <w:rPr>
                <w:rFonts w:ascii="宋体"/>
                <w:vanish/>
              </w:rPr>
            </w:pPr>
          </w:p>
        </w:tc>
        <w:tc>
          <w:tcPr>
            <w:tcW w:w="0" w:type="auto"/>
            <w:gridSpan w:val="3"/>
            <w:shd w:val="clear" w:color="auto" w:fill="auto"/>
            <w:vAlign w:val="bottom"/>
          </w:tcPr>
          <w:p w14:paraId="39D992BF" w14:textId="77777777" w:rsidR="00996AD7" w:rsidRDefault="00996AD7">
            <w:pPr>
              <w:rPr>
                <w:rFonts w:ascii="宋体"/>
                <w:vanish/>
              </w:rPr>
            </w:pPr>
          </w:p>
        </w:tc>
        <w:tc>
          <w:tcPr>
            <w:tcW w:w="0" w:type="auto"/>
            <w:gridSpan w:val="3"/>
            <w:shd w:val="clear" w:color="auto" w:fill="auto"/>
            <w:vAlign w:val="bottom"/>
          </w:tcPr>
          <w:p w14:paraId="39D992C0" w14:textId="77777777" w:rsidR="00996AD7" w:rsidRDefault="00996AD7">
            <w:pPr>
              <w:rPr>
                <w:rFonts w:ascii="宋体"/>
                <w:vanish/>
              </w:rPr>
            </w:pPr>
          </w:p>
        </w:tc>
      </w:tr>
      <w:tr w:rsidR="00996AD7" w14:paraId="39D992C7" w14:textId="77777777">
        <w:trPr>
          <w:hidden/>
        </w:trPr>
        <w:tc>
          <w:tcPr>
            <w:tcW w:w="0" w:type="auto"/>
            <w:gridSpan w:val="3"/>
            <w:shd w:val="clear" w:color="auto" w:fill="auto"/>
            <w:vAlign w:val="bottom"/>
          </w:tcPr>
          <w:p w14:paraId="39D992C2" w14:textId="77777777" w:rsidR="00996AD7" w:rsidRDefault="00996AD7">
            <w:pPr>
              <w:rPr>
                <w:rFonts w:ascii="宋体"/>
                <w:vanish/>
              </w:rPr>
            </w:pPr>
          </w:p>
        </w:tc>
        <w:tc>
          <w:tcPr>
            <w:tcW w:w="0" w:type="auto"/>
            <w:gridSpan w:val="3"/>
            <w:shd w:val="clear" w:color="auto" w:fill="auto"/>
            <w:vAlign w:val="bottom"/>
          </w:tcPr>
          <w:p w14:paraId="39D992C3" w14:textId="77777777" w:rsidR="00996AD7" w:rsidRDefault="00996AD7">
            <w:pPr>
              <w:rPr>
                <w:rFonts w:ascii="宋体"/>
                <w:vanish/>
              </w:rPr>
            </w:pPr>
          </w:p>
        </w:tc>
        <w:tc>
          <w:tcPr>
            <w:tcW w:w="0" w:type="auto"/>
            <w:gridSpan w:val="3"/>
            <w:shd w:val="clear" w:color="auto" w:fill="auto"/>
            <w:vAlign w:val="bottom"/>
          </w:tcPr>
          <w:p w14:paraId="39D992C4" w14:textId="77777777" w:rsidR="00996AD7" w:rsidRDefault="00996AD7">
            <w:pPr>
              <w:rPr>
                <w:rFonts w:ascii="宋体"/>
                <w:vanish/>
              </w:rPr>
            </w:pPr>
          </w:p>
        </w:tc>
        <w:tc>
          <w:tcPr>
            <w:tcW w:w="0" w:type="auto"/>
            <w:gridSpan w:val="3"/>
            <w:shd w:val="clear" w:color="auto" w:fill="auto"/>
            <w:vAlign w:val="bottom"/>
          </w:tcPr>
          <w:p w14:paraId="39D992C5" w14:textId="77777777" w:rsidR="00996AD7" w:rsidRDefault="00996AD7">
            <w:pPr>
              <w:rPr>
                <w:rFonts w:ascii="宋体"/>
                <w:vanish/>
              </w:rPr>
            </w:pPr>
          </w:p>
        </w:tc>
        <w:tc>
          <w:tcPr>
            <w:tcW w:w="0" w:type="auto"/>
            <w:gridSpan w:val="3"/>
            <w:shd w:val="clear" w:color="auto" w:fill="auto"/>
            <w:vAlign w:val="bottom"/>
          </w:tcPr>
          <w:p w14:paraId="39D992C6" w14:textId="77777777" w:rsidR="00996AD7" w:rsidRDefault="00996AD7">
            <w:pPr>
              <w:rPr>
                <w:rFonts w:ascii="宋体"/>
                <w:vanish/>
              </w:rPr>
            </w:pPr>
          </w:p>
        </w:tc>
      </w:tr>
      <w:tr w:rsidR="00996AD7" w14:paraId="39D992CD" w14:textId="77777777">
        <w:trPr>
          <w:hidden/>
        </w:trPr>
        <w:tc>
          <w:tcPr>
            <w:tcW w:w="0" w:type="auto"/>
            <w:gridSpan w:val="3"/>
            <w:shd w:val="clear" w:color="auto" w:fill="auto"/>
            <w:vAlign w:val="bottom"/>
          </w:tcPr>
          <w:p w14:paraId="39D992C8" w14:textId="77777777" w:rsidR="00996AD7" w:rsidRDefault="00996AD7">
            <w:pPr>
              <w:rPr>
                <w:rFonts w:ascii="宋体"/>
                <w:vanish/>
              </w:rPr>
            </w:pPr>
          </w:p>
        </w:tc>
        <w:tc>
          <w:tcPr>
            <w:tcW w:w="0" w:type="auto"/>
            <w:gridSpan w:val="3"/>
            <w:shd w:val="clear" w:color="auto" w:fill="auto"/>
            <w:vAlign w:val="bottom"/>
          </w:tcPr>
          <w:p w14:paraId="39D992C9" w14:textId="77777777" w:rsidR="00996AD7" w:rsidRDefault="00996AD7">
            <w:pPr>
              <w:rPr>
                <w:rFonts w:ascii="宋体"/>
                <w:vanish/>
              </w:rPr>
            </w:pPr>
          </w:p>
        </w:tc>
        <w:tc>
          <w:tcPr>
            <w:tcW w:w="0" w:type="auto"/>
            <w:gridSpan w:val="3"/>
            <w:shd w:val="clear" w:color="auto" w:fill="auto"/>
            <w:vAlign w:val="bottom"/>
          </w:tcPr>
          <w:p w14:paraId="39D992CA" w14:textId="77777777" w:rsidR="00996AD7" w:rsidRDefault="00996AD7">
            <w:pPr>
              <w:rPr>
                <w:rFonts w:ascii="宋体"/>
                <w:vanish/>
              </w:rPr>
            </w:pPr>
          </w:p>
        </w:tc>
        <w:tc>
          <w:tcPr>
            <w:tcW w:w="0" w:type="auto"/>
            <w:gridSpan w:val="3"/>
            <w:shd w:val="clear" w:color="auto" w:fill="auto"/>
            <w:vAlign w:val="bottom"/>
          </w:tcPr>
          <w:p w14:paraId="39D992CB" w14:textId="77777777" w:rsidR="00996AD7" w:rsidRDefault="00996AD7">
            <w:pPr>
              <w:rPr>
                <w:rFonts w:ascii="宋体"/>
                <w:vanish/>
              </w:rPr>
            </w:pPr>
          </w:p>
        </w:tc>
        <w:tc>
          <w:tcPr>
            <w:tcW w:w="0" w:type="auto"/>
            <w:gridSpan w:val="3"/>
            <w:shd w:val="clear" w:color="auto" w:fill="auto"/>
            <w:vAlign w:val="bottom"/>
          </w:tcPr>
          <w:p w14:paraId="39D992CC" w14:textId="77777777" w:rsidR="00996AD7" w:rsidRDefault="00996AD7">
            <w:pPr>
              <w:rPr>
                <w:rFonts w:ascii="宋体"/>
                <w:vanish/>
              </w:rPr>
            </w:pPr>
          </w:p>
        </w:tc>
      </w:tr>
      <w:tr w:rsidR="00996AD7" w14:paraId="39D992D3" w14:textId="77777777">
        <w:trPr>
          <w:hidden/>
        </w:trPr>
        <w:tc>
          <w:tcPr>
            <w:tcW w:w="0" w:type="auto"/>
            <w:gridSpan w:val="3"/>
            <w:shd w:val="clear" w:color="auto" w:fill="auto"/>
            <w:vAlign w:val="bottom"/>
          </w:tcPr>
          <w:p w14:paraId="39D992CE" w14:textId="77777777" w:rsidR="00996AD7" w:rsidRDefault="00996AD7">
            <w:pPr>
              <w:rPr>
                <w:rFonts w:ascii="宋体"/>
                <w:vanish/>
              </w:rPr>
            </w:pPr>
          </w:p>
        </w:tc>
        <w:tc>
          <w:tcPr>
            <w:tcW w:w="0" w:type="auto"/>
            <w:gridSpan w:val="3"/>
            <w:shd w:val="clear" w:color="auto" w:fill="auto"/>
            <w:vAlign w:val="bottom"/>
          </w:tcPr>
          <w:p w14:paraId="39D992CF" w14:textId="77777777" w:rsidR="00996AD7" w:rsidRDefault="00996AD7">
            <w:pPr>
              <w:rPr>
                <w:rFonts w:ascii="宋体"/>
                <w:vanish/>
              </w:rPr>
            </w:pPr>
          </w:p>
        </w:tc>
        <w:tc>
          <w:tcPr>
            <w:tcW w:w="0" w:type="auto"/>
            <w:gridSpan w:val="3"/>
            <w:shd w:val="clear" w:color="auto" w:fill="auto"/>
            <w:vAlign w:val="bottom"/>
          </w:tcPr>
          <w:p w14:paraId="39D992D0" w14:textId="77777777" w:rsidR="00996AD7" w:rsidRDefault="00996AD7">
            <w:pPr>
              <w:rPr>
                <w:rFonts w:ascii="宋体"/>
                <w:vanish/>
              </w:rPr>
            </w:pPr>
          </w:p>
        </w:tc>
        <w:tc>
          <w:tcPr>
            <w:tcW w:w="0" w:type="auto"/>
            <w:gridSpan w:val="3"/>
            <w:shd w:val="clear" w:color="auto" w:fill="auto"/>
            <w:vAlign w:val="bottom"/>
          </w:tcPr>
          <w:p w14:paraId="39D992D1" w14:textId="77777777" w:rsidR="00996AD7" w:rsidRDefault="00996AD7">
            <w:pPr>
              <w:rPr>
                <w:rFonts w:ascii="宋体"/>
                <w:vanish/>
              </w:rPr>
            </w:pPr>
          </w:p>
        </w:tc>
        <w:tc>
          <w:tcPr>
            <w:tcW w:w="0" w:type="auto"/>
            <w:gridSpan w:val="3"/>
            <w:shd w:val="clear" w:color="auto" w:fill="auto"/>
            <w:vAlign w:val="bottom"/>
          </w:tcPr>
          <w:p w14:paraId="39D992D2" w14:textId="77777777" w:rsidR="00996AD7" w:rsidRDefault="00996AD7">
            <w:pPr>
              <w:rPr>
                <w:rFonts w:ascii="宋体"/>
                <w:vanish/>
              </w:rPr>
            </w:pPr>
          </w:p>
        </w:tc>
      </w:tr>
      <w:tr w:rsidR="00996AD7" w14:paraId="39D992D9" w14:textId="77777777">
        <w:trPr>
          <w:hidden/>
        </w:trPr>
        <w:tc>
          <w:tcPr>
            <w:tcW w:w="0" w:type="auto"/>
            <w:gridSpan w:val="3"/>
            <w:shd w:val="clear" w:color="auto" w:fill="auto"/>
            <w:vAlign w:val="bottom"/>
          </w:tcPr>
          <w:p w14:paraId="39D992D4" w14:textId="77777777" w:rsidR="00996AD7" w:rsidRDefault="00996AD7">
            <w:pPr>
              <w:rPr>
                <w:rFonts w:ascii="宋体"/>
                <w:vanish/>
              </w:rPr>
            </w:pPr>
          </w:p>
        </w:tc>
        <w:tc>
          <w:tcPr>
            <w:tcW w:w="0" w:type="auto"/>
            <w:gridSpan w:val="3"/>
            <w:shd w:val="clear" w:color="auto" w:fill="auto"/>
            <w:vAlign w:val="bottom"/>
          </w:tcPr>
          <w:p w14:paraId="39D992D5" w14:textId="77777777" w:rsidR="00996AD7" w:rsidRDefault="00996AD7">
            <w:pPr>
              <w:rPr>
                <w:rFonts w:ascii="宋体"/>
                <w:vanish/>
              </w:rPr>
            </w:pPr>
          </w:p>
        </w:tc>
        <w:tc>
          <w:tcPr>
            <w:tcW w:w="0" w:type="auto"/>
            <w:gridSpan w:val="3"/>
            <w:shd w:val="clear" w:color="auto" w:fill="auto"/>
            <w:vAlign w:val="bottom"/>
          </w:tcPr>
          <w:p w14:paraId="39D992D6" w14:textId="77777777" w:rsidR="00996AD7" w:rsidRDefault="00996AD7">
            <w:pPr>
              <w:rPr>
                <w:rFonts w:ascii="宋体"/>
                <w:vanish/>
              </w:rPr>
            </w:pPr>
          </w:p>
        </w:tc>
        <w:tc>
          <w:tcPr>
            <w:tcW w:w="0" w:type="auto"/>
            <w:gridSpan w:val="3"/>
            <w:shd w:val="clear" w:color="auto" w:fill="auto"/>
            <w:vAlign w:val="bottom"/>
          </w:tcPr>
          <w:p w14:paraId="39D992D7" w14:textId="77777777" w:rsidR="00996AD7" w:rsidRDefault="00996AD7">
            <w:pPr>
              <w:rPr>
                <w:rFonts w:ascii="宋体"/>
                <w:vanish/>
              </w:rPr>
            </w:pPr>
          </w:p>
        </w:tc>
        <w:tc>
          <w:tcPr>
            <w:tcW w:w="0" w:type="auto"/>
            <w:gridSpan w:val="3"/>
            <w:shd w:val="clear" w:color="auto" w:fill="auto"/>
            <w:vAlign w:val="bottom"/>
          </w:tcPr>
          <w:p w14:paraId="39D992D8" w14:textId="77777777" w:rsidR="00996AD7" w:rsidRDefault="00996AD7">
            <w:pPr>
              <w:rPr>
                <w:rFonts w:ascii="宋体"/>
                <w:vanish/>
              </w:rPr>
            </w:pPr>
          </w:p>
        </w:tc>
      </w:tr>
      <w:tr w:rsidR="00996AD7" w14:paraId="39D992DF" w14:textId="77777777">
        <w:trPr>
          <w:hidden/>
        </w:trPr>
        <w:tc>
          <w:tcPr>
            <w:tcW w:w="0" w:type="auto"/>
            <w:gridSpan w:val="3"/>
            <w:shd w:val="clear" w:color="auto" w:fill="auto"/>
            <w:vAlign w:val="bottom"/>
          </w:tcPr>
          <w:p w14:paraId="39D992DA" w14:textId="77777777" w:rsidR="00996AD7" w:rsidRDefault="00996AD7">
            <w:pPr>
              <w:rPr>
                <w:rFonts w:ascii="宋体"/>
                <w:vanish/>
              </w:rPr>
            </w:pPr>
          </w:p>
        </w:tc>
        <w:tc>
          <w:tcPr>
            <w:tcW w:w="0" w:type="auto"/>
            <w:gridSpan w:val="3"/>
            <w:shd w:val="clear" w:color="auto" w:fill="auto"/>
            <w:vAlign w:val="bottom"/>
          </w:tcPr>
          <w:p w14:paraId="39D992DB" w14:textId="77777777" w:rsidR="00996AD7" w:rsidRDefault="00996AD7">
            <w:pPr>
              <w:rPr>
                <w:rFonts w:ascii="宋体"/>
                <w:vanish/>
              </w:rPr>
            </w:pPr>
          </w:p>
        </w:tc>
        <w:tc>
          <w:tcPr>
            <w:tcW w:w="0" w:type="auto"/>
            <w:gridSpan w:val="3"/>
            <w:shd w:val="clear" w:color="auto" w:fill="auto"/>
            <w:vAlign w:val="bottom"/>
          </w:tcPr>
          <w:p w14:paraId="39D992DC" w14:textId="77777777" w:rsidR="00996AD7" w:rsidRDefault="00996AD7">
            <w:pPr>
              <w:rPr>
                <w:rFonts w:ascii="宋体"/>
                <w:vanish/>
              </w:rPr>
            </w:pPr>
          </w:p>
        </w:tc>
        <w:tc>
          <w:tcPr>
            <w:tcW w:w="0" w:type="auto"/>
            <w:gridSpan w:val="3"/>
            <w:shd w:val="clear" w:color="auto" w:fill="auto"/>
            <w:vAlign w:val="bottom"/>
          </w:tcPr>
          <w:p w14:paraId="39D992DD" w14:textId="77777777" w:rsidR="00996AD7" w:rsidRDefault="00996AD7">
            <w:pPr>
              <w:rPr>
                <w:rFonts w:ascii="宋体"/>
                <w:vanish/>
              </w:rPr>
            </w:pPr>
          </w:p>
        </w:tc>
        <w:tc>
          <w:tcPr>
            <w:tcW w:w="0" w:type="auto"/>
            <w:gridSpan w:val="3"/>
            <w:shd w:val="clear" w:color="auto" w:fill="auto"/>
            <w:vAlign w:val="bottom"/>
          </w:tcPr>
          <w:p w14:paraId="39D992DE" w14:textId="77777777" w:rsidR="00996AD7" w:rsidRDefault="00996AD7">
            <w:pPr>
              <w:rPr>
                <w:rFonts w:ascii="宋体"/>
                <w:vanish/>
              </w:rPr>
            </w:pPr>
          </w:p>
        </w:tc>
      </w:tr>
      <w:tr w:rsidR="00996AD7" w14:paraId="39D992E5" w14:textId="77777777">
        <w:trPr>
          <w:hidden/>
        </w:trPr>
        <w:tc>
          <w:tcPr>
            <w:tcW w:w="0" w:type="auto"/>
            <w:gridSpan w:val="3"/>
            <w:shd w:val="clear" w:color="auto" w:fill="auto"/>
            <w:vAlign w:val="bottom"/>
          </w:tcPr>
          <w:p w14:paraId="39D992E0" w14:textId="77777777" w:rsidR="00996AD7" w:rsidRDefault="00996AD7">
            <w:pPr>
              <w:rPr>
                <w:rFonts w:ascii="宋体"/>
                <w:vanish/>
              </w:rPr>
            </w:pPr>
          </w:p>
        </w:tc>
        <w:tc>
          <w:tcPr>
            <w:tcW w:w="0" w:type="auto"/>
            <w:gridSpan w:val="3"/>
            <w:shd w:val="clear" w:color="auto" w:fill="auto"/>
            <w:vAlign w:val="bottom"/>
          </w:tcPr>
          <w:p w14:paraId="39D992E1" w14:textId="77777777" w:rsidR="00996AD7" w:rsidRDefault="00996AD7">
            <w:pPr>
              <w:rPr>
                <w:rFonts w:ascii="宋体"/>
                <w:vanish/>
              </w:rPr>
            </w:pPr>
          </w:p>
        </w:tc>
        <w:tc>
          <w:tcPr>
            <w:tcW w:w="0" w:type="auto"/>
            <w:gridSpan w:val="3"/>
            <w:shd w:val="clear" w:color="auto" w:fill="auto"/>
            <w:vAlign w:val="bottom"/>
          </w:tcPr>
          <w:p w14:paraId="39D992E2" w14:textId="77777777" w:rsidR="00996AD7" w:rsidRDefault="00996AD7">
            <w:pPr>
              <w:rPr>
                <w:rFonts w:ascii="宋体"/>
                <w:vanish/>
              </w:rPr>
            </w:pPr>
          </w:p>
        </w:tc>
        <w:tc>
          <w:tcPr>
            <w:tcW w:w="0" w:type="auto"/>
            <w:gridSpan w:val="3"/>
            <w:shd w:val="clear" w:color="auto" w:fill="auto"/>
            <w:vAlign w:val="bottom"/>
          </w:tcPr>
          <w:p w14:paraId="39D992E3" w14:textId="77777777" w:rsidR="00996AD7" w:rsidRDefault="00996AD7">
            <w:pPr>
              <w:rPr>
                <w:rFonts w:ascii="宋体"/>
                <w:vanish/>
              </w:rPr>
            </w:pPr>
          </w:p>
        </w:tc>
        <w:tc>
          <w:tcPr>
            <w:tcW w:w="0" w:type="auto"/>
            <w:gridSpan w:val="3"/>
            <w:shd w:val="clear" w:color="auto" w:fill="auto"/>
            <w:vAlign w:val="bottom"/>
          </w:tcPr>
          <w:p w14:paraId="39D992E4" w14:textId="77777777" w:rsidR="00996AD7" w:rsidRDefault="00996AD7">
            <w:pPr>
              <w:rPr>
                <w:rFonts w:ascii="宋体"/>
                <w:vanish/>
              </w:rPr>
            </w:pPr>
          </w:p>
        </w:tc>
      </w:tr>
      <w:tr w:rsidR="00996AD7" w14:paraId="39D992EB" w14:textId="77777777">
        <w:trPr>
          <w:hidden/>
        </w:trPr>
        <w:tc>
          <w:tcPr>
            <w:tcW w:w="0" w:type="auto"/>
            <w:gridSpan w:val="3"/>
            <w:shd w:val="clear" w:color="auto" w:fill="auto"/>
            <w:vAlign w:val="bottom"/>
          </w:tcPr>
          <w:p w14:paraId="39D992E6" w14:textId="77777777" w:rsidR="00996AD7" w:rsidRDefault="00996AD7">
            <w:pPr>
              <w:rPr>
                <w:rFonts w:ascii="宋体"/>
                <w:vanish/>
              </w:rPr>
            </w:pPr>
          </w:p>
        </w:tc>
        <w:tc>
          <w:tcPr>
            <w:tcW w:w="0" w:type="auto"/>
            <w:gridSpan w:val="3"/>
            <w:shd w:val="clear" w:color="auto" w:fill="auto"/>
            <w:vAlign w:val="bottom"/>
          </w:tcPr>
          <w:p w14:paraId="39D992E7" w14:textId="77777777" w:rsidR="00996AD7" w:rsidRDefault="00996AD7">
            <w:pPr>
              <w:rPr>
                <w:rFonts w:ascii="宋体"/>
                <w:vanish/>
              </w:rPr>
            </w:pPr>
          </w:p>
        </w:tc>
        <w:tc>
          <w:tcPr>
            <w:tcW w:w="0" w:type="auto"/>
            <w:gridSpan w:val="3"/>
            <w:shd w:val="clear" w:color="auto" w:fill="auto"/>
            <w:vAlign w:val="bottom"/>
          </w:tcPr>
          <w:p w14:paraId="39D992E8" w14:textId="77777777" w:rsidR="00996AD7" w:rsidRDefault="00996AD7">
            <w:pPr>
              <w:rPr>
                <w:rFonts w:ascii="宋体"/>
                <w:vanish/>
              </w:rPr>
            </w:pPr>
          </w:p>
        </w:tc>
        <w:tc>
          <w:tcPr>
            <w:tcW w:w="0" w:type="auto"/>
            <w:gridSpan w:val="3"/>
            <w:shd w:val="clear" w:color="auto" w:fill="auto"/>
            <w:vAlign w:val="bottom"/>
          </w:tcPr>
          <w:p w14:paraId="39D992E9" w14:textId="77777777" w:rsidR="00996AD7" w:rsidRDefault="00996AD7">
            <w:pPr>
              <w:rPr>
                <w:rFonts w:ascii="宋体"/>
                <w:vanish/>
              </w:rPr>
            </w:pPr>
          </w:p>
        </w:tc>
        <w:tc>
          <w:tcPr>
            <w:tcW w:w="0" w:type="auto"/>
            <w:gridSpan w:val="3"/>
            <w:shd w:val="clear" w:color="auto" w:fill="auto"/>
            <w:vAlign w:val="bottom"/>
          </w:tcPr>
          <w:p w14:paraId="39D992EA" w14:textId="77777777" w:rsidR="00996AD7" w:rsidRDefault="00996AD7">
            <w:pPr>
              <w:rPr>
                <w:rFonts w:ascii="宋体"/>
                <w:vanish/>
              </w:rPr>
            </w:pPr>
          </w:p>
        </w:tc>
      </w:tr>
      <w:tr w:rsidR="00996AD7" w14:paraId="39D992EF" w14:textId="77777777">
        <w:tc>
          <w:tcPr>
            <w:tcW w:w="0" w:type="auto"/>
            <w:gridSpan w:val="3"/>
            <w:shd w:val="clear" w:color="auto" w:fill="auto"/>
            <w:tcMar>
              <w:top w:w="40" w:type="dxa"/>
              <w:left w:w="20" w:type="dxa"/>
              <w:bottom w:w="40" w:type="dxa"/>
              <w:right w:w="20" w:type="dxa"/>
            </w:tcMar>
          </w:tcPr>
          <w:p w14:paraId="39D992EC" w14:textId="77777777" w:rsidR="00996AD7" w:rsidRDefault="00D96458">
            <w:pPr>
              <w:textAlignment w:val="top"/>
            </w:pPr>
            <w:r>
              <w:rPr>
                <w:rFonts w:ascii="Arial" w:eastAsia="宋体" w:hAnsi="Arial" w:cs="Arial"/>
                <w:color w:val="0068B5"/>
                <w:sz w:val="18"/>
                <w:szCs w:val="18"/>
              </w:rPr>
              <w:t>U.S. GAAP</w:t>
            </w:r>
          </w:p>
        </w:tc>
        <w:tc>
          <w:tcPr>
            <w:tcW w:w="0" w:type="auto"/>
            <w:gridSpan w:val="3"/>
            <w:shd w:val="clear" w:color="auto" w:fill="auto"/>
            <w:tcMar>
              <w:top w:w="0" w:type="dxa"/>
              <w:left w:w="20" w:type="dxa"/>
              <w:bottom w:w="0" w:type="dxa"/>
              <w:right w:w="20" w:type="dxa"/>
            </w:tcMar>
            <w:vAlign w:val="bottom"/>
          </w:tcPr>
          <w:p w14:paraId="39D992ED"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2EE" w14:textId="77777777" w:rsidR="00996AD7" w:rsidRDefault="00D96458">
            <w:pPr>
              <w:textAlignment w:val="top"/>
            </w:pPr>
            <w:r>
              <w:rPr>
                <w:rFonts w:ascii="Arial" w:eastAsia="宋体" w:hAnsi="Arial" w:cs="Arial"/>
                <w:color w:val="262626"/>
                <w:sz w:val="18"/>
                <w:szCs w:val="18"/>
              </w:rPr>
              <w:t>U.S. Generally Accepted Accounting Principles</w:t>
            </w:r>
          </w:p>
        </w:tc>
      </w:tr>
      <w:tr w:rsidR="00996AD7" w14:paraId="39D992F3" w14:textId="77777777">
        <w:tc>
          <w:tcPr>
            <w:tcW w:w="0" w:type="auto"/>
            <w:gridSpan w:val="3"/>
            <w:shd w:val="clear" w:color="auto" w:fill="auto"/>
            <w:tcMar>
              <w:top w:w="40" w:type="dxa"/>
              <w:left w:w="20" w:type="dxa"/>
              <w:bottom w:w="40" w:type="dxa"/>
              <w:right w:w="20" w:type="dxa"/>
            </w:tcMar>
          </w:tcPr>
          <w:p w14:paraId="39D992F0" w14:textId="77777777" w:rsidR="00996AD7" w:rsidRDefault="00D96458">
            <w:pPr>
              <w:textAlignment w:val="top"/>
            </w:pPr>
            <w:r>
              <w:rPr>
                <w:rFonts w:ascii="Arial" w:eastAsia="宋体" w:hAnsi="Arial" w:cs="Arial"/>
                <w:color w:val="0068B5"/>
                <w:sz w:val="18"/>
                <w:szCs w:val="18"/>
              </w:rPr>
              <w:t>VLSI</w:t>
            </w:r>
          </w:p>
        </w:tc>
        <w:tc>
          <w:tcPr>
            <w:tcW w:w="0" w:type="auto"/>
            <w:gridSpan w:val="3"/>
            <w:shd w:val="clear" w:color="auto" w:fill="auto"/>
            <w:tcMar>
              <w:top w:w="0" w:type="dxa"/>
              <w:left w:w="20" w:type="dxa"/>
              <w:bottom w:w="0" w:type="dxa"/>
              <w:right w:w="20" w:type="dxa"/>
            </w:tcMar>
            <w:vAlign w:val="bottom"/>
          </w:tcPr>
          <w:p w14:paraId="39D992F1"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tcPr>
          <w:p w14:paraId="39D992F2" w14:textId="77777777" w:rsidR="00996AD7" w:rsidRDefault="00D96458">
            <w:pPr>
              <w:textAlignment w:val="top"/>
            </w:pPr>
            <w:r>
              <w:rPr>
                <w:rFonts w:ascii="Arial" w:eastAsia="宋体" w:hAnsi="Arial" w:cs="Arial"/>
                <w:color w:val="262626"/>
                <w:sz w:val="18"/>
                <w:szCs w:val="18"/>
              </w:rPr>
              <w:t>VLSI Technology LLC</w:t>
            </w:r>
          </w:p>
        </w:tc>
      </w:tr>
      <w:tr w:rsidR="00996AD7" w14:paraId="39D992F9" w14:textId="77777777">
        <w:trPr>
          <w:hidden/>
        </w:trPr>
        <w:tc>
          <w:tcPr>
            <w:tcW w:w="0" w:type="auto"/>
            <w:gridSpan w:val="3"/>
            <w:shd w:val="clear" w:color="auto" w:fill="auto"/>
            <w:vAlign w:val="bottom"/>
          </w:tcPr>
          <w:p w14:paraId="39D992F4" w14:textId="77777777" w:rsidR="00996AD7" w:rsidRDefault="00996AD7">
            <w:pPr>
              <w:rPr>
                <w:rFonts w:ascii="宋体"/>
                <w:vanish/>
              </w:rPr>
            </w:pPr>
          </w:p>
        </w:tc>
        <w:tc>
          <w:tcPr>
            <w:tcW w:w="0" w:type="auto"/>
            <w:gridSpan w:val="3"/>
            <w:shd w:val="clear" w:color="auto" w:fill="auto"/>
            <w:vAlign w:val="bottom"/>
          </w:tcPr>
          <w:p w14:paraId="39D992F5" w14:textId="77777777" w:rsidR="00996AD7" w:rsidRDefault="00996AD7">
            <w:pPr>
              <w:rPr>
                <w:rFonts w:ascii="宋体"/>
                <w:vanish/>
              </w:rPr>
            </w:pPr>
          </w:p>
        </w:tc>
        <w:tc>
          <w:tcPr>
            <w:tcW w:w="0" w:type="auto"/>
            <w:gridSpan w:val="3"/>
            <w:shd w:val="clear" w:color="auto" w:fill="auto"/>
            <w:vAlign w:val="bottom"/>
          </w:tcPr>
          <w:p w14:paraId="39D992F6" w14:textId="77777777" w:rsidR="00996AD7" w:rsidRDefault="00996AD7">
            <w:pPr>
              <w:rPr>
                <w:rFonts w:ascii="宋体"/>
                <w:vanish/>
              </w:rPr>
            </w:pPr>
          </w:p>
        </w:tc>
        <w:tc>
          <w:tcPr>
            <w:tcW w:w="0" w:type="auto"/>
            <w:gridSpan w:val="3"/>
            <w:shd w:val="clear" w:color="auto" w:fill="auto"/>
            <w:vAlign w:val="bottom"/>
          </w:tcPr>
          <w:p w14:paraId="39D992F7" w14:textId="77777777" w:rsidR="00996AD7" w:rsidRDefault="00996AD7">
            <w:pPr>
              <w:rPr>
                <w:rFonts w:ascii="宋体"/>
                <w:vanish/>
              </w:rPr>
            </w:pPr>
          </w:p>
        </w:tc>
        <w:tc>
          <w:tcPr>
            <w:tcW w:w="0" w:type="auto"/>
            <w:gridSpan w:val="3"/>
            <w:shd w:val="clear" w:color="auto" w:fill="auto"/>
            <w:vAlign w:val="bottom"/>
          </w:tcPr>
          <w:p w14:paraId="39D992F8" w14:textId="77777777" w:rsidR="00996AD7" w:rsidRDefault="00996AD7">
            <w:pPr>
              <w:rPr>
                <w:rFonts w:ascii="宋体"/>
                <w:vanish/>
              </w:rPr>
            </w:pPr>
          </w:p>
        </w:tc>
      </w:tr>
      <w:tr w:rsidR="00996AD7" w14:paraId="39D992FF" w14:textId="77777777">
        <w:trPr>
          <w:hidden/>
        </w:trPr>
        <w:tc>
          <w:tcPr>
            <w:tcW w:w="0" w:type="auto"/>
            <w:gridSpan w:val="3"/>
            <w:shd w:val="clear" w:color="auto" w:fill="auto"/>
            <w:vAlign w:val="bottom"/>
          </w:tcPr>
          <w:p w14:paraId="39D992FA" w14:textId="77777777" w:rsidR="00996AD7" w:rsidRDefault="00996AD7">
            <w:pPr>
              <w:rPr>
                <w:rFonts w:ascii="宋体"/>
                <w:vanish/>
              </w:rPr>
            </w:pPr>
          </w:p>
        </w:tc>
        <w:tc>
          <w:tcPr>
            <w:tcW w:w="0" w:type="auto"/>
            <w:gridSpan w:val="3"/>
            <w:shd w:val="clear" w:color="auto" w:fill="auto"/>
            <w:vAlign w:val="bottom"/>
          </w:tcPr>
          <w:p w14:paraId="39D992FB" w14:textId="77777777" w:rsidR="00996AD7" w:rsidRDefault="00996AD7">
            <w:pPr>
              <w:rPr>
                <w:rFonts w:ascii="宋体"/>
                <w:vanish/>
              </w:rPr>
            </w:pPr>
          </w:p>
        </w:tc>
        <w:tc>
          <w:tcPr>
            <w:tcW w:w="0" w:type="auto"/>
            <w:gridSpan w:val="3"/>
            <w:shd w:val="clear" w:color="auto" w:fill="auto"/>
            <w:vAlign w:val="bottom"/>
          </w:tcPr>
          <w:p w14:paraId="39D992FC" w14:textId="77777777" w:rsidR="00996AD7" w:rsidRDefault="00996AD7">
            <w:pPr>
              <w:rPr>
                <w:rFonts w:ascii="宋体"/>
                <w:vanish/>
              </w:rPr>
            </w:pPr>
          </w:p>
        </w:tc>
        <w:tc>
          <w:tcPr>
            <w:tcW w:w="0" w:type="auto"/>
            <w:gridSpan w:val="3"/>
            <w:shd w:val="clear" w:color="auto" w:fill="auto"/>
            <w:vAlign w:val="bottom"/>
          </w:tcPr>
          <w:p w14:paraId="39D992FD" w14:textId="77777777" w:rsidR="00996AD7" w:rsidRDefault="00996AD7">
            <w:pPr>
              <w:rPr>
                <w:rFonts w:ascii="宋体"/>
                <w:vanish/>
              </w:rPr>
            </w:pPr>
          </w:p>
        </w:tc>
        <w:tc>
          <w:tcPr>
            <w:tcW w:w="0" w:type="auto"/>
            <w:gridSpan w:val="3"/>
            <w:shd w:val="clear" w:color="auto" w:fill="auto"/>
            <w:vAlign w:val="bottom"/>
          </w:tcPr>
          <w:p w14:paraId="39D992FE" w14:textId="77777777" w:rsidR="00996AD7" w:rsidRDefault="00996AD7">
            <w:pPr>
              <w:rPr>
                <w:rFonts w:ascii="宋体"/>
                <w:vanish/>
              </w:rPr>
            </w:pPr>
          </w:p>
        </w:tc>
      </w:tr>
      <w:tr w:rsidR="00996AD7" w14:paraId="39D99305" w14:textId="77777777">
        <w:trPr>
          <w:hidden/>
        </w:trPr>
        <w:tc>
          <w:tcPr>
            <w:tcW w:w="0" w:type="auto"/>
            <w:gridSpan w:val="3"/>
            <w:shd w:val="clear" w:color="auto" w:fill="auto"/>
            <w:vAlign w:val="bottom"/>
          </w:tcPr>
          <w:p w14:paraId="39D99300" w14:textId="77777777" w:rsidR="00996AD7" w:rsidRDefault="00996AD7">
            <w:pPr>
              <w:rPr>
                <w:rFonts w:ascii="宋体"/>
                <w:vanish/>
              </w:rPr>
            </w:pPr>
          </w:p>
        </w:tc>
        <w:tc>
          <w:tcPr>
            <w:tcW w:w="0" w:type="auto"/>
            <w:gridSpan w:val="3"/>
            <w:shd w:val="clear" w:color="auto" w:fill="auto"/>
            <w:vAlign w:val="bottom"/>
          </w:tcPr>
          <w:p w14:paraId="39D99301" w14:textId="77777777" w:rsidR="00996AD7" w:rsidRDefault="00996AD7">
            <w:pPr>
              <w:rPr>
                <w:rFonts w:ascii="宋体"/>
                <w:vanish/>
              </w:rPr>
            </w:pPr>
          </w:p>
        </w:tc>
        <w:tc>
          <w:tcPr>
            <w:tcW w:w="0" w:type="auto"/>
            <w:gridSpan w:val="3"/>
            <w:shd w:val="clear" w:color="auto" w:fill="auto"/>
            <w:vAlign w:val="bottom"/>
          </w:tcPr>
          <w:p w14:paraId="39D99302" w14:textId="77777777" w:rsidR="00996AD7" w:rsidRDefault="00996AD7">
            <w:pPr>
              <w:rPr>
                <w:rFonts w:ascii="宋体"/>
                <w:vanish/>
              </w:rPr>
            </w:pPr>
          </w:p>
        </w:tc>
        <w:tc>
          <w:tcPr>
            <w:tcW w:w="0" w:type="auto"/>
            <w:gridSpan w:val="3"/>
            <w:shd w:val="clear" w:color="auto" w:fill="auto"/>
            <w:vAlign w:val="bottom"/>
          </w:tcPr>
          <w:p w14:paraId="39D99303" w14:textId="77777777" w:rsidR="00996AD7" w:rsidRDefault="00996AD7">
            <w:pPr>
              <w:rPr>
                <w:rFonts w:ascii="宋体"/>
                <w:vanish/>
              </w:rPr>
            </w:pPr>
          </w:p>
        </w:tc>
        <w:tc>
          <w:tcPr>
            <w:tcW w:w="0" w:type="auto"/>
            <w:gridSpan w:val="3"/>
            <w:shd w:val="clear" w:color="auto" w:fill="auto"/>
            <w:vAlign w:val="bottom"/>
          </w:tcPr>
          <w:p w14:paraId="39D99304" w14:textId="77777777" w:rsidR="00996AD7" w:rsidRDefault="00996AD7">
            <w:pPr>
              <w:rPr>
                <w:rFonts w:ascii="宋体"/>
                <w:vanish/>
              </w:rPr>
            </w:pPr>
          </w:p>
        </w:tc>
      </w:tr>
      <w:tr w:rsidR="00996AD7" w14:paraId="39D9930B" w14:textId="77777777">
        <w:trPr>
          <w:hidden/>
        </w:trPr>
        <w:tc>
          <w:tcPr>
            <w:tcW w:w="0" w:type="auto"/>
            <w:gridSpan w:val="3"/>
            <w:shd w:val="clear" w:color="auto" w:fill="auto"/>
            <w:vAlign w:val="bottom"/>
          </w:tcPr>
          <w:p w14:paraId="39D99306" w14:textId="77777777" w:rsidR="00996AD7" w:rsidRDefault="00996AD7">
            <w:pPr>
              <w:rPr>
                <w:rFonts w:ascii="宋体"/>
                <w:vanish/>
              </w:rPr>
            </w:pPr>
          </w:p>
        </w:tc>
        <w:tc>
          <w:tcPr>
            <w:tcW w:w="0" w:type="auto"/>
            <w:gridSpan w:val="3"/>
            <w:shd w:val="clear" w:color="auto" w:fill="auto"/>
            <w:vAlign w:val="bottom"/>
          </w:tcPr>
          <w:p w14:paraId="39D99307" w14:textId="77777777" w:rsidR="00996AD7" w:rsidRDefault="00996AD7">
            <w:pPr>
              <w:rPr>
                <w:rFonts w:ascii="宋体"/>
                <w:vanish/>
              </w:rPr>
            </w:pPr>
          </w:p>
        </w:tc>
        <w:tc>
          <w:tcPr>
            <w:tcW w:w="0" w:type="auto"/>
            <w:gridSpan w:val="3"/>
            <w:shd w:val="clear" w:color="auto" w:fill="auto"/>
            <w:vAlign w:val="bottom"/>
          </w:tcPr>
          <w:p w14:paraId="39D99308" w14:textId="77777777" w:rsidR="00996AD7" w:rsidRDefault="00996AD7">
            <w:pPr>
              <w:rPr>
                <w:rFonts w:ascii="宋体"/>
                <w:vanish/>
              </w:rPr>
            </w:pPr>
          </w:p>
        </w:tc>
        <w:tc>
          <w:tcPr>
            <w:tcW w:w="0" w:type="auto"/>
            <w:gridSpan w:val="3"/>
            <w:shd w:val="clear" w:color="auto" w:fill="auto"/>
            <w:vAlign w:val="bottom"/>
          </w:tcPr>
          <w:p w14:paraId="39D99309" w14:textId="77777777" w:rsidR="00996AD7" w:rsidRDefault="00996AD7">
            <w:pPr>
              <w:rPr>
                <w:rFonts w:ascii="宋体"/>
                <w:vanish/>
              </w:rPr>
            </w:pPr>
          </w:p>
        </w:tc>
        <w:tc>
          <w:tcPr>
            <w:tcW w:w="0" w:type="auto"/>
            <w:gridSpan w:val="3"/>
            <w:shd w:val="clear" w:color="auto" w:fill="auto"/>
            <w:vAlign w:val="bottom"/>
          </w:tcPr>
          <w:p w14:paraId="39D9930A" w14:textId="77777777" w:rsidR="00996AD7" w:rsidRDefault="00996AD7">
            <w:pPr>
              <w:rPr>
                <w:rFonts w:ascii="宋体"/>
                <w:vanish/>
              </w:rPr>
            </w:pPr>
          </w:p>
        </w:tc>
      </w:tr>
      <w:tr w:rsidR="00996AD7" w14:paraId="39D99311" w14:textId="77777777">
        <w:trPr>
          <w:hidden/>
        </w:trPr>
        <w:tc>
          <w:tcPr>
            <w:tcW w:w="0" w:type="auto"/>
            <w:gridSpan w:val="3"/>
            <w:shd w:val="clear" w:color="auto" w:fill="auto"/>
            <w:vAlign w:val="bottom"/>
          </w:tcPr>
          <w:p w14:paraId="39D9930C" w14:textId="77777777" w:rsidR="00996AD7" w:rsidRDefault="00996AD7">
            <w:pPr>
              <w:rPr>
                <w:rFonts w:ascii="宋体"/>
                <w:vanish/>
              </w:rPr>
            </w:pPr>
          </w:p>
        </w:tc>
        <w:tc>
          <w:tcPr>
            <w:tcW w:w="0" w:type="auto"/>
            <w:gridSpan w:val="3"/>
            <w:shd w:val="clear" w:color="auto" w:fill="auto"/>
            <w:vAlign w:val="bottom"/>
          </w:tcPr>
          <w:p w14:paraId="39D9930D" w14:textId="77777777" w:rsidR="00996AD7" w:rsidRDefault="00996AD7">
            <w:pPr>
              <w:rPr>
                <w:rFonts w:ascii="宋体"/>
                <w:vanish/>
              </w:rPr>
            </w:pPr>
          </w:p>
        </w:tc>
        <w:tc>
          <w:tcPr>
            <w:tcW w:w="0" w:type="auto"/>
            <w:gridSpan w:val="3"/>
            <w:shd w:val="clear" w:color="auto" w:fill="auto"/>
            <w:vAlign w:val="bottom"/>
          </w:tcPr>
          <w:p w14:paraId="39D9930E" w14:textId="77777777" w:rsidR="00996AD7" w:rsidRDefault="00996AD7">
            <w:pPr>
              <w:rPr>
                <w:rFonts w:ascii="宋体"/>
                <w:vanish/>
              </w:rPr>
            </w:pPr>
          </w:p>
        </w:tc>
        <w:tc>
          <w:tcPr>
            <w:tcW w:w="0" w:type="auto"/>
            <w:gridSpan w:val="3"/>
            <w:shd w:val="clear" w:color="auto" w:fill="auto"/>
            <w:vAlign w:val="bottom"/>
          </w:tcPr>
          <w:p w14:paraId="39D9930F" w14:textId="77777777" w:rsidR="00996AD7" w:rsidRDefault="00996AD7">
            <w:pPr>
              <w:rPr>
                <w:rFonts w:ascii="宋体"/>
                <w:vanish/>
              </w:rPr>
            </w:pPr>
          </w:p>
        </w:tc>
        <w:tc>
          <w:tcPr>
            <w:tcW w:w="0" w:type="auto"/>
            <w:gridSpan w:val="3"/>
            <w:shd w:val="clear" w:color="auto" w:fill="auto"/>
            <w:vAlign w:val="bottom"/>
          </w:tcPr>
          <w:p w14:paraId="39D99310" w14:textId="77777777" w:rsidR="00996AD7" w:rsidRDefault="00996AD7">
            <w:pPr>
              <w:rPr>
                <w:rFonts w:ascii="宋体"/>
                <w:vanish/>
              </w:rPr>
            </w:pPr>
          </w:p>
        </w:tc>
      </w:tr>
    </w:tbl>
    <w:p w14:paraId="39D99312" w14:textId="77777777" w:rsidR="00996AD7" w:rsidRDefault="00D96458">
      <w:pPr>
        <w:spacing w:after="120"/>
      </w:pPr>
      <w:r>
        <w:rPr>
          <w:rFonts w:ascii="Arial" w:eastAsia="宋体" w:hAnsi="Arial" w:cs="Arial"/>
          <w:color w:val="262626"/>
          <w:sz w:val="18"/>
          <w:szCs w:val="18"/>
        </w:rPr>
        <w:t xml:space="preserve">On July 26, 2021, we provided an update on our manufacturing process and packaging technology roadmaps. As part of this update, we also introduced a new naming structure for our manufacturing process nodes, which includes the name changes </w:t>
      </w:r>
      <w:r>
        <w:rPr>
          <w:rFonts w:ascii="Arial" w:eastAsia="宋体" w:hAnsi="Arial" w:cs="Arial"/>
          <w:color w:val="262626"/>
          <w:sz w:val="18"/>
          <w:szCs w:val="18"/>
        </w:rPr>
        <w:t>summarized below:</w:t>
      </w:r>
    </w:p>
    <w:tbl>
      <w:tblPr>
        <w:tblW w:w="5000" w:type="pct"/>
        <w:tblCellMar>
          <w:top w:w="15" w:type="dxa"/>
          <w:left w:w="15" w:type="dxa"/>
          <w:bottom w:w="15" w:type="dxa"/>
          <w:right w:w="15" w:type="dxa"/>
        </w:tblCellMar>
        <w:tblLook w:val="04A0" w:firstRow="1" w:lastRow="0" w:firstColumn="1" w:lastColumn="0" w:noHBand="0" w:noVBand="1"/>
      </w:tblPr>
      <w:tblGrid>
        <w:gridCol w:w="36"/>
        <w:gridCol w:w="851"/>
        <w:gridCol w:w="37"/>
        <w:gridCol w:w="3125"/>
        <w:gridCol w:w="36"/>
        <w:gridCol w:w="78"/>
        <w:gridCol w:w="896"/>
        <w:gridCol w:w="77"/>
        <w:gridCol w:w="37"/>
        <w:gridCol w:w="3127"/>
        <w:gridCol w:w="36"/>
      </w:tblGrid>
      <w:tr w:rsidR="00996AD7" w14:paraId="39D9931E" w14:textId="77777777">
        <w:trPr>
          <w:hidden/>
        </w:trPr>
        <w:tc>
          <w:tcPr>
            <w:tcW w:w="0" w:type="auto"/>
            <w:shd w:val="clear" w:color="auto" w:fill="auto"/>
            <w:vAlign w:val="bottom"/>
          </w:tcPr>
          <w:p w14:paraId="39D99313" w14:textId="77777777" w:rsidR="00996AD7" w:rsidRDefault="00996AD7">
            <w:pPr>
              <w:rPr>
                <w:rFonts w:ascii="宋体"/>
                <w:vanish/>
              </w:rPr>
            </w:pPr>
          </w:p>
        </w:tc>
        <w:tc>
          <w:tcPr>
            <w:tcW w:w="0" w:type="auto"/>
            <w:shd w:val="clear" w:color="auto" w:fill="auto"/>
            <w:vAlign w:val="bottom"/>
          </w:tcPr>
          <w:p w14:paraId="39D99314" w14:textId="77777777" w:rsidR="00996AD7" w:rsidRDefault="00996AD7">
            <w:pPr>
              <w:rPr>
                <w:rFonts w:ascii="宋体"/>
                <w:vanish/>
              </w:rPr>
            </w:pPr>
          </w:p>
        </w:tc>
        <w:tc>
          <w:tcPr>
            <w:tcW w:w="50" w:type="pct"/>
            <w:shd w:val="clear" w:color="auto" w:fill="auto"/>
            <w:vAlign w:val="bottom"/>
          </w:tcPr>
          <w:p w14:paraId="39D99315" w14:textId="77777777" w:rsidR="00996AD7" w:rsidRDefault="00996AD7">
            <w:pPr>
              <w:rPr>
                <w:rFonts w:ascii="宋体"/>
              </w:rPr>
            </w:pPr>
          </w:p>
        </w:tc>
        <w:tc>
          <w:tcPr>
            <w:tcW w:w="2410" w:type="pct"/>
            <w:shd w:val="clear" w:color="auto" w:fill="auto"/>
            <w:vAlign w:val="bottom"/>
          </w:tcPr>
          <w:p w14:paraId="39D99316" w14:textId="77777777" w:rsidR="00996AD7" w:rsidRDefault="00996AD7">
            <w:pPr>
              <w:rPr>
                <w:rFonts w:ascii="宋体"/>
              </w:rPr>
            </w:pPr>
          </w:p>
        </w:tc>
        <w:tc>
          <w:tcPr>
            <w:tcW w:w="5" w:type="pct"/>
            <w:shd w:val="clear" w:color="auto" w:fill="auto"/>
            <w:vAlign w:val="bottom"/>
          </w:tcPr>
          <w:p w14:paraId="39D99317" w14:textId="77777777" w:rsidR="00996AD7" w:rsidRDefault="00996AD7">
            <w:pPr>
              <w:rPr>
                <w:rFonts w:ascii="宋体"/>
              </w:rPr>
            </w:pPr>
          </w:p>
        </w:tc>
        <w:tc>
          <w:tcPr>
            <w:tcW w:w="5" w:type="pct"/>
            <w:shd w:val="clear" w:color="auto" w:fill="auto"/>
            <w:vAlign w:val="bottom"/>
          </w:tcPr>
          <w:p w14:paraId="39D99318" w14:textId="77777777" w:rsidR="00996AD7" w:rsidRDefault="00996AD7">
            <w:pPr>
              <w:rPr>
                <w:rFonts w:ascii="宋体"/>
              </w:rPr>
            </w:pPr>
          </w:p>
        </w:tc>
        <w:tc>
          <w:tcPr>
            <w:tcW w:w="58" w:type="pct"/>
            <w:shd w:val="clear" w:color="auto" w:fill="auto"/>
            <w:vAlign w:val="bottom"/>
          </w:tcPr>
          <w:p w14:paraId="39D99319" w14:textId="77777777" w:rsidR="00996AD7" w:rsidRDefault="00996AD7">
            <w:pPr>
              <w:rPr>
                <w:rFonts w:ascii="宋体"/>
              </w:rPr>
            </w:pPr>
          </w:p>
        </w:tc>
        <w:tc>
          <w:tcPr>
            <w:tcW w:w="5" w:type="pct"/>
            <w:shd w:val="clear" w:color="auto" w:fill="auto"/>
            <w:vAlign w:val="bottom"/>
          </w:tcPr>
          <w:p w14:paraId="39D9931A" w14:textId="77777777" w:rsidR="00996AD7" w:rsidRDefault="00996AD7">
            <w:pPr>
              <w:rPr>
                <w:rFonts w:ascii="宋体"/>
              </w:rPr>
            </w:pPr>
          </w:p>
        </w:tc>
        <w:tc>
          <w:tcPr>
            <w:tcW w:w="50" w:type="pct"/>
            <w:shd w:val="clear" w:color="auto" w:fill="auto"/>
            <w:vAlign w:val="bottom"/>
          </w:tcPr>
          <w:p w14:paraId="39D9931B" w14:textId="77777777" w:rsidR="00996AD7" w:rsidRDefault="00996AD7">
            <w:pPr>
              <w:rPr>
                <w:rFonts w:ascii="宋体"/>
              </w:rPr>
            </w:pPr>
          </w:p>
        </w:tc>
        <w:tc>
          <w:tcPr>
            <w:tcW w:w="2410" w:type="pct"/>
            <w:shd w:val="clear" w:color="auto" w:fill="auto"/>
            <w:vAlign w:val="bottom"/>
          </w:tcPr>
          <w:p w14:paraId="39D9931C" w14:textId="77777777" w:rsidR="00996AD7" w:rsidRDefault="00996AD7">
            <w:pPr>
              <w:rPr>
                <w:rFonts w:ascii="宋体"/>
              </w:rPr>
            </w:pPr>
          </w:p>
        </w:tc>
        <w:tc>
          <w:tcPr>
            <w:tcW w:w="5" w:type="pct"/>
            <w:shd w:val="clear" w:color="auto" w:fill="auto"/>
            <w:vAlign w:val="bottom"/>
          </w:tcPr>
          <w:p w14:paraId="39D9931D" w14:textId="77777777" w:rsidR="00996AD7" w:rsidRDefault="00996AD7">
            <w:pPr>
              <w:rPr>
                <w:rFonts w:ascii="宋体"/>
              </w:rPr>
            </w:pPr>
          </w:p>
        </w:tc>
      </w:tr>
      <w:tr w:rsidR="00996AD7" w14:paraId="39D99324" w14:textId="77777777">
        <w:trPr>
          <w:trHeight w:val="240"/>
          <w:hidden/>
        </w:trPr>
        <w:tc>
          <w:tcPr>
            <w:tcW w:w="0" w:type="auto"/>
            <w:shd w:val="clear" w:color="auto" w:fill="auto"/>
            <w:vAlign w:val="bottom"/>
          </w:tcPr>
          <w:p w14:paraId="39D9931F" w14:textId="77777777" w:rsidR="00996AD7" w:rsidRDefault="00996AD7">
            <w:pPr>
              <w:rPr>
                <w:rFonts w:ascii="宋体"/>
                <w:vanish/>
              </w:rPr>
            </w:pPr>
          </w:p>
        </w:tc>
        <w:tc>
          <w:tcPr>
            <w:tcW w:w="0" w:type="auto"/>
            <w:shd w:val="clear" w:color="auto" w:fill="auto"/>
            <w:vAlign w:val="bottom"/>
          </w:tcPr>
          <w:p w14:paraId="39D99320" w14:textId="77777777" w:rsidR="00996AD7" w:rsidRDefault="00996AD7">
            <w:pPr>
              <w:rPr>
                <w:rFonts w:ascii="宋体"/>
                <w:vanish/>
              </w:rPr>
            </w:pPr>
          </w:p>
        </w:tc>
        <w:tc>
          <w:tcPr>
            <w:tcW w:w="0" w:type="auto"/>
            <w:gridSpan w:val="3"/>
            <w:shd w:val="clear" w:color="auto" w:fill="auto"/>
            <w:tcMar>
              <w:top w:w="40" w:type="dxa"/>
              <w:left w:w="20" w:type="dxa"/>
              <w:bottom w:w="40" w:type="dxa"/>
              <w:right w:w="20" w:type="dxa"/>
            </w:tcMar>
            <w:vAlign w:val="bottom"/>
          </w:tcPr>
          <w:p w14:paraId="39D99321" w14:textId="77777777" w:rsidR="00996AD7" w:rsidRDefault="00D96458">
            <w:pPr>
              <w:textAlignment w:val="bottom"/>
            </w:pPr>
            <w:r>
              <w:rPr>
                <w:rFonts w:ascii="Arial" w:eastAsia="宋体" w:hAnsi="Arial" w:cs="Arial"/>
                <w:color w:val="0068B5"/>
                <w:sz w:val="18"/>
                <w:szCs w:val="18"/>
              </w:rPr>
              <w:t>Previous Process Node Name</w:t>
            </w:r>
          </w:p>
        </w:tc>
        <w:tc>
          <w:tcPr>
            <w:tcW w:w="0" w:type="auto"/>
            <w:gridSpan w:val="3"/>
            <w:shd w:val="clear" w:color="auto" w:fill="auto"/>
            <w:tcMar>
              <w:top w:w="0" w:type="dxa"/>
              <w:left w:w="20" w:type="dxa"/>
              <w:bottom w:w="0" w:type="dxa"/>
              <w:right w:w="20" w:type="dxa"/>
            </w:tcMar>
            <w:vAlign w:val="bottom"/>
          </w:tcPr>
          <w:p w14:paraId="39D9932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323" w14:textId="77777777" w:rsidR="00996AD7" w:rsidRDefault="00D96458">
            <w:pPr>
              <w:textAlignment w:val="bottom"/>
            </w:pPr>
            <w:r>
              <w:rPr>
                <w:rFonts w:ascii="Arial" w:eastAsia="宋体" w:hAnsi="Arial" w:cs="Arial"/>
                <w:color w:val="0068B5"/>
                <w:sz w:val="18"/>
                <w:szCs w:val="18"/>
              </w:rPr>
              <w:t>New Process Node Name</w:t>
            </w:r>
          </w:p>
        </w:tc>
      </w:tr>
      <w:tr w:rsidR="00996AD7" w14:paraId="39D9932C" w14:textId="77777777">
        <w:trPr>
          <w:trHeight w:val="240"/>
          <w:hidden/>
        </w:trPr>
        <w:tc>
          <w:tcPr>
            <w:tcW w:w="0" w:type="auto"/>
            <w:shd w:val="clear" w:color="auto" w:fill="auto"/>
            <w:vAlign w:val="bottom"/>
          </w:tcPr>
          <w:p w14:paraId="39D99325" w14:textId="77777777" w:rsidR="00996AD7" w:rsidRDefault="00996AD7">
            <w:pPr>
              <w:rPr>
                <w:rFonts w:ascii="宋体"/>
                <w:vanish/>
              </w:rPr>
            </w:pPr>
          </w:p>
        </w:tc>
        <w:tc>
          <w:tcPr>
            <w:tcW w:w="0" w:type="auto"/>
            <w:tcBorders>
              <w:top w:val="single" w:sz="8" w:space="0" w:color="0068B5"/>
            </w:tcBorders>
            <w:shd w:val="clear" w:color="auto" w:fill="auto"/>
            <w:tcMar>
              <w:top w:w="40" w:type="dxa"/>
              <w:left w:w="20" w:type="dxa"/>
              <w:bottom w:w="40" w:type="dxa"/>
              <w:right w:w="20" w:type="dxa"/>
            </w:tcMar>
            <w:vAlign w:val="bottom"/>
          </w:tcPr>
          <w:p w14:paraId="39D99326" w14:textId="77777777" w:rsidR="00996AD7" w:rsidRDefault="00D96458">
            <w:pPr>
              <w:textAlignment w:val="bottom"/>
            </w:pPr>
            <w:r>
              <w:rPr>
                <w:rFonts w:ascii="Arial" w:eastAsia="宋体" w:hAnsi="Arial" w:cs="Arial"/>
                <w:color w:val="333333"/>
                <w:sz w:val="18"/>
                <w:szCs w:val="18"/>
              </w:rPr>
              <w:t>10nm SuperFin</w:t>
            </w:r>
          </w:p>
        </w:tc>
        <w:tc>
          <w:tcPr>
            <w:tcW w:w="0" w:type="auto"/>
            <w:gridSpan w:val="3"/>
            <w:shd w:val="clear" w:color="auto" w:fill="auto"/>
            <w:tcMar>
              <w:top w:w="0" w:type="dxa"/>
              <w:left w:w="20" w:type="dxa"/>
              <w:bottom w:w="0" w:type="dxa"/>
              <w:right w:w="20" w:type="dxa"/>
            </w:tcMar>
            <w:vAlign w:val="bottom"/>
          </w:tcPr>
          <w:p w14:paraId="39D99327"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9328" w14:textId="77777777" w:rsidR="00996AD7" w:rsidRDefault="00D96458">
            <w:pPr>
              <w:textAlignment w:val="bottom"/>
            </w:pPr>
            <w:r>
              <w:rPr>
                <w:rFonts w:ascii="Arial" w:eastAsia="宋体" w:hAnsi="Arial" w:cs="Arial"/>
                <w:color w:val="333333"/>
                <w:sz w:val="18"/>
                <w:szCs w:val="18"/>
              </w:rPr>
              <w:t>10nm SuperFin (unchanged)</w:t>
            </w:r>
          </w:p>
        </w:tc>
        <w:tc>
          <w:tcPr>
            <w:tcW w:w="0" w:type="auto"/>
            <w:shd w:val="clear" w:color="auto" w:fill="auto"/>
            <w:vAlign w:val="bottom"/>
          </w:tcPr>
          <w:p w14:paraId="39D99329" w14:textId="77777777" w:rsidR="00996AD7" w:rsidRDefault="00996AD7">
            <w:pPr>
              <w:rPr>
                <w:rFonts w:ascii="宋体"/>
              </w:rPr>
            </w:pPr>
          </w:p>
        </w:tc>
        <w:tc>
          <w:tcPr>
            <w:tcW w:w="0" w:type="auto"/>
            <w:shd w:val="clear" w:color="auto" w:fill="auto"/>
            <w:vAlign w:val="bottom"/>
          </w:tcPr>
          <w:p w14:paraId="39D9932A" w14:textId="77777777" w:rsidR="00996AD7" w:rsidRDefault="00996AD7">
            <w:pPr>
              <w:rPr>
                <w:rFonts w:ascii="宋体"/>
              </w:rPr>
            </w:pPr>
          </w:p>
        </w:tc>
        <w:tc>
          <w:tcPr>
            <w:tcW w:w="0" w:type="auto"/>
            <w:shd w:val="clear" w:color="auto" w:fill="auto"/>
            <w:vAlign w:val="bottom"/>
          </w:tcPr>
          <w:p w14:paraId="39D9932B" w14:textId="77777777" w:rsidR="00996AD7" w:rsidRDefault="00996AD7">
            <w:pPr>
              <w:rPr>
                <w:rFonts w:ascii="宋体"/>
              </w:rPr>
            </w:pPr>
          </w:p>
        </w:tc>
      </w:tr>
      <w:tr w:rsidR="00996AD7" w14:paraId="39D99334" w14:textId="77777777">
        <w:trPr>
          <w:trHeight w:val="240"/>
          <w:hidden/>
        </w:trPr>
        <w:tc>
          <w:tcPr>
            <w:tcW w:w="0" w:type="auto"/>
            <w:shd w:val="clear" w:color="auto" w:fill="auto"/>
            <w:vAlign w:val="bottom"/>
          </w:tcPr>
          <w:p w14:paraId="39D9932D" w14:textId="77777777" w:rsidR="00996AD7" w:rsidRDefault="00996AD7">
            <w:pPr>
              <w:rPr>
                <w:rFonts w:ascii="宋体"/>
                <w:vanish/>
              </w:rPr>
            </w:pPr>
          </w:p>
        </w:tc>
        <w:tc>
          <w:tcPr>
            <w:tcW w:w="0" w:type="auto"/>
            <w:shd w:val="clear" w:color="auto" w:fill="auto"/>
            <w:tcMar>
              <w:top w:w="40" w:type="dxa"/>
              <w:left w:w="20" w:type="dxa"/>
              <w:bottom w:w="40" w:type="dxa"/>
              <w:right w:w="20" w:type="dxa"/>
            </w:tcMar>
            <w:vAlign w:val="bottom"/>
          </w:tcPr>
          <w:p w14:paraId="39D9932E" w14:textId="77777777" w:rsidR="00996AD7" w:rsidRDefault="00D96458">
            <w:pPr>
              <w:textAlignment w:val="bottom"/>
            </w:pPr>
            <w:r>
              <w:rPr>
                <w:rFonts w:ascii="Arial" w:eastAsia="宋体" w:hAnsi="Arial" w:cs="Arial"/>
                <w:color w:val="333333"/>
                <w:sz w:val="18"/>
                <w:szCs w:val="18"/>
              </w:rPr>
              <w:t>10nm Enhanced SuperFin</w:t>
            </w:r>
          </w:p>
        </w:tc>
        <w:tc>
          <w:tcPr>
            <w:tcW w:w="0" w:type="auto"/>
            <w:gridSpan w:val="3"/>
            <w:shd w:val="clear" w:color="auto" w:fill="auto"/>
            <w:tcMar>
              <w:top w:w="0" w:type="dxa"/>
              <w:left w:w="20" w:type="dxa"/>
              <w:bottom w:w="0" w:type="dxa"/>
              <w:right w:w="20" w:type="dxa"/>
            </w:tcMar>
            <w:vAlign w:val="bottom"/>
          </w:tcPr>
          <w:p w14:paraId="39D9932F"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330" w14:textId="77777777" w:rsidR="00996AD7" w:rsidRDefault="00D96458">
            <w:pPr>
              <w:textAlignment w:val="bottom"/>
            </w:pPr>
            <w:r>
              <w:rPr>
                <w:rFonts w:ascii="Arial" w:eastAsia="宋体" w:hAnsi="Arial" w:cs="Arial"/>
                <w:color w:val="333333"/>
                <w:sz w:val="18"/>
                <w:szCs w:val="18"/>
              </w:rPr>
              <w:t>Intel 7</w:t>
            </w:r>
          </w:p>
        </w:tc>
        <w:tc>
          <w:tcPr>
            <w:tcW w:w="0" w:type="auto"/>
            <w:shd w:val="clear" w:color="auto" w:fill="auto"/>
            <w:vAlign w:val="bottom"/>
          </w:tcPr>
          <w:p w14:paraId="39D99331" w14:textId="77777777" w:rsidR="00996AD7" w:rsidRDefault="00996AD7">
            <w:pPr>
              <w:rPr>
                <w:rFonts w:ascii="宋体"/>
              </w:rPr>
            </w:pPr>
          </w:p>
        </w:tc>
        <w:tc>
          <w:tcPr>
            <w:tcW w:w="0" w:type="auto"/>
            <w:shd w:val="clear" w:color="auto" w:fill="auto"/>
            <w:vAlign w:val="bottom"/>
          </w:tcPr>
          <w:p w14:paraId="39D99332" w14:textId="77777777" w:rsidR="00996AD7" w:rsidRDefault="00996AD7">
            <w:pPr>
              <w:rPr>
                <w:rFonts w:ascii="宋体"/>
              </w:rPr>
            </w:pPr>
          </w:p>
        </w:tc>
        <w:tc>
          <w:tcPr>
            <w:tcW w:w="0" w:type="auto"/>
            <w:shd w:val="clear" w:color="auto" w:fill="auto"/>
            <w:vAlign w:val="bottom"/>
          </w:tcPr>
          <w:p w14:paraId="39D99333" w14:textId="77777777" w:rsidR="00996AD7" w:rsidRDefault="00996AD7">
            <w:pPr>
              <w:rPr>
                <w:rFonts w:ascii="宋体"/>
              </w:rPr>
            </w:pPr>
          </w:p>
        </w:tc>
      </w:tr>
      <w:tr w:rsidR="00996AD7" w14:paraId="39D9933C" w14:textId="77777777">
        <w:trPr>
          <w:trHeight w:val="240"/>
          <w:hidden/>
        </w:trPr>
        <w:tc>
          <w:tcPr>
            <w:tcW w:w="0" w:type="auto"/>
            <w:shd w:val="clear" w:color="auto" w:fill="auto"/>
            <w:vAlign w:val="bottom"/>
          </w:tcPr>
          <w:p w14:paraId="39D99335" w14:textId="77777777" w:rsidR="00996AD7" w:rsidRDefault="00996AD7">
            <w:pPr>
              <w:rPr>
                <w:rFonts w:ascii="宋体"/>
                <w:vanish/>
              </w:rPr>
            </w:pPr>
          </w:p>
        </w:tc>
        <w:tc>
          <w:tcPr>
            <w:tcW w:w="0" w:type="auto"/>
            <w:shd w:val="clear" w:color="auto" w:fill="auto"/>
            <w:tcMar>
              <w:top w:w="40" w:type="dxa"/>
              <w:left w:w="20" w:type="dxa"/>
              <w:bottom w:w="40" w:type="dxa"/>
              <w:right w:w="20" w:type="dxa"/>
            </w:tcMar>
            <w:vAlign w:val="bottom"/>
          </w:tcPr>
          <w:p w14:paraId="39D99336" w14:textId="77777777" w:rsidR="00996AD7" w:rsidRDefault="00D96458">
            <w:pPr>
              <w:textAlignment w:val="bottom"/>
            </w:pPr>
            <w:r>
              <w:rPr>
                <w:rFonts w:ascii="Arial" w:eastAsia="宋体" w:hAnsi="Arial" w:cs="Arial"/>
                <w:color w:val="333333"/>
                <w:sz w:val="18"/>
                <w:szCs w:val="18"/>
              </w:rPr>
              <w:t>Intel 7nm</w:t>
            </w:r>
          </w:p>
        </w:tc>
        <w:tc>
          <w:tcPr>
            <w:tcW w:w="0" w:type="auto"/>
            <w:gridSpan w:val="3"/>
            <w:shd w:val="clear" w:color="auto" w:fill="auto"/>
            <w:tcMar>
              <w:top w:w="0" w:type="dxa"/>
              <w:left w:w="20" w:type="dxa"/>
              <w:bottom w:w="0" w:type="dxa"/>
              <w:right w:w="20" w:type="dxa"/>
            </w:tcMar>
            <w:vAlign w:val="bottom"/>
          </w:tcPr>
          <w:p w14:paraId="39D99337"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338" w14:textId="77777777" w:rsidR="00996AD7" w:rsidRDefault="00D96458">
            <w:pPr>
              <w:textAlignment w:val="bottom"/>
            </w:pPr>
            <w:r>
              <w:rPr>
                <w:rFonts w:ascii="Arial" w:eastAsia="宋体" w:hAnsi="Arial" w:cs="Arial"/>
                <w:color w:val="333333"/>
                <w:sz w:val="18"/>
                <w:szCs w:val="18"/>
              </w:rPr>
              <w:t>Intel 4</w:t>
            </w:r>
          </w:p>
        </w:tc>
        <w:tc>
          <w:tcPr>
            <w:tcW w:w="0" w:type="auto"/>
            <w:shd w:val="clear" w:color="auto" w:fill="auto"/>
            <w:vAlign w:val="bottom"/>
          </w:tcPr>
          <w:p w14:paraId="39D99339" w14:textId="77777777" w:rsidR="00996AD7" w:rsidRDefault="00996AD7">
            <w:pPr>
              <w:rPr>
                <w:rFonts w:ascii="宋体"/>
              </w:rPr>
            </w:pPr>
          </w:p>
        </w:tc>
        <w:tc>
          <w:tcPr>
            <w:tcW w:w="0" w:type="auto"/>
            <w:shd w:val="clear" w:color="auto" w:fill="auto"/>
            <w:vAlign w:val="bottom"/>
          </w:tcPr>
          <w:p w14:paraId="39D9933A" w14:textId="77777777" w:rsidR="00996AD7" w:rsidRDefault="00996AD7">
            <w:pPr>
              <w:rPr>
                <w:rFonts w:ascii="宋体"/>
              </w:rPr>
            </w:pPr>
          </w:p>
        </w:tc>
        <w:tc>
          <w:tcPr>
            <w:tcW w:w="0" w:type="auto"/>
            <w:shd w:val="clear" w:color="auto" w:fill="auto"/>
            <w:vAlign w:val="bottom"/>
          </w:tcPr>
          <w:p w14:paraId="39D9933B" w14:textId="77777777" w:rsidR="00996AD7" w:rsidRDefault="00996AD7">
            <w:pPr>
              <w:rPr>
                <w:rFonts w:ascii="宋体"/>
              </w:rPr>
            </w:pPr>
          </w:p>
        </w:tc>
      </w:tr>
    </w:tbl>
    <w:p w14:paraId="39D9933D" w14:textId="77777777" w:rsidR="00996AD7" w:rsidRDefault="00996AD7">
      <w:pPr>
        <w:spacing w:after="180"/>
      </w:pPr>
    </w:p>
    <w:p w14:paraId="39D9933E" w14:textId="77777777" w:rsidR="00996AD7" w:rsidRDefault="00996AD7">
      <w:pPr>
        <w:spacing w:after="180"/>
      </w:pPr>
    </w:p>
    <w:p w14:paraId="39D9933F" w14:textId="77777777" w:rsidR="00996AD7" w:rsidRDefault="00996AD7">
      <w:pPr>
        <w:spacing w:after="180"/>
      </w:pPr>
    </w:p>
    <w:p w14:paraId="39D99340" w14:textId="77777777" w:rsidR="00996AD7" w:rsidRDefault="00996AD7">
      <w:pPr>
        <w:spacing w:after="180"/>
      </w:pPr>
    </w:p>
    <w:p w14:paraId="39D99341" w14:textId="77777777" w:rsidR="00996AD7" w:rsidRDefault="00996AD7">
      <w:pPr>
        <w:spacing w:after="180"/>
      </w:pPr>
    </w:p>
    <w:p w14:paraId="39D99342" w14:textId="77777777" w:rsidR="00996AD7" w:rsidRDefault="00996AD7">
      <w:pPr>
        <w:spacing w:after="180"/>
      </w:pPr>
    </w:p>
    <w:p w14:paraId="39D99343"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996AD7" w14:paraId="39D99350" w14:textId="77777777">
        <w:tc>
          <w:tcPr>
            <w:tcW w:w="50" w:type="pct"/>
            <w:shd w:val="clear" w:color="auto" w:fill="auto"/>
            <w:vAlign w:val="bottom"/>
          </w:tcPr>
          <w:p w14:paraId="39D99344" w14:textId="77777777" w:rsidR="00996AD7" w:rsidRDefault="00996AD7">
            <w:pPr>
              <w:rPr>
                <w:rFonts w:ascii="宋体"/>
              </w:rPr>
            </w:pPr>
          </w:p>
        </w:tc>
        <w:tc>
          <w:tcPr>
            <w:tcW w:w="238" w:type="pct"/>
            <w:shd w:val="clear" w:color="auto" w:fill="auto"/>
            <w:vAlign w:val="bottom"/>
          </w:tcPr>
          <w:p w14:paraId="39D99345" w14:textId="77777777" w:rsidR="00996AD7" w:rsidRDefault="00996AD7">
            <w:pPr>
              <w:rPr>
                <w:rFonts w:ascii="宋体"/>
              </w:rPr>
            </w:pPr>
          </w:p>
        </w:tc>
        <w:tc>
          <w:tcPr>
            <w:tcW w:w="5" w:type="pct"/>
            <w:shd w:val="clear" w:color="auto" w:fill="auto"/>
            <w:vAlign w:val="bottom"/>
          </w:tcPr>
          <w:p w14:paraId="39D99346" w14:textId="77777777" w:rsidR="00996AD7" w:rsidRDefault="00996AD7">
            <w:pPr>
              <w:rPr>
                <w:rFonts w:ascii="宋体"/>
              </w:rPr>
            </w:pPr>
          </w:p>
        </w:tc>
        <w:tc>
          <w:tcPr>
            <w:tcW w:w="50" w:type="pct"/>
            <w:shd w:val="clear" w:color="auto" w:fill="auto"/>
            <w:vAlign w:val="bottom"/>
          </w:tcPr>
          <w:p w14:paraId="39D99347" w14:textId="77777777" w:rsidR="00996AD7" w:rsidRDefault="00996AD7">
            <w:pPr>
              <w:rPr>
                <w:rFonts w:ascii="宋体"/>
              </w:rPr>
            </w:pPr>
          </w:p>
        </w:tc>
        <w:tc>
          <w:tcPr>
            <w:tcW w:w="983" w:type="pct"/>
            <w:shd w:val="clear" w:color="auto" w:fill="auto"/>
            <w:vAlign w:val="bottom"/>
          </w:tcPr>
          <w:p w14:paraId="39D99348" w14:textId="77777777" w:rsidR="00996AD7" w:rsidRDefault="00996AD7">
            <w:pPr>
              <w:rPr>
                <w:rFonts w:ascii="宋体"/>
              </w:rPr>
            </w:pPr>
          </w:p>
        </w:tc>
        <w:tc>
          <w:tcPr>
            <w:tcW w:w="5" w:type="pct"/>
            <w:shd w:val="clear" w:color="auto" w:fill="auto"/>
            <w:vAlign w:val="bottom"/>
          </w:tcPr>
          <w:p w14:paraId="39D99349" w14:textId="77777777" w:rsidR="00996AD7" w:rsidRDefault="00996AD7">
            <w:pPr>
              <w:rPr>
                <w:rFonts w:ascii="宋体"/>
              </w:rPr>
            </w:pPr>
          </w:p>
        </w:tc>
        <w:tc>
          <w:tcPr>
            <w:tcW w:w="50" w:type="pct"/>
            <w:shd w:val="clear" w:color="auto" w:fill="auto"/>
            <w:vAlign w:val="bottom"/>
          </w:tcPr>
          <w:p w14:paraId="39D9934A" w14:textId="77777777" w:rsidR="00996AD7" w:rsidRDefault="00996AD7">
            <w:pPr>
              <w:rPr>
                <w:rFonts w:ascii="宋体"/>
              </w:rPr>
            </w:pPr>
          </w:p>
        </w:tc>
        <w:tc>
          <w:tcPr>
            <w:tcW w:w="2035" w:type="pct"/>
            <w:shd w:val="clear" w:color="auto" w:fill="auto"/>
            <w:vAlign w:val="bottom"/>
          </w:tcPr>
          <w:p w14:paraId="39D9934B" w14:textId="77777777" w:rsidR="00996AD7" w:rsidRDefault="00996AD7">
            <w:pPr>
              <w:rPr>
                <w:rFonts w:ascii="宋体"/>
              </w:rPr>
            </w:pPr>
          </w:p>
        </w:tc>
        <w:tc>
          <w:tcPr>
            <w:tcW w:w="5" w:type="pct"/>
            <w:shd w:val="clear" w:color="auto" w:fill="auto"/>
            <w:vAlign w:val="bottom"/>
          </w:tcPr>
          <w:p w14:paraId="39D9934C" w14:textId="77777777" w:rsidR="00996AD7" w:rsidRDefault="00996AD7">
            <w:pPr>
              <w:rPr>
                <w:rFonts w:ascii="宋体"/>
              </w:rPr>
            </w:pPr>
          </w:p>
        </w:tc>
        <w:tc>
          <w:tcPr>
            <w:tcW w:w="50" w:type="pct"/>
            <w:shd w:val="clear" w:color="auto" w:fill="auto"/>
            <w:vAlign w:val="bottom"/>
          </w:tcPr>
          <w:p w14:paraId="39D9934D" w14:textId="77777777" w:rsidR="00996AD7" w:rsidRDefault="00996AD7">
            <w:pPr>
              <w:rPr>
                <w:rFonts w:ascii="宋体"/>
              </w:rPr>
            </w:pPr>
          </w:p>
        </w:tc>
        <w:tc>
          <w:tcPr>
            <w:tcW w:w="1522" w:type="pct"/>
            <w:shd w:val="clear" w:color="auto" w:fill="auto"/>
            <w:vAlign w:val="bottom"/>
          </w:tcPr>
          <w:p w14:paraId="39D9934E" w14:textId="77777777" w:rsidR="00996AD7" w:rsidRDefault="00996AD7">
            <w:pPr>
              <w:rPr>
                <w:rFonts w:ascii="宋体"/>
              </w:rPr>
            </w:pPr>
          </w:p>
        </w:tc>
        <w:tc>
          <w:tcPr>
            <w:tcW w:w="5" w:type="pct"/>
            <w:shd w:val="clear" w:color="auto" w:fill="auto"/>
            <w:vAlign w:val="bottom"/>
          </w:tcPr>
          <w:p w14:paraId="39D9934F" w14:textId="77777777" w:rsidR="00996AD7" w:rsidRDefault="00996AD7">
            <w:pPr>
              <w:rPr>
                <w:rFonts w:ascii="宋体"/>
              </w:rPr>
            </w:pPr>
          </w:p>
        </w:tc>
      </w:tr>
      <w:tr w:rsidR="00996AD7" w14:paraId="39D9935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351"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DB" wp14:editId="39D9A3DC">
                  <wp:extent cx="304800" cy="304800"/>
                  <wp:effectExtent l="0" t="0" r="0" b="0"/>
                  <wp:docPr id="91" name="图片 8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7"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352" w14:textId="77777777" w:rsidR="00996AD7" w:rsidRDefault="00D964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39D99353" w14:textId="77777777" w:rsidR="00996AD7" w:rsidRDefault="00D964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354" w14:textId="77777777" w:rsidR="00996AD7" w:rsidRDefault="00D96458">
            <w:pPr>
              <w:jc w:val="right"/>
              <w:textAlignment w:val="center"/>
            </w:pPr>
            <w:r>
              <w:rPr>
                <w:rFonts w:ascii="Arial" w:eastAsia="宋体" w:hAnsi="Arial" w:cs="Arial"/>
                <w:color w:val="262626"/>
                <w:sz w:val="16"/>
                <w:szCs w:val="16"/>
              </w:rPr>
              <w:t>24</w:t>
            </w:r>
          </w:p>
        </w:tc>
      </w:tr>
    </w:tbl>
    <w:p w14:paraId="39D99356" w14:textId="77777777" w:rsidR="00996AD7" w:rsidRDefault="00D96458">
      <w:r>
        <w:pict w14:anchorId="39D9A3DD">
          <v:rect id="_x0000_i1050" style="width:415.3pt;height:1.5pt" o:hralign="center" o:hrstd="t" o:hr="t" fillcolor="#a0a0a0" stroked="f"/>
        </w:pict>
      </w:r>
    </w:p>
    <w:p w14:paraId="39D99357" w14:textId="77777777" w:rsidR="00996AD7" w:rsidRDefault="00D96458">
      <w:pPr>
        <w:spacing w:after="180"/>
        <w:jc w:val="right"/>
      </w:pPr>
      <w:hyperlink r:id="rId51" w:anchor="i94e6cc3aa83643b8b968bd5bab038338_7" w:history="1">
        <w:r>
          <w:rPr>
            <w:rStyle w:val="a5"/>
            <w:rFonts w:ascii="Arial" w:eastAsia="宋体" w:hAnsi="Arial" w:cs="Arial"/>
            <w:b/>
            <w:bCs/>
            <w:sz w:val="16"/>
            <w:szCs w:val="16"/>
          </w:rPr>
          <w:t>Table of Contents</w:t>
        </w:r>
      </w:hyperlink>
    </w:p>
    <w:p w14:paraId="39D99358"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96AD7" w14:paraId="39D9935F" w14:textId="77777777">
        <w:tc>
          <w:tcPr>
            <w:tcW w:w="50" w:type="pct"/>
            <w:shd w:val="clear" w:color="auto" w:fill="auto"/>
            <w:vAlign w:val="bottom"/>
          </w:tcPr>
          <w:p w14:paraId="39D99359" w14:textId="77777777" w:rsidR="00996AD7" w:rsidRDefault="00996AD7">
            <w:pPr>
              <w:rPr>
                <w:rFonts w:ascii="宋体"/>
              </w:rPr>
            </w:pPr>
          </w:p>
        </w:tc>
        <w:tc>
          <w:tcPr>
            <w:tcW w:w="4870" w:type="pct"/>
            <w:shd w:val="clear" w:color="auto" w:fill="auto"/>
            <w:vAlign w:val="bottom"/>
          </w:tcPr>
          <w:p w14:paraId="39D9935A" w14:textId="77777777" w:rsidR="00996AD7" w:rsidRDefault="00996AD7">
            <w:pPr>
              <w:rPr>
                <w:rFonts w:ascii="宋体"/>
              </w:rPr>
            </w:pPr>
          </w:p>
        </w:tc>
        <w:tc>
          <w:tcPr>
            <w:tcW w:w="5" w:type="pct"/>
            <w:shd w:val="clear" w:color="auto" w:fill="auto"/>
            <w:vAlign w:val="bottom"/>
          </w:tcPr>
          <w:p w14:paraId="39D9935B" w14:textId="77777777" w:rsidR="00996AD7" w:rsidRDefault="00996AD7">
            <w:pPr>
              <w:rPr>
                <w:rFonts w:ascii="宋体"/>
              </w:rPr>
            </w:pPr>
          </w:p>
        </w:tc>
        <w:tc>
          <w:tcPr>
            <w:tcW w:w="5" w:type="pct"/>
            <w:shd w:val="clear" w:color="auto" w:fill="auto"/>
            <w:vAlign w:val="bottom"/>
          </w:tcPr>
          <w:p w14:paraId="39D9935C" w14:textId="77777777" w:rsidR="00996AD7" w:rsidRDefault="00996AD7">
            <w:pPr>
              <w:rPr>
                <w:rFonts w:ascii="宋体"/>
              </w:rPr>
            </w:pPr>
          </w:p>
        </w:tc>
        <w:tc>
          <w:tcPr>
            <w:tcW w:w="64" w:type="pct"/>
            <w:shd w:val="clear" w:color="auto" w:fill="auto"/>
            <w:vAlign w:val="bottom"/>
          </w:tcPr>
          <w:p w14:paraId="39D9935D" w14:textId="77777777" w:rsidR="00996AD7" w:rsidRDefault="00996AD7">
            <w:pPr>
              <w:rPr>
                <w:rFonts w:ascii="宋体"/>
              </w:rPr>
            </w:pPr>
          </w:p>
        </w:tc>
        <w:tc>
          <w:tcPr>
            <w:tcW w:w="5" w:type="pct"/>
            <w:shd w:val="clear" w:color="auto" w:fill="auto"/>
            <w:vAlign w:val="bottom"/>
          </w:tcPr>
          <w:p w14:paraId="39D9935E" w14:textId="77777777" w:rsidR="00996AD7" w:rsidRDefault="00996AD7">
            <w:pPr>
              <w:rPr>
                <w:rFonts w:ascii="宋体"/>
              </w:rPr>
            </w:pPr>
          </w:p>
        </w:tc>
      </w:tr>
      <w:tr w:rsidR="00996AD7" w14:paraId="39D99362" w14:textId="77777777">
        <w:tc>
          <w:tcPr>
            <w:tcW w:w="0" w:type="auto"/>
            <w:gridSpan w:val="3"/>
            <w:shd w:val="clear" w:color="auto" w:fill="004A86"/>
            <w:tcMar>
              <w:top w:w="40" w:type="dxa"/>
              <w:left w:w="20" w:type="dxa"/>
              <w:bottom w:w="40" w:type="dxa"/>
              <w:right w:w="20" w:type="dxa"/>
            </w:tcMar>
            <w:vAlign w:val="center"/>
          </w:tcPr>
          <w:p w14:paraId="39D99360" w14:textId="77777777" w:rsidR="00996AD7" w:rsidRDefault="00D96458">
            <w:pPr>
              <w:textAlignment w:val="center"/>
            </w:pPr>
            <w:r>
              <w:rPr>
                <w:rFonts w:ascii="Arial" w:eastAsia="宋体" w:hAnsi="Arial" w:cs="Arial"/>
                <w:color w:val="FFFFFF"/>
                <w:sz w:val="36"/>
                <w:szCs w:val="36"/>
              </w:rPr>
              <w:t>Management's Discussion and Analysis</w:t>
            </w:r>
          </w:p>
        </w:tc>
        <w:tc>
          <w:tcPr>
            <w:tcW w:w="0" w:type="auto"/>
            <w:gridSpan w:val="3"/>
            <w:shd w:val="clear" w:color="auto" w:fill="auto"/>
            <w:tcMar>
              <w:top w:w="0" w:type="dxa"/>
              <w:left w:w="20" w:type="dxa"/>
              <w:bottom w:w="0" w:type="dxa"/>
              <w:right w:w="20" w:type="dxa"/>
            </w:tcMar>
            <w:vAlign w:val="bottom"/>
          </w:tcPr>
          <w:p w14:paraId="39D99361" w14:textId="77777777" w:rsidR="00996AD7" w:rsidRDefault="00996AD7">
            <w:pPr>
              <w:rPr>
                <w:rFonts w:ascii="宋体"/>
              </w:rPr>
            </w:pPr>
          </w:p>
        </w:tc>
      </w:tr>
      <w:tr w:rsidR="00996AD7" w14:paraId="39D99365" w14:textId="77777777">
        <w:trPr>
          <w:trHeight w:val="160"/>
        </w:trPr>
        <w:tc>
          <w:tcPr>
            <w:tcW w:w="0" w:type="auto"/>
            <w:gridSpan w:val="3"/>
            <w:shd w:val="clear" w:color="auto" w:fill="auto"/>
            <w:tcMar>
              <w:top w:w="0" w:type="dxa"/>
              <w:left w:w="20" w:type="dxa"/>
              <w:bottom w:w="0" w:type="dxa"/>
              <w:right w:w="20" w:type="dxa"/>
            </w:tcMar>
            <w:vAlign w:val="bottom"/>
          </w:tcPr>
          <w:p w14:paraId="39D99363" w14:textId="77777777" w:rsidR="00996AD7" w:rsidRDefault="00996AD7">
            <w:pPr>
              <w:rPr>
                <w:rFonts w:ascii="宋体"/>
              </w:rPr>
            </w:pPr>
          </w:p>
        </w:tc>
        <w:tc>
          <w:tcPr>
            <w:tcW w:w="0" w:type="auto"/>
            <w:gridSpan w:val="3"/>
            <w:shd w:val="clear" w:color="auto" w:fill="00A3F6"/>
            <w:tcMar>
              <w:top w:w="0" w:type="dxa"/>
              <w:left w:w="20" w:type="dxa"/>
              <w:bottom w:w="0" w:type="dxa"/>
              <w:right w:w="20" w:type="dxa"/>
            </w:tcMar>
            <w:vAlign w:val="bottom"/>
          </w:tcPr>
          <w:p w14:paraId="39D99364" w14:textId="77777777" w:rsidR="00996AD7" w:rsidRDefault="00996AD7">
            <w:pPr>
              <w:rPr>
                <w:rFonts w:ascii="宋体"/>
              </w:rPr>
            </w:pPr>
          </w:p>
        </w:tc>
      </w:tr>
    </w:tbl>
    <w:p w14:paraId="39D99366" w14:textId="77777777" w:rsidR="00996AD7" w:rsidRDefault="00D96458">
      <w:pPr>
        <w:spacing w:after="180"/>
      </w:pPr>
      <w:r>
        <w:rPr>
          <w:rFonts w:ascii="Arial" w:eastAsia="宋体" w:hAnsi="Arial" w:cs="Arial"/>
          <w:color w:val="262626"/>
          <w:sz w:val="18"/>
          <w:szCs w:val="18"/>
        </w:rPr>
        <w:t xml:space="preserve">For additional key </w:t>
      </w:r>
      <w:r>
        <w:rPr>
          <w:rFonts w:ascii="Arial" w:eastAsia="宋体" w:hAnsi="Arial" w:cs="Arial"/>
          <w:color w:val="262626"/>
          <w:sz w:val="18"/>
          <w:szCs w:val="18"/>
        </w:rPr>
        <w:t>highlights of our results of operations, see "A Quarter in Review."</w:t>
      </w:r>
    </w:p>
    <w:p w14:paraId="39D99367" w14:textId="77777777" w:rsidR="00996AD7" w:rsidRDefault="00D96458">
      <w:pPr>
        <w:spacing w:before="180" w:after="180"/>
      </w:pPr>
      <w:r>
        <w:rPr>
          <w:rFonts w:ascii="Arial" w:eastAsia="宋体" w:hAnsi="Arial" w:cs="Arial"/>
          <w:color w:val="0068B5"/>
          <w:sz w:val="28"/>
          <w:szCs w:val="28"/>
        </w:rPr>
        <w:t>Client Computing Group</w:t>
      </w:r>
    </w:p>
    <w:p w14:paraId="39D99368" w14:textId="77777777" w:rsidR="00996AD7" w:rsidRDefault="00D96458">
      <w:pPr>
        <w:spacing w:after="180"/>
      </w:pPr>
      <w:r>
        <w:rPr>
          <w:rFonts w:ascii="Arial" w:eastAsia="宋体" w:hAnsi="Arial" w:cs="Arial"/>
          <w:color w:val="262626"/>
          <w:sz w:val="18"/>
          <w:szCs w:val="18"/>
        </w:rPr>
        <w:t xml:space="preserve">The PC is more essential than ever, enriching lives by helping people focus, create, and connect with friends, family, and coworkers around the world. Working </w:t>
      </w:r>
      <w:r>
        <w:rPr>
          <w:rFonts w:ascii="Arial" w:eastAsia="宋体" w:hAnsi="Arial" w:cs="Arial"/>
          <w:color w:val="262626"/>
          <w:sz w:val="18"/>
          <w:szCs w:val="18"/>
        </w:rPr>
        <w:t>with our partners across the industry, we intend to continue to advance PC experiences with innovations like our Intel® Evo™ platform which delivers exceptional mobile computing experiences for PC customers. As the largest business unit at Intel, CCG is in</w:t>
      </w:r>
      <w:r>
        <w:rPr>
          <w:rFonts w:ascii="Arial" w:eastAsia="宋体" w:hAnsi="Arial" w:cs="Arial"/>
          <w:color w:val="262626"/>
          <w:sz w:val="18"/>
          <w:szCs w:val="18"/>
        </w:rPr>
        <w:t>vesting more heavily in the PC, ramping up its capabilities even more aggressively, and designing the PC experience even more deliberately, delivering a predictable cadence of leadership products. As a result, we are able to fuel innovation across Intel, p</w:t>
      </w:r>
      <w:r>
        <w:rPr>
          <w:rFonts w:ascii="Arial" w:eastAsia="宋体" w:hAnsi="Arial" w:cs="Arial"/>
          <w:color w:val="262626"/>
          <w:sz w:val="18"/>
          <w:szCs w:val="18"/>
        </w:rPr>
        <w:t>roviding an important source of IP, scale, and cash flow.</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996AD7" w14:paraId="39D99375" w14:textId="77777777">
        <w:tc>
          <w:tcPr>
            <w:tcW w:w="20" w:type="dxa"/>
            <w:shd w:val="clear" w:color="auto" w:fill="auto"/>
            <w:vAlign w:val="bottom"/>
          </w:tcPr>
          <w:p w14:paraId="39D99369" w14:textId="77777777" w:rsidR="00996AD7" w:rsidRDefault="00996AD7">
            <w:pPr>
              <w:rPr>
                <w:rFonts w:ascii="宋体"/>
              </w:rPr>
            </w:pPr>
          </w:p>
        </w:tc>
        <w:tc>
          <w:tcPr>
            <w:tcW w:w="80" w:type="dxa"/>
            <w:shd w:val="clear" w:color="auto" w:fill="auto"/>
            <w:vAlign w:val="bottom"/>
          </w:tcPr>
          <w:p w14:paraId="39D9936A" w14:textId="77777777" w:rsidR="00996AD7" w:rsidRDefault="00996AD7">
            <w:pPr>
              <w:rPr>
                <w:rFonts w:ascii="宋体"/>
              </w:rPr>
            </w:pPr>
          </w:p>
        </w:tc>
        <w:tc>
          <w:tcPr>
            <w:tcW w:w="20" w:type="dxa"/>
            <w:shd w:val="clear" w:color="auto" w:fill="auto"/>
            <w:vAlign w:val="bottom"/>
          </w:tcPr>
          <w:p w14:paraId="39D9936B" w14:textId="77777777" w:rsidR="00996AD7" w:rsidRDefault="00996AD7">
            <w:pPr>
              <w:rPr>
                <w:rFonts w:ascii="宋体"/>
              </w:rPr>
            </w:pPr>
          </w:p>
        </w:tc>
        <w:tc>
          <w:tcPr>
            <w:tcW w:w="20" w:type="dxa"/>
            <w:shd w:val="clear" w:color="auto" w:fill="auto"/>
            <w:vAlign w:val="bottom"/>
          </w:tcPr>
          <w:p w14:paraId="39D9936C" w14:textId="77777777" w:rsidR="00996AD7" w:rsidRDefault="00996AD7">
            <w:pPr>
              <w:rPr>
                <w:rFonts w:ascii="宋体"/>
              </w:rPr>
            </w:pPr>
          </w:p>
        </w:tc>
        <w:tc>
          <w:tcPr>
            <w:tcW w:w="5165" w:type="dxa"/>
            <w:shd w:val="clear" w:color="auto" w:fill="auto"/>
            <w:vAlign w:val="bottom"/>
          </w:tcPr>
          <w:p w14:paraId="39D9936D" w14:textId="77777777" w:rsidR="00996AD7" w:rsidRDefault="00996AD7">
            <w:pPr>
              <w:rPr>
                <w:rFonts w:ascii="宋体"/>
              </w:rPr>
            </w:pPr>
          </w:p>
        </w:tc>
        <w:tc>
          <w:tcPr>
            <w:tcW w:w="20" w:type="dxa"/>
            <w:shd w:val="clear" w:color="auto" w:fill="auto"/>
            <w:vAlign w:val="bottom"/>
          </w:tcPr>
          <w:p w14:paraId="39D9936E" w14:textId="77777777" w:rsidR="00996AD7" w:rsidRDefault="00996AD7">
            <w:pPr>
              <w:rPr>
                <w:rFonts w:ascii="宋体"/>
              </w:rPr>
            </w:pPr>
          </w:p>
        </w:tc>
        <w:tc>
          <w:tcPr>
            <w:tcW w:w="20" w:type="dxa"/>
            <w:shd w:val="clear" w:color="auto" w:fill="auto"/>
            <w:vAlign w:val="bottom"/>
          </w:tcPr>
          <w:p w14:paraId="39D9936F" w14:textId="77777777" w:rsidR="00996AD7" w:rsidRDefault="00996AD7">
            <w:pPr>
              <w:rPr>
                <w:rFonts w:ascii="宋体"/>
              </w:rPr>
            </w:pPr>
          </w:p>
        </w:tc>
        <w:tc>
          <w:tcPr>
            <w:tcW w:w="260" w:type="dxa"/>
            <w:shd w:val="clear" w:color="auto" w:fill="auto"/>
            <w:vAlign w:val="bottom"/>
          </w:tcPr>
          <w:p w14:paraId="39D99370" w14:textId="77777777" w:rsidR="00996AD7" w:rsidRDefault="00996AD7">
            <w:pPr>
              <w:rPr>
                <w:rFonts w:ascii="宋体"/>
              </w:rPr>
            </w:pPr>
          </w:p>
        </w:tc>
        <w:tc>
          <w:tcPr>
            <w:tcW w:w="20" w:type="dxa"/>
            <w:shd w:val="clear" w:color="auto" w:fill="auto"/>
            <w:vAlign w:val="bottom"/>
          </w:tcPr>
          <w:p w14:paraId="39D99371" w14:textId="77777777" w:rsidR="00996AD7" w:rsidRDefault="00996AD7">
            <w:pPr>
              <w:rPr>
                <w:rFonts w:ascii="宋体"/>
              </w:rPr>
            </w:pPr>
          </w:p>
        </w:tc>
        <w:tc>
          <w:tcPr>
            <w:tcW w:w="20" w:type="dxa"/>
            <w:shd w:val="clear" w:color="auto" w:fill="auto"/>
            <w:vAlign w:val="bottom"/>
          </w:tcPr>
          <w:p w14:paraId="39D99372" w14:textId="77777777" w:rsidR="00996AD7" w:rsidRDefault="00996AD7">
            <w:pPr>
              <w:rPr>
                <w:rFonts w:ascii="宋体"/>
              </w:rPr>
            </w:pPr>
          </w:p>
        </w:tc>
        <w:tc>
          <w:tcPr>
            <w:tcW w:w="5165" w:type="dxa"/>
            <w:shd w:val="clear" w:color="auto" w:fill="auto"/>
            <w:vAlign w:val="bottom"/>
          </w:tcPr>
          <w:p w14:paraId="39D99373" w14:textId="77777777" w:rsidR="00996AD7" w:rsidRDefault="00996AD7">
            <w:pPr>
              <w:rPr>
                <w:rFonts w:ascii="宋体"/>
              </w:rPr>
            </w:pPr>
          </w:p>
        </w:tc>
        <w:tc>
          <w:tcPr>
            <w:tcW w:w="20" w:type="dxa"/>
            <w:shd w:val="clear" w:color="auto" w:fill="auto"/>
            <w:vAlign w:val="bottom"/>
          </w:tcPr>
          <w:p w14:paraId="39D99374" w14:textId="77777777" w:rsidR="00996AD7" w:rsidRDefault="00996AD7">
            <w:pPr>
              <w:rPr>
                <w:rFonts w:ascii="宋体"/>
              </w:rPr>
            </w:pPr>
          </w:p>
        </w:tc>
      </w:tr>
      <w:tr w:rsidR="00996AD7" w14:paraId="39D9937A" w14:textId="77777777">
        <w:trPr>
          <w:trHeight w:val="280"/>
        </w:trPr>
        <w:tc>
          <w:tcPr>
            <w:tcW w:w="0" w:type="auto"/>
            <w:gridSpan w:val="3"/>
            <w:shd w:val="clear" w:color="auto" w:fill="auto"/>
            <w:tcMar>
              <w:top w:w="0" w:type="dxa"/>
              <w:left w:w="20" w:type="dxa"/>
              <w:bottom w:w="0" w:type="dxa"/>
              <w:right w:w="20" w:type="dxa"/>
            </w:tcMar>
            <w:vAlign w:val="bottom"/>
          </w:tcPr>
          <w:p w14:paraId="39D99376"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377" w14:textId="77777777" w:rsidR="00996AD7" w:rsidRDefault="00D96458">
            <w:pPr>
              <w:jc w:val="center"/>
              <w:textAlignment w:val="bottom"/>
            </w:pPr>
            <w:r>
              <w:rPr>
                <w:rFonts w:ascii="Arial" w:eastAsia="宋体" w:hAnsi="Arial" w:cs="Arial"/>
                <w:color w:val="0068B5"/>
                <w:sz w:val="20"/>
                <w:szCs w:val="20"/>
              </w:rPr>
              <w:t>CCG Revenue $B</w:t>
            </w:r>
          </w:p>
        </w:tc>
        <w:tc>
          <w:tcPr>
            <w:tcW w:w="0" w:type="auto"/>
            <w:gridSpan w:val="3"/>
            <w:shd w:val="clear" w:color="auto" w:fill="auto"/>
            <w:tcMar>
              <w:top w:w="0" w:type="dxa"/>
              <w:left w:w="20" w:type="dxa"/>
              <w:bottom w:w="0" w:type="dxa"/>
              <w:right w:w="20" w:type="dxa"/>
            </w:tcMar>
            <w:vAlign w:val="bottom"/>
          </w:tcPr>
          <w:p w14:paraId="39D99378"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379" w14:textId="77777777" w:rsidR="00996AD7" w:rsidRDefault="00D96458">
            <w:pPr>
              <w:jc w:val="center"/>
              <w:textAlignment w:val="bottom"/>
            </w:pPr>
            <w:r>
              <w:rPr>
                <w:rFonts w:ascii="Arial" w:eastAsia="宋体" w:hAnsi="Arial" w:cs="Arial"/>
                <w:color w:val="0068B5"/>
                <w:sz w:val="20"/>
                <w:szCs w:val="20"/>
              </w:rPr>
              <w:t>CCG Operating Income $B</w:t>
            </w:r>
          </w:p>
        </w:tc>
      </w:tr>
    </w:tbl>
    <w:p w14:paraId="39D9937B" w14:textId="77777777" w:rsidR="00996AD7" w:rsidRDefault="00D96458">
      <w:pPr>
        <w:spacing w:after="6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DE" wp14:editId="39D9A3DF">
            <wp:extent cx="304800" cy="304800"/>
            <wp:effectExtent l="0" t="0" r="0" b="0"/>
            <wp:docPr id="106" name="图片 89"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9" descr="IMG_28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Viewer5_files/intc-202109</w:instrText>
      </w:r>
      <w:r>
        <w:rPr>
          <w:rFonts w:ascii="宋体" w:eastAsia="宋体" w:hAnsi="宋体" w:cs="宋体"/>
        </w:rPr>
        <w:instrText xml:space="preserve">25_g8.jpg"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E0" wp14:editId="39D9A3E1">
            <wp:extent cx="304800" cy="304800"/>
            <wp:effectExtent l="0" t="0" r="0" b="0"/>
            <wp:docPr id="108" name="图片 90"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0" descr="IMG_28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490"/>
        <w:gridCol w:w="36"/>
        <w:gridCol w:w="36"/>
        <w:gridCol w:w="1110"/>
        <w:gridCol w:w="36"/>
        <w:gridCol w:w="36"/>
        <w:gridCol w:w="8164"/>
        <w:gridCol w:w="36"/>
      </w:tblGrid>
      <w:tr w:rsidR="00996AD7" w14:paraId="39D99385" w14:textId="77777777">
        <w:tc>
          <w:tcPr>
            <w:tcW w:w="20" w:type="dxa"/>
            <w:shd w:val="clear" w:color="auto" w:fill="auto"/>
            <w:vAlign w:val="bottom"/>
          </w:tcPr>
          <w:p w14:paraId="39D9937C" w14:textId="77777777" w:rsidR="00996AD7" w:rsidRDefault="00996AD7">
            <w:pPr>
              <w:rPr>
                <w:rFonts w:ascii="宋体"/>
              </w:rPr>
            </w:pPr>
          </w:p>
        </w:tc>
        <w:tc>
          <w:tcPr>
            <w:tcW w:w="1505" w:type="dxa"/>
            <w:shd w:val="clear" w:color="auto" w:fill="auto"/>
            <w:vAlign w:val="bottom"/>
          </w:tcPr>
          <w:p w14:paraId="39D9937D" w14:textId="77777777" w:rsidR="00996AD7" w:rsidRDefault="00996AD7">
            <w:pPr>
              <w:rPr>
                <w:rFonts w:ascii="宋体"/>
              </w:rPr>
            </w:pPr>
          </w:p>
        </w:tc>
        <w:tc>
          <w:tcPr>
            <w:tcW w:w="20" w:type="dxa"/>
            <w:shd w:val="clear" w:color="auto" w:fill="auto"/>
            <w:vAlign w:val="bottom"/>
          </w:tcPr>
          <w:p w14:paraId="39D9937E" w14:textId="77777777" w:rsidR="00996AD7" w:rsidRDefault="00996AD7">
            <w:pPr>
              <w:rPr>
                <w:rFonts w:ascii="宋体"/>
              </w:rPr>
            </w:pPr>
          </w:p>
        </w:tc>
        <w:tc>
          <w:tcPr>
            <w:tcW w:w="20" w:type="dxa"/>
            <w:shd w:val="clear" w:color="auto" w:fill="auto"/>
            <w:vAlign w:val="bottom"/>
          </w:tcPr>
          <w:p w14:paraId="39D9937F" w14:textId="77777777" w:rsidR="00996AD7" w:rsidRDefault="00996AD7">
            <w:pPr>
              <w:rPr>
                <w:rFonts w:ascii="宋体"/>
              </w:rPr>
            </w:pPr>
          </w:p>
        </w:tc>
        <w:tc>
          <w:tcPr>
            <w:tcW w:w="1115" w:type="dxa"/>
            <w:shd w:val="clear" w:color="auto" w:fill="auto"/>
            <w:vAlign w:val="bottom"/>
          </w:tcPr>
          <w:p w14:paraId="39D99380" w14:textId="77777777" w:rsidR="00996AD7" w:rsidRDefault="00996AD7">
            <w:pPr>
              <w:rPr>
                <w:rFonts w:ascii="宋体"/>
              </w:rPr>
            </w:pPr>
          </w:p>
        </w:tc>
        <w:tc>
          <w:tcPr>
            <w:tcW w:w="20" w:type="dxa"/>
            <w:shd w:val="clear" w:color="auto" w:fill="auto"/>
            <w:vAlign w:val="bottom"/>
          </w:tcPr>
          <w:p w14:paraId="39D99381" w14:textId="77777777" w:rsidR="00996AD7" w:rsidRDefault="00996AD7">
            <w:pPr>
              <w:rPr>
                <w:rFonts w:ascii="宋体"/>
              </w:rPr>
            </w:pPr>
          </w:p>
        </w:tc>
        <w:tc>
          <w:tcPr>
            <w:tcW w:w="20" w:type="dxa"/>
            <w:shd w:val="clear" w:color="auto" w:fill="auto"/>
            <w:vAlign w:val="bottom"/>
          </w:tcPr>
          <w:p w14:paraId="39D99382" w14:textId="77777777" w:rsidR="00996AD7" w:rsidRDefault="00996AD7">
            <w:pPr>
              <w:rPr>
                <w:rFonts w:ascii="宋体"/>
              </w:rPr>
            </w:pPr>
          </w:p>
        </w:tc>
        <w:tc>
          <w:tcPr>
            <w:tcW w:w="8240" w:type="dxa"/>
            <w:shd w:val="clear" w:color="auto" w:fill="auto"/>
            <w:vAlign w:val="bottom"/>
          </w:tcPr>
          <w:p w14:paraId="39D99383" w14:textId="77777777" w:rsidR="00996AD7" w:rsidRDefault="00996AD7">
            <w:pPr>
              <w:rPr>
                <w:rFonts w:ascii="宋体"/>
              </w:rPr>
            </w:pPr>
          </w:p>
        </w:tc>
        <w:tc>
          <w:tcPr>
            <w:tcW w:w="20" w:type="dxa"/>
            <w:shd w:val="clear" w:color="auto" w:fill="auto"/>
            <w:vAlign w:val="bottom"/>
          </w:tcPr>
          <w:p w14:paraId="39D99384" w14:textId="77777777" w:rsidR="00996AD7" w:rsidRDefault="00996AD7">
            <w:pPr>
              <w:rPr>
                <w:rFonts w:ascii="宋体"/>
              </w:rPr>
            </w:pPr>
          </w:p>
        </w:tc>
      </w:tr>
      <w:tr w:rsidR="00996AD7" w14:paraId="39D99389" w14:textId="77777777">
        <w:trPr>
          <w:trHeight w:val="280"/>
        </w:trPr>
        <w:tc>
          <w:tcPr>
            <w:tcW w:w="0" w:type="auto"/>
            <w:gridSpan w:val="3"/>
            <w:shd w:val="clear" w:color="auto" w:fill="auto"/>
            <w:tcMar>
              <w:top w:w="0" w:type="dxa"/>
              <w:left w:w="20" w:type="dxa"/>
              <w:bottom w:w="0" w:type="dxa"/>
              <w:right w:w="20" w:type="dxa"/>
            </w:tcMar>
            <w:vAlign w:val="bottom"/>
          </w:tcPr>
          <w:p w14:paraId="39D99386"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center"/>
          </w:tcPr>
          <w:p w14:paraId="39D99387" w14:textId="77777777" w:rsidR="00996AD7" w:rsidRDefault="00D96458">
            <w:pPr>
              <w:textAlignment w:val="center"/>
            </w:pPr>
            <w:r>
              <w:rPr>
                <w:rFonts w:ascii="Arial" w:eastAsia="宋体" w:hAnsi="Arial" w:cs="Arial"/>
                <w:color w:val="004A8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Platform</w:t>
            </w:r>
          </w:p>
        </w:tc>
        <w:tc>
          <w:tcPr>
            <w:tcW w:w="0" w:type="auto"/>
            <w:gridSpan w:val="3"/>
            <w:shd w:val="clear" w:color="auto" w:fill="auto"/>
            <w:tcMar>
              <w:top w:w="40" w:type="dxa"/>
              <w:left w:w="20" w:type="dxa"/>
              <w:bottom w:w="40" w:type="dxa"/>
              <w:right w:w="20" w:type="dxa"/>
            </w:tcMar>
            <w:vAlign w:val="center"/>
          </w:tcPr>
          <w:p w14:paraId="39D99388" w14:textId="77777777" w:rsidR="00996AD7" w:rsidRDefault="00D96458">
            <w:pPr>
              <w:textAlignment w:val="center"/>
            </w:pPr>
            <w:r>
              <w:rPr>
                <w:rFonts w:ascii="Arial" w:eastAsia="宋体" w:hAnsi="Arial" w:cs="Arial"/>
                <w:color w:val="FF8F51"/>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Adjacent</w:t>
            </w:r>
          </w:p>
        </w:tc>
      </w:tr>
    </w:tbl>
    <w:p w14:paraId="39D9938A"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38E" w14:textId="77777777">
        <w:tc>
          <w:tcPr>
            <w:tcW w:w="50" w:type="pct"/>
            <w:shd w:val="clear" w:color="auto" w:fill="auto"/>
            <w:vAlign w:val="bottom"/>
          </w:tcPr>
          <w:p w14:paraId="39D9938B" w14:textId="77777777" w:rsidR="00996AD7" w:rsidRDefault="00996AD7">
            <w:pPr>
              <w:rPr>
                <w:rFonts w:ascii="宋体"/>
              </w:rPr>
            </w:pPr>
          </w:p>
        </w:tc>
        <w:tc>
          <w:tcPr>
            <w:tcW w:w="4945" w:type="pct"/>
            <w:shd w:val="clear" w:color="auto" w:fill="auto"/>
            <w:vAlign w:val="bottom"/>
          </w:tcPr>
          <w:p w14:paraId="39D9938C" w14:textId="77777777" w:rsidR="00996AD7" w:rsidRDefault="00996AD7">
            <w:pPr>
              <w:rPr>
                <w:rFonts w:ascii="宋体"/>
              </w:rPr>
            </w:pPr>
          </w:p>
        </w:tc>
        <w:tc>
          <w:tcPr>
            <w:tcW w:w="5" w:type="pct"/>
            <w:shd w:val="clear" w:color="auto" w:fill="auto"/>
            <w:vAlign w:val="bottom"/>
          </w:tcPr>
          <w:p w14:paraId="39D9938D" w14:textId="77777777" w:rsidR="00996AD7" w:rsidRDefault="00996AD7">
            <w:pPr>
              <w:rPr>
                <w:rFonts w:ascii="宋体"/>
              </w:rPr>
            </w:pPr>
          </w:p>
        </w:tc>
      </w:tr>
      <w:tr w:rsidR="00996AD7" w14:paraId="39D99390"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38F" w14:textId="77777777" w:rsidR="00996AD7" w:rsidRDefault="00D96458">
            <w:pPr>
              <w:textAlignment w:val="bottom"/>
            </w:pPr>
            <w:r>
              <w:rPr>
                <w:rFonts w:ascii="Arial" w:eastAsia="宋体" w:hAnsi="Arial" w:cs="Arial"/>
                <w:color w:val="0068B5"/>
                <w:sz w:val="20"/>
                <w:szCs w:val="20"/>
              </w:rPr>
              <w:t>Revenue Summary</w:t>
            </w:r>
          </w:p>
        </w:tc>
      </w:tr>
    </w:tbl>
    <w:p w14:paraId="39D99391" w14:textId="77777777" w:rsidR="00996AD7" w:rsidRDefault="00D96458">
      <w:pPr>
        <w:spacing w:after="180"/>
      </w:pPr>
      <w:r>
        <w:rPr>
          <w:rFonts w:ascii="Arial" w:eastAsia="宋体" w:hAnsi="Arial" w:cs="Arial"/>
          <w:color w:val="262626"/>
          <w:sz w:val="18"/>
          <w:szCs w:val="18"/>
        </w:rPr>
        <w:t xml:space="preserve">Revenue in Q3 2021 was down 2% due to lower notebook volume and adjacent revenue, partially offset by higher platform ASPs and increased desktop volume. </w:t>
      </w:r>
      <w:r>
        <w:rPr>
          <w:rFonts w:ascii="Arial" w:eastAsia="宋体" w:hAnsi="Arial" w:cs="Arial"/>
          <w:color w:val="262626"/>
          <w:sz w:val="18"/>
          <w:szCs w:val="18"/>
        </w:rPr>
        <w:t>Notebook volume declined in the consumer and education market segments due to industry-wide component shortages. Platform ASPs were higher in both notebook and desktop from a higher mix of large core products. Desktop demand strengthened due to consumer an</w:t>
      </w:r>
      <w:r>
        <w:rPr>
          <w:rFonts w:ascii="Arial" w:eastAsia="宋体" w:hAnsi="Arial" w:cs="Arial"/>
          <w:color w:val="262626"/>
          <w:sz w:val="18"/>
          <w:szCs w:val="18"/>
        </w:rPr>
        <w:t>d commercial recovery from COVID-19 lows. Adjacent revenue was down compared to Q3 2020 due to the continued ramp down from the exit of our 5G smartphone modem and Home Gateway Platform businesses, partially offset by strength in wireless and connectivity.</w:t>
      </w:r>
    </w:p>
    <w:p w14:paraId="39D99392" w14:textId="77777777" w:rsidR="00996AD7" w:rsidRDefault="00D96458">
      <w:pPr>
        <w:spacing w:after="180"/>
      </w:pPr>
      <w:r>
        <w:rPr>
          <w:rFonts w:ascii="Arial" w:eastAsia="宋体" w:hAnsi="Arial" w:cs="Arial"/>
          <w:color w:val="262626"/>
          <w:sz w:val="18"/>
          <w:szCs w:val="18"/>
        </w:rPr>
        <w:t>Revenue YTD 2021 was up 4% compared to YTD 2020 due to continued strong demand in notebook and continued strength in desktop driven by consumer and commercial recovery from COVID-19 lows, partially offset by lower notebook and desktop ASPs due to strength</w:t>
      </w:r>
      <w:r>
        <w:rPr>
          <w:rFonts w:ascii="Arial" w:eastAsia="宋体" w:hAnsi="Arial" w:cs="Arial"/>
          <w:color w:val="262626"/>
          <w:sz w:val="18"/>
          <w:szCs w:val="18"/>
        </w:rPr>
        <w:t xml:space="preserve"> in the consumer and education market segments. Adjacent revenue was down compared to YTD 2020 due to the continued ramp down from the exit of our 5G smartphone modem and Home Gateway Platform businesses, partially offset by strength in wireless and connec</w:t>
      </w:r>
      <w:r>
        <w:rPr>
          <w:rFonts w:ascii="Arial" w:eastAsia="宋体" w:hAnsi="Arial" w:cs="Arial"/>
          <w:color w:val="262626"/>
          <w:sz w:val="18"/>
          <w:szCs w:val="18"/>
        </w:rPr>
        <w:t>tivity.</w:t>
      </w:r>
    </w:p>
    <w:tbl>
      <w:tblPr>
        <w:tblW w:w="10980" w:type="dxa"/>
        <w:tblCellMar>
          <w:top w:w="15" w:type="dxa"/>
          <w:left w:w="15" w:type="dxa"/>
          <w:bottom w:w="15" w:type="dxa"/>
          <w:right w:w="15" w:type="dxa"/>
        </w:tblCellMar>
        <w:tblLook w:val="04A0" w:firstRow="1" w:lastRow="0" w:firstColumn="1" w:lastColumn="0" w:noHBand="0" w:noVBand="1"/>
      </w:tblPr>
      <w:tblGrid>
        <w:gridCol w:w="36"/>
        <w:gridCol w:w="5054"/>
        <w:gridCol w:w="36"/>
        <w:gridCol w:w="36"/>
        <w:gridCol w:w="36"/>
        <w:gridCol w:w="36"/>
        <w:gridCol w:w="36"/>
        <w:gridCol w:w="603"/>
        <w:gridCol w:w="36"/>
        <w:gridCol w:w="36"/>
        <w:gridCol w:w="593"/>
        <w:gridCol w:w="36"/>
        <w:gridCol w:w="36"/>
        <w:gridCol w:w="36"/>
        <w:gridCol w:w="36"/>
        <w:gridCol w:w="121"/>
        <w:gridCol w:w="1214"/>
        <w:gridCol w:w="36"/>
        <w:gridCol w:w="36"/>
        <w:gridCol w:w="36"/>
        <w:gridCol w:w="36"/>
        <w:gridCol w:w="36"/>
        <w:gridCol w:w="603"/>
        <w:gridCol w:w="36"/>
        <w:gridCol w:w="36"/>
        <w:gridCol w:w="593"/>
        <w:gridCol w:w="36"/>
        <w:gridCol w:w="36"/>
        <w:gridCol w:w="36"/>
        <w:gridCol w:w="36"/>
        <w:gridCol w:w="121"/>
        <w:gridCol w:w="1214"/>
        <w:gridCol w:w="36"/>
      </w:tblGrid>
      <w:tr w:rsidR="00996AD7" w14:paraId="39D993B4" w14:textId="77777777">
        <w:tc>
          <w:tcPr>
            <w:tcW w:w="20" w:type="dxa"/>
            <w:shd w:val="clear" w:color="auto" w:fill="auto"/>
            <w:vAlign w:val="bottom"/>
          </w:tcPr>
          <w:p w14:paraId="39D99393" w14:textId="77777777" w:rsidR="00996AD7" w:rsidRDefault="00996AD7">
            <w:pPr>
              <w:rPr>
                <w:rFonts w:ascii="宋体"/>
              </w:rPr>
            </w:pPr>
          </w:p>
        </w:tc>
        <w:tc>
          <w:tcPr>
            <w:tcW w:w="5420" w:type="dxa"/>
            <w:shd w:val="clear" w:color="auto" w:fill="auto"/>
            <w:vAlign w:val="bottom"/>
          </w:tcPr>
          <w:p w14:paraId="39D99394" w14:textId="77777777" w:rsidR="00996AD7" w:rsidRDefault="00996AD7">
            <w:pPr>
              <w:rPr>
                <w:rFonts w:ascii="宋体"/>
              </w:rPr>
            </w:pPr>
          </w:p>
        </w:tc>
        <w:tc>
          <w:tcPr>
            <w:tcW w:w="20" w:type="dxa"/>
            <w:shd w:val="clear" w:color="auto" w:fill="auto"/>
            <w:vAlign w:val="bottom"/>
          </w:tcPr>
          <w:p w14:paraId="39D99395" w14:textId="77777777" w:rsidR="00996AD7" w:rsidRDefault="00996AD7">
            <w:pPr>
              <w:rPr>
                <w:rFonts w:ascii="宋体"/>
              </w:rPr>
            </w:pPr>
          </w:p>
        </w:tc>
        <w:tc>
          <w:tcPr>
            <w:tcW w:w="20" w:type="dxa"/>
            <w:shd w:val="clear" w:color="auto" w:fill="auto"/>
            <w:vAlign w:val="bottom"/>
          </w:tcPr>
          <w:p w14:paraId="39D99396" w14:textId="77777777" w:rsidR="00996AD7" w:rsidRDefault="00996AD7">
            <w:pPr>
              <w:rPr>
                <w:rFonts w:ascii="宋体"/>
              </w:rPr>
            </w:pPr>
          </w:p>
        </w:tc>
        <w:tc>
          <w:tcPr>
            <w:tcW w:w="35" w:type="dxa"/>
            <w:shd w:val="clear" w:color="auto" w:fill="auto"/>
            <w:vAlign w:val="bottom"/>
          </w:tcPr>
          <w:p w14:paraId="39D99397" w14:textId="77777777" w:rsidR="00996AD7" w:rsidRDefault="00996AD7">
            <w:pPr>
              <w:rPr>
                <w:rFonts w:ascii="宋体"/>
              </w:rPr>
            </w:pPr>
          </w:p>
        </w:tc>
        <w:tc>
          <w:tcPr>
            <w:tcW w:w="20" w:type="dxa"/>
            <w:shd w:val="clear" w:color="auto" w:fill="auto"/>
            <w:vAlign w:val="bottom"/>
          </w:tcPr>
          <w:p w14:paraId="39D99398" w14:textId="77777777" w:rsidR="00996AD7" w:rsidRDefault="00996AD7">
            <w:pPr>
              <w:rPr>
                <w:rFonts w:ascii="宋体"/>
              </w:rPr>
            </w:pPr>
          </w:p>
        </w:tc>
        <w:tc>
          <w:tcPr>
            <w:tcW w:w="20" w:type="dxa"/>
            <w:shd w:val="clear" w:color="auto" w:fill="auto"/>
            <w:vAlign w:val="bottom"/>
          </w:tcPr>
          <w:p w14:paraId="39D99399" w14:textId="77777777" w:rsidR="00996AD7" w:rsidRDefault="00996AD7">
            <w:pPr>
              <w:rPr>
                <w:rFonts w:ascii="宋体"/>
              </w:rPr>
            </w:pPr>
          </w:p>
        </w:tc>
        <w:tc>
          <w:tcPr>
            <w:tcW w:w="620" w:type="dxa"/>
            <w:shd w:val="clear" w:color="auto" w:fill="auto"/>
            <w:vAlign w:val="bottom"/>
          </w:tcPr>
          <w:p w14:paraId="39D9939A" w14:textId="77777777" w:rsidR="00996AD7" w:rsidRDefault="00996AD7">
            <w:pPr>
              <w:rPr>
                <w:rFonts w:ascii="宋体"/>
              </w:rPr>
            </w:pPr>
          </w:p>
        </w:tc>
        <w:tc>
          <w:tcPr>
            <w:tcW w:w="20" w:type="dxa"/>
            <w:shd w:val="clear" w:color="auto" w:fill="auto"/>
            <w:vAlign w:val="bottom"/>
          </w:tcPr>
          <w:p w14:paraId="39D9939B" w14:textId="77777777" w:rsidR="00996AD7" w:rsidRDefault="00996AD7">
            <w:pPr>
              <w:rPr>
                <w:rFonts w:ascii="宋体"/>
              </w:rPr>
            </w:pPr>
          </w:p>
        </w:tc>
        <w:tc>
          <w:tcPr>
            <w:tcW w:w="20" w:type="dxa"/>
            <w:shd w:val="clear" w:color="auto" w:fill="auto"/>
            <w:vAlign w:val="bottom"/>
          </w:tcPr>
          <w:p w14:paraId="39D9939C" w14:textId="77777777" w:rsidR="00996AD7" w:rsidRDefault="00996AD7">
            <w:pPr>
              <w:rPr>
                <w:rFonts w:ascii="宋体"/>
              </w:rPr>
            </w:pPr>
          </w:p>
        </w:tc>
        <w:tc>
          <w:tcPr>
            <w:tcW w:w="605" w:type="dxa"/>
            <w:shd w:val="clear" w:color="auto" w:fill="auto"/>
            <w:vAlign w:val="bottom"/>
          </w:tcPr>
          <w:p w14:paraId="39D9939D" w14:textId="77777777" w:rsidR="00996AD7" w:rsidRDefault="00996AD7">
            <w:pPr>
              <w:rPr>
                <w:rFonts w:ascii="宋体"/>
              </w:rPr>
            </w:pPr>
          </w:p>
        </w:tc>
        <w:tc>
          <w:tcPr>
            <w:tcW w:w="20" w:type="dxa"/>
            <w:shd w:val="clear" w:color="auto" w:fill="auto"/>
            <w:vAlign w:val="bottom"/>
          </w:tcPr>
          <w:p w14:paraId="39D9939E" w14:textId="77777777" w:rsidR="00996AD7" w:rsidRDefault="00996AD7">
            <w:pPr>
              <w:rPr>
                <w:rFonts w:ascii="宋体"/>
              </w:rPr>
            </w:pPr>
          </w:p>
        </w:tc>
        <w:tc>
          <w:tcPr>
            <w:tcW w:w="20" w:type="dxa"/>
            <w:shd w:val="clear" w:color="auto" w:fill="auto"/>
            <w:vAlign w:val="bottom"/>
          </w:tcPr>
          <w:p w14:paraId="39D9939F" w14:textId="77777777" w:rsidR="00996AD7" w:rsidRDefault="00996AD7">
            <w:pPr>
              <w:rPr>
                <w:rFonts w:ascii="宋体"/>
              </w:rPr>
            </w:pPr>
          </w:p>
        </w:tc>
        <w:tc>
          <w:tcPr>
            <w:tcW w:w="35" w:type="dxa"/>
            <w:shd w:val="clear" w:color="auto" w:fill="auto"/>
            <w:vAlign w:val="bottom"/>
          </w:tcPr>
          <w:p w14:paraId="39D993A0" w14:textId="77777777" w:rsidR="00996AD7" w:rsidRDefault="00996AD7">
            <w:pPr>
              <w:rPr>
                <w:rFonts w:ascii="宋体"/>
              </w:rPr>
            </w:pPr>
          </w:p>
        </w:tc>
        <w:tc>
          <w:tcPr>
            <w:tcW w:w="20" w:type="dxa"/>
            <w:shd w:val="clear" w:color="auto" w:fill="auto"/>
            <w:vAlign w:val="bottom"/>
          </w:tcPr>
          <w:p w14:paraId="39D993A1" w14:textId="77777777" w:rsidR="00996AD7" w:rsidRDefault="00996AD7">
            <w:pPr>
              <w:rPr>
                <w:rFonts w:ascii="宋体"/>
              </w:rPr>
            </w:pPr>
          </w:p>
        </w:tc>
        <w:tc>
          <w:tcPr>
            <w:tcW w:w="20" w:type="dxa"/>
            <w:shd w:val="clear" w:color="auto" w:fill="auto"/>
            <w:vAlign w:val="bottom"/>
          </w:tcPr>
          <w:p w14:paraId="39D993A2" w14:textId="77777777" w:rsidR="00996AD7" w:rsidRDefault="00996AD7">
            <w:pPr>
              <w:rPr>
                <w:rFonts w:ascii="宋体"/>
              </w:rPr>
            </w:pPr>
          </w:p>
        </w:tc>
        <w:tc>
          <w:tcPr>
            <w:tcW w:w="1265" w:type="dxa"/>
            <w:shd w:val="clear" w:color="auto" w:fill="auto"/>
            <w:vAlign w:val="bottom"/>
          </w:tcPr>
          <w:p w14:paraId="39D993A3" w14:textId="77777777" w:rsidR="00996AD7" w:rsidRDefault="00996AD7">
            <w:pPr>
              <w:rPr>
                <w:rFonts w:ascii="宋体"/>
              </w:rPr>
            </w:pPr>
          </w:p>
        </w:tc>
        <w:tc>
          <w:tcPr>
            <w:tcW w:w="20" w:type="dxa"/>
            <w:shd w:val="clear" w:color="auto" w:fill="auto"/>
            <w:vAlign w:val="bottom"/>
          </w:tcPr>
          <w:p w14:paraId="39D993A4" w14:textId="77777777" w:rsidR="00996AD7" w:rsidRDefault="00996AD7">
            <w:pPr>
              <w:rPr>
                <w:rFonts w:ascii="宋体"/>
              </w:rPr>
            </w:pPr>
          </w:p>
        </w:tc>
        <w:tc>
          <w:tcPr>
            <w:tcW w:w="20" w:type="dxa"/>
            <w:shd w:val="clear" w:color="auto" w:fill="auto"/>
            <w:vAlign w:val="bottom"/>
          </w:tcPr>
          <w:p w14:paraId="39D993A5" w14:textId="77777777" w:rsidR="00996AD7" w:rsidRDefault="00996AD7">
            <w:pPr>
              <w:rPr>
                <w:rFonts w:ascii="宋体"/>
              </w:rPr>
            </w:pPr>
          </w:p>
        </w:tc>
        <w:tc>
          <w:tcPr>
            <w:tcW w:w="35" w:type="dxa"/>
            <w:shd w:val="clear" w:color="auto" w:fill="auto"/>
            <w:vAlign w:val="bottom"/>
          </w:tcPr>
          <w:p w14:paraId="39D993A6" w14:textId="77777777" w:rsidR="00996AD7" w:rsidRDefault="00996AD7">
            <w:pPr>
              <w:rPr>
                <w:rFonts w:ascii="宋体"/>
              </w:rPr>
            </w:pPr>
          </w:p>
        </w:tc>
        <w:tc>
          <w:tcPr>
            <w:tcW w:w="20" w:type="dxa"/>
            <w:shd w:val="clear" w:color="auto" w:fill="auto"/>
            <w:vAlign w:val="bottom"/>
          </w:tcPr>
          <w:p w14:paraId="39D993A7" w14:textId="77777777" w:rsidR="00996AD7" w:rsidRDefault="00996AD7">
            <w:pPr>
              <w:rPr>
                <w:rFonts w:ascii="宋体"/>
              </w:rPr>
            </w:pPr>
          </w:p>
        </w:tc>
        <w:tc>
          <w:tcPr>
            <w:tcW w:w="20" w:type="dxa"/>
            <w:shd w:val="clear" w:color="auto" w:fill="auto"/>
            <w:vAlign w:val="bottom"/>
          </w:tcPr>
          <w:p w14:paraId="39D993A8" w14:textId="77777777" w:rsidR="00996AD7" w:rsidRDefault="00996AD7">
            <w:pPr>
              <w:rPr>
                <w:rFonts w:ascii="宋体"/>
              </w:rPr>
            </w:pPr>
          </w:p>
        </w:tc>
        <w:tc>
          <w:tcPr>
            <w:tcW w:w="620" w:type="dxa"/>
            <w:shd w:val="clear" w:color="auto" w:fill="auto"/>
            <w:vAlign w:val="bottom"/>
          </w:tcPr>
          <w:p w14:paraId="39D993A9" w14:textId="77777777" w:rsidR="00996AD7" w:rsidRDefault="00996AD7">
            <w:pPr>
              <w:rPr>
                <w:rFonts w:ascii="宋体"/>
              </w:rPr>
            </w:pPr>
          </w:p>
        </w:tc>
        <w:tc>
          <w:tcPr>
            <w:tcW w:w="20" w:type="dxa"/>
            <w:shd w:val="clear" w:color="auto" w:fill="auto"/>
            <w:vAlign w:val="bottom"/>
          </w:tcPr>
          <w:p w14:paraId="39D993AA" w14:textId="77777777" w:rsidR="00996AD7" w:rsidRDefault="00996AD7">
            <w:pPr>
              <w:rPr>
                <w:rFonts w:ascii="宋体"/>
              </w:rPr>
            </w:pPr>
          </w:p>
        </w:tc>
        <w:tc>
          <w:tcPr>
            <w:tcW w:w="20" w:type="dxa"/>
            <w:shd w:val="clear" w:color="auto" w:fill="auto"/>
            <w:vAlign w:val="bottom"/>
          </w:tcPr>
          <w:p w14:paraId="39D993AB" w14:textId="77777777" w:rsidR="00996AD7" w:rsidRDefault="00996AD7">
            <w:pPr>
              <w:rPr>
                <w:rFonts w:ascii="宋体"/>
              </w:rPr>
            </w:pPr>
          </w:p>
        </w:tc>
        <w:tc>
          <w:tcPr>
            <w:tcW w:w="605" w:type="dxa"/>
            <w:shd w:val="clear" w:color="auto" w:fill="auto"/>
            <w:vAlign w:val="bottom"/>
          </w:tcPr>
          <w:p w14:paraId="39D993AC" w14:textId="77777777" w:rsidR="00996AD7" w:rsidRDefault="00996AD7">
            <w:pPr>
              <w:rPr>
                <w:rFonts w:ascii="宋体"/>
              </w:rPr>
            </w:pPr>
          </w:p>
        </w:tc>
        <w:tc>
          <w:tcPr>
            <w:tcW w:w="20" w:type="dxa"/>
            <w:shd w:val="clear" w:color="auto" w:fill="auto"/>
            <w:vAlign w:val="bottom"/>
          </w:tcPr>
          <w:p w14:paraId="39D993AD" w14:textId="77777777" w:rsidR="00996AD7" w:rsidRDefault="00996AD7">
            <w:pPr>
              <w:rPr>
                <w:rFonts w:ascii="宋体"/>
              </w:rPr>
            </w:pPr>
          </w:p>
        </w:tc>
        <w:tc>
          <w:tcPr>
            <w:tcW w:w="20" w:type="dxa"/>
            <w:shd w:val="clear" w:color="auto" w:fill="auto"/>
            <w:vAlign w:val="bottom"/>
          </w:tcPr>
          <w:p w14:paraId="39D993AE" w14:textId="77777777" w:rsidR="00996AD7" w:rsidRDefault="00996AD7">
            <w:pPr>
              <w:rPr>
                <w:rFonts w:ascii="宋体"/>
              </w:rPr>
            </w:pPr>
          </w:p>
        </w:tc>
        <w:tc>
          <w:tcPr>
            <w:tcW w:w="35" w:type="dxa"/>
            <w:shd w:val="clear" w:color="auto" w:fill="auto"/>
            <w:vAlign w:val="bottom"/>
          </w:tcPr>
          <w:p w14:paraId="39D993AF" w14:textId="77777777" w:rsidR="00996AD7" w:rsidRDefault="00996AD7">
            <w:pPr>
              <w:rPr>
                <w:rFonts w:ascii="宋体"/>
              </w:rPr>
            </w:pPr>
          </w:p>
        </w:tc>
        <w:tc>
          <w:tcPr>
            <w:tcW w:w="20" w:type="dxa"/>
            <w:shd w:val="clear" w:color="auto" w:fill="auto"/>
            <w:vAlign w:val="bottom"/>
          </w:tcPr>
          <w:p w14:paraId="39D993B0" w14:textId="77777777" w:rsidR="00996AD7" w:rsidRDefault="00996AD7">
            <w:pPr>
              <w:rPr>
                <w:rFonts w:ascii="宋体"/>
              </w:rPr>
            </w:pPr>
          </w:p>
        </w:tc>
        <w:tc>
          <w:tcPr>
            <w:tcW w:w="20" w:type="dxa"/>
            <w:shd w:val="clear" w:color="auto" w:fill="auto"/>
            <w:vAlign w:val="bottom"/>
          </w:tcPr>
          <w:p w14:paraId="39D993B1" w14:textId="77777777" w:rsidR="00996AD7" w:rsidRDefault="00996AD7">
            <w:pPr>
              <w:rPr>
                <w:rFonts w:ascii="宋体"/>
              </w:rPr>
            </w:pPr>
          </w:p>
        </w:tc>
        <w:tc>
          <w:tcPr>
            <w:tcW w:w="1265" w:type="dxa"/>
            <w:shd w:val="clear" w:color="auto" w:fill="auto"/>
            <w:vAlign w:val="bottom"/>
          </w:tcPr>
          <w:p w14:paraId="39D993B2" w14:textId="77777777" w:rsidR="00996AD7" w:rsidRDefault="00996AD7">
            <w:pPr>
              <w:rPr>
                <w:rFonts w:ascii="宋体"/>
              </w:rPr>
            </w:pPr>
          </w:p>
        </w:tc>
        <w:tc>
          <w:tcPr>
            <w:tcW w:w="20" w:type="dxa"/>
            <w:shd w:val="clear" w:color="auto" w:fill="auto"/>
            <w:vAlign w:val="bottom"/>
          </w:tcPr>
          <w:p w14:paraId="39D993B3" w14:textId="77777777" w:rsidR="00996AD7" w:rsidRDefault="00996AD7">
            <w:pPr>
              <w:rPr>
                <w:rFonts w:ascii="宋体"/>
              </w:rPr>
            </w:pPr>
          </w:p>
        </w:tc>
      </w:tr>
      <w:tr w:rsidR="00996AD7" w14:paraId="39D993BA" w14:textId="77777777">
        <w:trPr>
          <w:trHeight w:val="280"/>
        </w:trPr>
        <w:tc>
          <w:tcPr>
            <w:tcW w:w="0" w:type="auto"/>
            <w:gridSpan w:val="3"/>
            <w:shd w:val="clear" w:color="auto" w:fill="auto"/>
            <w:tcMar>
              <w:top w:w="0" w:type="dxa"/>
              <w:left w:w="20" w:type="dxa"/>
              <w:bottom w:w="0" w:type="dxa"/>
              <w:right w:w="20" w:type="dxa"/>
            </w:tcMar>
            <w:vAlign w:val="bottom"/>
          </w:tcPr>
          <w:p w14:paraId="39D993B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3B6" w14:textId="77777777" w:rsidR="00996AD7" w:rsidRDefault="00996AD7">
            <w:pPr>
              <w:rPr>
                <w:rFonts w:ascii="宋体"/>
              </w:rPr>
            </w:pPr>
          </w:p>
        </w:tc>
        <w:tc>
          <w:tcPr>
            <w:tcW w:w="0" w:type="auto"/>
            <w:gridSpan w:val="12"/>
            <w:shd w:val="clear" w:color="auto" w:fill="auto"/>
            <w:tcMar>
              <w:top w:w="40" w:type="dxa"/>
              <w:left w:w="20" w:type="dxa"/>
              <w:bottom w:w="40" w:type="dxa"/>
              <w:right w:w="20" w:type="dxa"/>
            </w:tcMar>
            <w:vAlign w:val="bottom"/>
          </w:tcPr>
          <w:p w14:paraId="39D993B7" w14:textId="77777777" w:rsidR="00996AD7" w:rsidRDefault="00D96458">
            <w:pPr>
              <w:jc w:val="center"/>
              <w:textAlignment w:val="bottom"/>
            </w:pPr>
            <w:r>
              <w:rPr>
                <w:rFonts w:ascii="Arial" w:eastAsia="宋体" w:hAnsi="Arial" w:cs="Arial"/>
                <w:b/>
                <w:bCs/>
                <w:color w:val="262626"/>
                <w:sz w:val="18"/>
                <w:szCs w:val="18"/>
              </w:rPr>
              <w:t>Q3 2021 vs. Q3 2020</w:t>
            </w:r>
          </w:p>
        </w:tc>
        <w:tc>
          <w:tcPr>
            <w:tcW w:w="0" w:type="auto"/>
            <w:gridSpan w:val="3"/>
            <w:shd w:val="clear" w:color="auto" w:fill="auto"/>
            <w:tcMar>
              <w:top w:w="0" w:type="dxa"/>
              <w:left w:w="20" w:type="dxa"/>
              <w:bottom w:w="0" w:type="dxa"/>
              <w:right w:w="20" w:type="dxa"/>
            </w:tcMar>
            <w:vAlign w:val="bottom"/>
          </w:tcPr>
          <w:p w14:paraId="39D993B8" w14:textId="77777777" w:rsidR="00996AD7" w:rsidRDefault="00996AD7">
            <w:pPr>
              <w:rPr>
                <w:rFonts w:ascii="宋体"/>
              </w:rPr>
            </w:pPr>
          </w:p>
        </w:tc>
        <w:tc>
          <w:tcPr>
            <w:tcW w:w="0" w:type="auto"/>
            <w:gridSpan w:val="12"/>
            <w:shd w:val="clear" w:color="auto" w:fill="auto"/>
            <w:tcMar>
              <w:top w:w="40" w:type="dxa"/>
              <w:left w:w="20" w:type="dxa"/>
              <w:bottom w:w="40" w:type="dxa"/>
              <w:right w:w="20" w:type="dxa"/>
            </w:tcMar>
            <w:vAlign w:val="bottom"/>
          </w:tcPr>
          <w:p w14:paraId="39D993B9" w14:textId="77777777" w:rsidR="00996AD7" w:rsidRDefault="00D96458">
            <w:pPr>
              <w:jc w:val="center"/>
              <w:textAlignment w:val="bottom"/>
            </w:pPr>
            <w:r>
              <w:rPr>
                <w:rFonts w:ascii="Arial" w:eastAsia="宋体" w:hAnsi="Arial" w:cs="Arial"/>
                <w:b/>
                <w:bCs/>
                <w:color w:val="262626"/>
                <w:sz w:val="18"/>
                <w:szCs w:val="18"/>
              </w:rPr>
              <w:t>YTD 2021 vs. YTD 2020</w:t>
            </w:r>
          </w:p>
        </w:tc>
      </w:tr>
      <w:tr w:rsidR="00996AD7" w14:paraId="39D993C4" w14:textId="77777777">
        <w:trPr>
          <w:trHeight w:val="280"/>
        </w:trPr>
        <w:tc>
          <w:tcPr>
            <w:tcW w:w="0" w:type="auto"/>
            <w:gridSpan w:val="3"/>
            <w:shd w:val="clear" w:color="auto" w:fill="auto"/>
            <w:tcMar>
              <w:top w:w="40" w:type="dxa"/>
              <w:left w:w="20" w:type="dxa"/>
              <w:bottom w:w="40" w:type="dxa"/>
              <w:right w:w="20" w:type="dxa"/>
            </w:tcMar>
            <w:vAlign w:val="bottom"/>
          </w:tcPr>
          <w:p w14:paraId="39D993BB"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93BC" w14:textId="77777777" w:rsidR="00996AD7" w:rsidRDefault="00996AD7">
            <w:pPr>
              <w:rPr>
                <w:rFonts w:ascii="宋体"/>
              </w:rPr>
            </w:pPr>
          </w:p>
        </w:tc>
        <w:tc>
          <w:tcPr>
            <w:tcW w:w="0" w:type="auto"/>
            <w:gridSpan w:val="6"/>
            <w:tcBorders>
              <w:top w:val="single" w:sz="4" w:space="0" w:color="0068B5"/>
            </w:tcBorders>
            <w:shd w:val="clear" w:color="auto" w:fill="auto"/>
            <w:tcMar>
              <w:top w:w="40" w:type="dxa"/>
              <w:left w:w="20" w:type="dxa"/>
              <w:bottom w:w="40" w:type="dxa"/>
              <w:right w:w="20" w:type="dxa"/>
            </w:tcMar>
            <w:vAlign w:val="bottom"/>
          </w:tcPr>
          <w:p w14:paraId="39D993BD" w14:textId="77777777" w:rsidR="00996AD7" w:rsidRDefault="00D96458">
            <w:pPr>
              <w:jc w:val="center"/>
              <w:textAlignment w:val="bottom"/>
            </w:pPr>
            <w:r>
              <w:rPr>
                <w:rFonts w:ascii="Arial" w:eastAsia="宋体" w:hAnsi="Arial" w:cs="Arial"/>
                <w:b/>
                <w:bCs/>
                <w:color w:val="262626"/>
                <w:sz w:val="18"/>
                <w:szCs w:val="18"/>
              </w:rPr>
              <w: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3BE"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93BF" w14:textId="77777777" w:rsidR="00996AD7" w:rsidRDefault="00D96458">
            <w:pPr>
              <w:jc w:val="center"/>
              <w:textAlignment w:val="bottom"/>
            </w:pPr>
            <w:r>
              <w:rPr>
                <w:rFonts w:ascii="Arial" w:eastAsia="宋体" w:hAnsi="Arial" w:cs="Arial"/>
                <w:b/>
                <w:bCs/>
                <w:color w:val="262626"/>
                <w:sz w:val="18"/>
                <w:szCs w:val="18"/>
              </w:rPr>
              <w:t>$ Impact</w:t>
            </w:r>
          </w:p>
        </w:tc>
        <w:tc>
          <w:tcPr>
            <w:tcW w:w="0" w:type="auto"/>
            <w:gridSpan w:val="3"/>
            <w:shd w:val="clear" w:color="auto" w:fill="auto"/>
            <w:tcMar>
              <w:top w:w="0" w:type="dxa"/>
              <w:left w:w="20" w:type="dxa"/>
              <w:bottom w:w="0" w:type="dxa"/>
              <w:right w:w="20" w:type="dxa"/>
            </w:tcMar>
            <w:vAlign w:val="bottom"/>
          </w:tcPr>
          <w:p w14:paraId="39D993C0" w14:textId="77777777" w:rsidR="00996AD7" w:rsidRDefault="00996AD7">
            <w:pPr>
              <w:rPr>
                <w:rFonts w:ascii="宋体"/>
              </w:rPr>
            </w:pPr>
          </w:p>
        </w:tc>
        <w:tc>
          <w:tcPr>
            <w:tcW w:w="0" w:type="auto"/>
            <w:gridSpan w:val="6"/>
            <w:tcBorders>
              <w:top w:val="single" w:sz="4" w:space="0" w:color="0068B5"/>
            </w:tcBorders>
            <w:shd w:val="clear" w:color="auto" w:fill="auto"/>
            <w:tcMar>
              <w:top w:w="40" w:type="dxa"/>
              <w:left w:w="20" w:type="dxa"/>
              <w:bottom w:w="40" w:type="dxa"/>
              <w:right w:w="20" w:type="dxa"/>
            </w:tcMar>
            <w:vAlign w:val="bottom"/>
          </w:tcPr>
          <w:p w14:paraId="39D993C1" w14:textId="77777777" w:rsidR="00996AD7" w:rsidRDefault="00D96458">
            <w:pPr>
              <w:jc w:val="center"/>
              <w:textAlignment w:val="bottom"/>
            </w:pPr>
            <w:r>
              <w:rPr>
                <w:rFonts w:ascii="Arial" w:eastAsia="宋体" w:hAnsi="Arial" w:cs="Arial"/>
                <w:b/>
                <w:bCs/>
                <w:color w:val="262626"/>
                <w:sz w:val="18"/>
                <w:szCs w:val="18"/>
              </w:rPr>
              <w: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3C2"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93C3" w14:textId="77777777" w:rsidR="00996AD7" w:rsidRDefault="00D96458">
            <w:pPr>
              <w:jc w:val="center"/>
              <w:textAlignment w:val="bottom"/>
            </w:pPr>
            <w:r>
              <w:rPr>
                <w:rFonts w:ascii="Arial" w:eastAsia="宋体" w:hAnsi="Arial" w:cs="Arial"/>
                <w:b/>
                <w:bCs/>
                <w:color w:val="262626"/>
                <w:sz w:val="18"/>
                <w:szCs w:val="18"/>
              </w:rPr>
              <w:t>$ Impact</w:t>
            </w:r>
          </w:p>
        </w:tc>
      </w:tr>
      <w:tr w:rsidR="00996AD7" w14:paraId="39D993D0" w14:textId="77777777">
        <w:trPr>
          <w:hidden/>
        </w:trPr>
        <w:tc>
          <w:tcPr>
            <w:tcW w:w="0" w:type="auto"/>
            <w:gridSpan w:val="3"/>
            <w:shd w:val="clear" w:color="auto" w:fill="auto"/>
            <w:vAlign w:val="bottom"/>
          </w:tcPr>
          <w:p w14:paraId="39D993C5" w14:textId="77777777" w:rsidR="00996AD7" w:rsidRDefault="00996AD7">
            <w:pPr>
              <w:rPr>
                <w:rFonts w:ascii="宋体"/>
                <w:vanish/>
              </w:rPr>
            </w:pPr>
          </w:p>
        </w:tc>
        <w:tc>
          <w:tcPr>
            <w:tcW w:w="0" w:type="auto"/>
            <w:gridSpan w:val="3"/>
            <w:shd w:val="clear" w:color="auto" w:fill="auto"/>
            <w:vAlign w:val="bottom"/>
          </w:tcPr>
          <w:p w14:paraId="39D993C6" w14:textId="77777777" w:rsidR="00996AD7" w:rsidRDefault="00996AD7">
            <w:pPr>
              <w:rPr>
                <w:rFonts w:ascii="宋体"/>
                <w:vanish/>
              </w:rPr>
            </w:pPr>
          </w:p>
        </w:tc>
        <w:tc>
          <w:tcPr>
            <w:tcW w:w="0" w:type="auto"/>
            <w:gridSpan w:val="3"/>
            <w:shd w:val="clear" w:color="auto" w:fill="auto"/>
            <w:vAlign w:val="bottom"/>
          </w:tcPr>
          <w:p w14:paraId="39D993C7" w14:textId="77777777" w:rsidR="00996AD7" w:rsidRDefault="00996AD7">
            <w:pPr>
              <w:rPr>
                <w:rFonts w:ascii="宋体"/>
                <w:vanish/>
              </w:rPr>
            </w:pPr>
          </w:p>
        </w:tc>
        <w:tc>
          <w:tcPr>
            <w:tcW w:w="0" w:type="auto"/>
            <w:gridSpan w:val="3"/>
            <w:shd w:val="clear" w:color="auto" w:fill="auto"/>
            <w:vAlign w:val="bottom"/>
          </w:tcPr>
          <w:p w14:paraId="39D993C8" w14:textId="77777777" w:rsidR="00996AD7" w:rsidRDefault="00996AD7">
            <w:pPr>
              <w:rPr>
                <w:rFonts w:ascii="宋体"/>
                <w:vanish/>
              </w:rPr>
            </w:pPr>
          </w:p>
        </w:tc>
        <w:tc>
          <w:tcPr>
            <w:tcW w:w="0" w:type="auto"/>
            <w:gridSpan w:val="3"/>
            <w:shd w:val="clear" w:color="auto" w:fill="auto"/>
            <w:vAlign w:val="bottom"/>
          </w:tcPr>
          <w:p w14:paraId="39D993C9" w14:textId="77777777" w:rsidR="00996AD7" w:rsidRDefault="00996AD7">
            <w:pPr>
              <w:rPr>
                <w:rFonts w:ascii="宋体"/>
                <w:vanish/>
              </w:rPr>
            </w:pPr>
          </w:p>
        </w:tc>
        <w:tc>
          <w:tcPr>
            <w:tcW w:w="0" w:type="auto"/>
            <w:gridSpan w:val="3"/>
            <w:shd w:val="clear" w:color="auto" w:fill="auto"/>
            <w:vAlign w:val="bottom"/>
          </w:tcPr>
          <w:p w14:paraId="39D993CA" w14:textId="77777777" w:rsidR="00996AD7" w:rsidRDefault="00996AD7">
            <w:pPr>
              <w:rPr>
                <w:rFonts w:ascii="宋体"/>
                <w:vanish/>
              </w:rPr>
            </w:pPr>
          </w:p>
        </w:tc>
        <w:tc>
          <w:tcPr>
            <w:tcW w:w="0" w:type="auto"/>
            <w:gridSpan w:val="3"/>
            <w:shd w:val="clear" w:color="auto" w:fill="auto"/>
            <w:vAlign w:val="bottom"/>
          </w:tcPr>
          <w:p w14:paraId="39D993CB" w14:textId="77777777" w:rsidR="00996AD7" w:rsidRDefault="00996AD7">
            <w:pPr>
              <w:rPr>
                <w:rFonts w:ascii="宋体"/>
                <w:vanish/>
              </w:rPr>
            </w:pPr>
          </w:p>
        </w:tc>
        <w:tc>
          <w:tcPr>
            <w:tcW w:w="0" w:type="auto"/>
            <w:gridSpan w:val="3"/>
            <w:shd w:val="clear" w:color="auto" w:fill="auto"/>
            <w:vAlign w:val="bottom"/>
          </w:tcPr>
          <w:p w14:paraId="39D993CC" w14:textId="77777777" w:rsidR="00996AD7" w:rsidRDefault="00996AD7">
            <w:pPr>
              <w:rPr>
                <w:rFonts w:ascii="宋体"/>
                <w:vanish/>
              </w:rPr>
            </w:pPr>
          </w:p>
        </w:tc>
        <w:tc>
          <w:tcPr>
            <w:tcW w:w="0" w:type="auto"/>
            <w:gridSpan w:val="3"/>
            <w:shd w:val="clear" w:color="auto" w:fill="auto"/>
            <w:vAlign w:val="bottom"/>
          </w:tcPr>
          <w:p w14:paraId="39D993CD" w14:textId="77777777" w:rsidR="00996AD7" w:rsidRDefault="00996AD7">
            <w:pPr>
              <w:rPr>
                <w:rFonts w:ascii="宋体"/>
                <w:vanish/>
              </w:rPr>
            </w:pPr>
          </w:p>
        </w:tc>
        <w:tc>
          <w:tcPr>
            <w:tcW w:w="0" w:type="auto"/>
            <w:gridSpan w:val="3"/>
            <w:shd w:val="clear" w:color="auto" w:fill="auto"/>
            <w:vAlign w:val="bottom"/>
          </w:tcPr>
          <w:p w14:paraId="39D993CE" w14:textId="77777777" w:rsidR="00996AD7" w:rsidRDefault="00996AD7">
            <w:pPr>
              <w:rPr>
                <w:rFonts w:ascii="宋体"/>
                <w:vanish/>
              </w:rPr>
            </w:pPr>
          </w:p>
        </w:tc>
        <w:tc>
          <w:tcPr>
            <w:tcW w:w="0" w:type="auto"/>
            <w:gridSpan w:val="3"/>
            <w:shd w:val="clear" w:color="auto" w:fill="auto"/>
            <w:vAlign w:val="bottom"/>
          </w:tcPr>
          <w:p w14:paraId="39D993CF" w14:textId="77777777" w:rsidR="00996AD7" w:rsidRDefault="00996AD7">
            <w:pPr>
              <w:rPr>
                <w:rFonts w:ascii="宋体"/>
                <w:vanish/>
              </w:rPr>
            </w:pPr>
          </w:p>
        </w:tc>
      </w:tr>
      <w:tr w:rsidR="00996AD7" w14:paraId="39D993E0" w14:textId="77777777">
        <w:trPr>
          <w:trHeight w:val="280"/>
        </w:trPr>
        <w:tc>
          <w:tcPr>
            <w:tcW w:w="0" w:type="auto"/>
            <w:gridSpan w:val="3"/>
            <w:tcBorders>
              <w:top w:val="single" w:sz="8" w:space="0" w:color="0068B5"/>
            </w:tcBorders>
            <w:shd w:val="clear" w:color="auto" w:fill="auto"/>
            <w:tcMar>
              <w:top w:w="40" w:type="dxa"/>
              <w:left w:w="20" w:type="dxa"/>
              <w:bottom w:w="40" w:type="dxa"/>
              <w:right w:w="20" w:type="dxa"/>
            </w:tcMar>
            <w:vAlign w:val="center"/>
          </w:tcPr>
          <w:p w14:paraId="39D993D1" w14:textId="77777777" w:rsidR="00996AD7" w:rsidRDefault="00D96458">
            <w:pPr>
              <w:textAlignment w:val="center"/>
            </w:pPr>
            <w:r>
              <w:rPr>
                <w:rFonts w:ascii="Arial" w:eastAsia="宋体" w:hAnsi="Arial" w:cs="Arial"/>
                <w:color w:val="262626"/>
                <w:sz w:val="18"/>
                <w:szCs w:val="18"/>
              </w:rPr>
              <w:t>Desktop platform volume</w:t>
            </w:r>
          </w:p>
        </w:tc>
        <w:tc>
          <w:tcPr>
            <w:tcW w:w="0" w:type="auto"/>
            <w:gridSpan w:val="3"/>
            <w:shd w:val="clear" w:color="auto" w:fill="auto"/>
            <w:tcMar>
              <w:top w:w="0" w:type="dxa"/>
              <w:left w:w="20" w:type="dxa"/>
              <w:bottom w:w="0" w:type="dxa"/>
              <w:right w:w="20" w:type="dxa"/>
            </w:tcMar>
            <w:vAlign w:val="bottom"/>
          </w:tcPr>
          <w:p w14:paraId="39D993D2" w14:textId="77777777" w:rsidR="00996AD7" w:rsidRDefault="00996AD7">
            <w:pPr>
              <w:rPr>
                <w:rFonts w:ascii="宋体"/>
              </w:rPr>
            </w:pP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39D993D3" w14:textId="77777777" w:rsidR="00996AD7" w:rsidRDefault="00D96458">
            <w:pPr>
              <w:jc w:val="right"/>
              <w:textAlignment w:val="center"/>
            </w:pPr>
            <w:r>
              <w:rPr>
                <w:rFonts w:ascii="Arial" w:eastAsia="宋体" w:hAnsi="Arial" w:cs="Arial"/>
                <w:color w:val="0068B5"/>
                <w:sz w:val="18"/>
                <w:szCs w:val="18"/>
              </w:rPr>
              <w:t>up</w:t>
            </w: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39D993D4" w14:textId="77777777" w:rsidR="00996AD7" w:rsidRDefault="00D96458">
            <w:pPr>
              <w:textAlignment w:val="center"/>
            </w:pPr>
            <w:r>
              <w:rPr>
                <w:rFonts w:ascii="Arial" w:eastAsia="宋体" w:hAnsi="Arial" w:cs="Arial"/>
                <w:color w:val="0068B5"/>
                <w:sz w:val="18"/>
                <w:szCs w:val="18"/>
              </w:rPr>
              <w:t>16%</w:t>
            </w:r>
          </w:p>
        </w:tc>
        <w:tc>
          <w:tcPr>
            <w:tcW w:w="0" w:type="auto"/>
            <w:gridSpan w:val="3"/>
            <w:shd w:val="clear" w:color="auto" w:fill="FFFFFF"/>
            <w:tcMar>
              <w:top w:w="0" w:type="dxa"/>
              <w:left w:w="20" w:type="dxa"/>
              <w:bottom w:w="0" w:type="dxa"/>
              <w:right w:w="20" w:type="dxa"/>
            </w:tcMar>
            <w:vAlign w:val="bottom"/>
          </w:tcPr>
          <w:p w14:paraId="39D993D5" w14:textId="77777777" w:rsidR="00996AD7" w:rsidRDefault="00996AD7">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center"/>
          </w:tcPr>
          <w:p w14:paraId="39D993D6" w14:textId="77777777" w:rsidR="00996AD7" w:rsidRDefault="00D96458">
            <w:pPr>
              <w:textAlignment w:val="center"/>
            </w:pPr>
            <w:r>
              <w:rPr>
                <w:rFonts w:ascii="Arial" w:eastAsia="宋体" w:hAnsi="Arial" w:cs="Arial"/>
                <w:color w:val="0068B5"/>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center"/>
          </w:tcPr>
          <w:p w14:paraId="39D993D7" w14:textId="77777777" w:rsidR="00996AD7" w:rsidRDefault="00D96458">
            <w:pPr>
              <w:jc w:val="right"/>
              <w:textAlignment w:val="center"/>
            </w:pPr>
            <w:r>
              <w:rPr>
                <w:rFonts w:ascii="Arial" w:eastAsia="宋体" w:hAnsi="Arial" w:cs="Arial"/>
                <w:color w:val="0068B5"/>
                <w:sz w:val="18"/>
                <w:szCs w:val="18"/>
              </w:rPr>
              <w:t>394 </w:t>
            </w:r>
          </w:p>
        </w:tc>
        <w:tc>
          <w:tcPr>
            <w:tcW w:w="0" w:type="auto"/>
            <w:tcBorders>
              <w:top w:val="single" w:sz="8" w:space="0" w:color="0068B5"/>
            </w:tcBorders>
            <w:shd w:val="clear" w:color="auto" w:fill="FFFFFF"/>
            <w:tcMar>
              <w:top w:w="40" w:type="dxa"/>
              <w:left w:w="0" w:type="dxa"/>
              <w:bottom w:w="40" w:type="dxa"/>
              <w:right w:w="20" w:type="dxa"/>
            </w:tcMar>
            <w:vAlign w:val="center"/>
          </w:tcPr>
          <w:p w14:paraId="39D993D8" w14:textId="77777777" w:rsidR="00996AD7" w:rsidRDefault="00996AD7">
            <w:pPr>
              <w:jc w:val="right"/>
              <w:rPr>
                <w:rFonts w:ascii="宋体"/>
              </w:rPr>
            </w:pPr>
          </w:p>
        </w:tc>
        <w:tc>
          <w:tcPr>
            <w:tcW w:w="0" w:type="auto"/>
            <w:gridSpan w:val="3"/>
            <w:shd w:val="clear" w:color="auto" w:fill="FFFFFF"/>
            <w:tcMar>
              <w:top w:w="0" w:type="dxa"/>
              <w:left w:w="20" w:type="dxa"/>
              <w:bottom w:w="0" w:type="dxa"/>
              <w:right w:w="20" w:type="dxa"/>
            </w:tcMar>
            <w:vAlign w:val="bottom"/>
          </w:tcPr>
          <w:p w14:paraId="39D993D9" w14:textId="77777777" w:rsidR="00996AD7" w:rsidRDefault="00996AD7">
            <w:pPr>
              <w:rPr>
                <w:rFonts w:ascii="宋体"/>
              </w:rPr>
            </w:pP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39D993DA" w14:textId="77777777" w:rsidR="00996AD7" w:rsidRDefault="00D96458">
            <w:pPr>
              <w:jc w:val="right"/>
              <w:textAlignment w:val="center"/>
            </w:pPr>
            <w:r>
              <w:rPr>
                <w:rFonts w:ascii="Arial" w:eastAsia="宋体" w:hAnsi="Arial" w:cs="Arial"/>
                <w:color w:val="0068B5"/>
                <w:sz w:val="18"/>
                <w:szCs w:val="18"/>
              </w:rPr>
              <w:t>up</w:t>
            </w: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39D993DB" w14:textId="77777777" w:rsidR="00996AD7" w:rsidRDefault="00D96458">
            <w:pPr>
              <w:textAlignment w:val="center"/>
            </w:pPr>
            <w:r>
              <w:rPr>
                <w:rFonts w:ascii="Arial" w:eastAsia="宋体" w:hAnsi="Arial" w:cs="Arial"/>
                <w:color w:val="0068B5"/>
                <w:sz w:val="18"/>
                <w:szCs w:val="18"/>
              </w:rPr>
              <w:t>8%</w:t>
            </w:r>
          </w:p>
        </w:tc>
        <w:tc>
          <w:tcPr>
            <w:tcW w:w="0" w:type="auto"/>
            <w:gridSpan w:val="3"/>
            <w:shd w:val="clear" w:color="auto" w:fill="FFFFFF"/>
            <w:tcMar>
              <w:top w:w="0" w:type="dxa"/>
              <w:left w:w="20" w:type="dxa"/>
              <w:bottom w:w="0" w:type="dxa"/>
              <w:right w:w="20" w:type="dxa"/>
            </w:tcMar>
            <w:vAlign w:val="bottom"/>
          </w:tcPr>
          <w:p w14:paraId="39D993DC" w14:textId="77777777" w:rsidR="00996AD7" w:rsidRDefault="00996AD7">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center"/>
          </w:tcPr>
          <w:p w14:paraId="39D993DD" w14:textId="77777777" w:rsidR="00996AD7" w:rsidRDefault="00D96458">
            <w:pPr>
              <w:textAlignment w:val="center"/>
            </w:pPr>
            <w:r>
              <w:rPr>
                <w:rFonts w:ascii="Arial" w:eastAsia="宋体" w:hAnsi="Arial" w:cs="Arial"/>
                <w:color w:val="0068B5"/>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center"/>
          </w:tcPr>
          <w:p w14:paraId="39D993DE" w14:textId="77777777" w:rsidR="00996AD7" w:rsidRDefault="00D96458">
            <w:pPr>
              <w:jc w:val="right"/>
              <w:textAlignment w:val="center"/>
            </w:pPr>
            <w:r>
              <w:rPr>
                <w:rFonts w:ascii="Arial" w:eastAsia="宋体" w:hAnsi="Arial" w:cs="Arial"/>
                <w:color w:val="0068B5"/>
                <w:sz w:val="18"/>
                <w:szCs w:val="18"/>
              </w:rPr>
              <w:t>648 </w:t>
            </w:r>
          </w:p>
        </w:tc>
        <w:tc>
          <w:tcPr>
            <w:tcW w:w="0" w:type="auto"/>
            <w:tcBorders>
              <w:top w:val="single" w:sz="8" w:space="0" w:color="0068B5"/>
            </w:tcBorders>
            <w:shd w:val="clear" w:color="auto" w:fill="FFFFFF"/>
            <w:tcMar>
              <w:top w:w="40" w:type="dxa"/>
              <w:left w:w="0" w:type="dxa"/>
              <w:bottom w:w="40" w:type="dxa"/>
              <w:right w:w="20" w:type="dxa"/>
            </w:tcMar>
            <w:vAlign w:val="center"/>
          </w:tcPr>
          <w:p w14:paraId="39D993DF" w14:textId="77777777" w:rsidR="00996AD7" w:rsidRDefault="00996AD7">
            <w:pPr>
              <w:jc w:val="right"/>
              <w:rPr>
                <w:rFonts w:ascii="宋体"/>
              </w:rPr>
            </w:pPr>
          </w:p>
        </w:tc>
      </w:tr>
      <w:tr w:rsidR="00996AD7" w14:paraId="39D993EE" w14:textId="77777777">
        <w:trPr>
          <w:trHeight w:val="280"/>
        </w:trPr>
        <w:tc>
          <w:tcPr>
            <w:tcW w:w="0" w:type="auto"/>
            <w:gridSpan w:val="3"/>
            <w:shd w:val="clear" w:color="auto" w:fill="auto"/>
            <w:tcMar>
              <w:top w:w="40" w:type="dxa"/>
              <w:left w:w="20" w:type="dxa"/>
              <w:bottom w:w="40" w:type="dxa"/>
              <w:right w:w="20" w:type="dxa"/>
            </w:tcMar>
            <w:vAlign w:val="bottom"/>
          </w:tcPr>
          <w:p w14:paraId="39D993E1" w14:textId="77777777" w:rsidR="00996AD7" w:rsidRDefault="00D96458">
            <w:pPr>
              <w:textAlignment w:val="bottom"/>
            </w:pPr>
            <w:r>
              <w:rPr>
                <w:rFonts w:ascii="Arial" w:eastAsia="宋体" w:hAnsi="Arial" w:cs="Arial"/>
                <w:color w:val="262626"/>
                <w:sz w:val="18"/>
                <w:szCs w:val="18"/>
              </w:rPr>
              <w:t>Desktop platform ASP</w:t>
            </w:r>
          </w:p>
        </w:tc>
        <w:tc>
          <w:tcPr>
            <w:tcW w:w="0" w:type="auto"/>
            <w:gridSpan w:val="3"/>
            <w:shd w:val="clear" w:color="auto" w:fill="auto"/>
            <w:tcMar>
              <w:top w:w="0" w:type="dxa"/>
              <w:left w:w="20" w:type="dxa"/>
              <w:bottom w:w="0" w:type="dxa"/>
              <w:right w:w="20" w:type="dxa"/>
            </w:tcMar>
            <w:vAlign w:val="bottom"/>
          </w:tcPr>
          <w:p w14:paraId="39D993E2" w14:textId="77777777" w:rsidR="00996AD7" w:rsidRDefault="00996AD7">
            <w:pPr>
              <w:rPr>
                <w:rFonts w:ascii="宋体"/>
              </w:rPr>
            </w:pPr>
          </w:p>
        </w:tc>
        <w:tc>
          <w:tcPr>
            <w:tcW w:w="0" w:type="auto"/>
            <w:gridSpan w:val="3"/>
            <w:shd w:val="clear" w:color="auto" w:fill="FFFFFF"/>
            <w:tcMar>
              <w:top w:w="40" w:type="dxa"/>
              <w:left w:w="20" w:type="dxa"/>
              <w:bottom w:w="40" w:type="dxa"/>
              <w:right w:w="20" w:type="dxa"/>
            </w:tcMar>
            <w:vAlign w:val="center"/>
          </w:tcPr>
          <w:p w14:paraId="39D993E3" w14:textId="77777777" w:rsidR="00996AD7" w:rsidRDefault="00D96458">
            <w:pPr>
              <w:jc w:val="right"/>
              <w:textAlignment w:val="center"/>
            </w:pPr>
            <w:r>
              <w:rPr>
                <w:rFonts w:ascii="Arial" w:eastAsia="宋体" w:hAnsi="Arial" w:cs="Arial"/>
                <w:color w:val="0068B5"/>
                <w:sz w:val="18"/>
                <w:szCs w:val="18"/>
              </w:rPr>
              <w:t>up</w:t>
            </w:r>
          </w:p>
        </w:tc>
        <w:tc>
          <w:tcPr>
            <w:tcW w:w="0" w:type="auto"/>
            <w:gridSpan w:val="3"/>
            <w:shd w:val="clear" w:color="auto" w:fill="FFFFFF"/>
            <w:tcMar>
              <w:top w:w="40" w:type="dxa"/>
              <w:left w:w="20" w:type="dxa"/>
              <w:bottom w:w="40" w:type="dxa"/>
              <w:right w:w="20" w:type="dxa"/>
            </w:tcMar>
            <w:vAlign w:val="center"/>
          </w:tcPr>
          <w:p w14:paraId="39D993E4" w14:textId="77777777" w:rsidR="00996AD7" w:rsidRDefault="00D96458">
            <w:pPr>
              <w:textAlignment w:val="center"/>
            </w:pPr>
            <w:r>
              <w:rPr>
                <w:rFonts w:ascii="Arial" w:eastAsia="宋体" w:hAnsi="Arial" w:cs="Arial"/>
                <w:color w:val="0068B5"/>
                <w:sz w:val="18"/>
                <w:szCs w:val="18"/>
              </w:rPr>
              <w:t>4%</w:t>
            </w:r>
          </w:p>
        </w:tc>
        <w:tc>
          <w:tcPr>
            <w:tcW w:w="0" w:type="auto"/>
            <w:gridSpan w:val="3"/>
            <w:shd w:val="clear" w:color="auto" w:fill="FFFFFF"/>
            <w:tcMar>
              <w:top w:w="0" w:type="dxa"/>
              <w:left w:w="20" w:type="dxa"/>
              <w:bottom w:w="0" w:type="dxa"/>
              <w:right w:w="20" w:type="dxa"/>
            </w:tcMar>
            <w:vAlign w:val="bottom"/>
          </w:tcPr>
          <w:p w14:paraId="39D993E5" w14:textId="77777777" w:rsidR="00996AD7" w:rsidRDefault="00996AD7">
            <w:pPr>
              <w:rPr>
                <w:rFonts w:ascii="宋体"/>
              </w:rPr>
            </w:pPr>
          </w:p>
        </w:tc>
        <w:tc>
          <w:tcPr>
            <w:tcW w:w="0" w:type="auto"/>
            <w:gridSpan w:val="2"/>
            <w:shd w:val="clear" w:color="auto" w:fill="FFFFFF"/>
            <w:tcMar>
              <w:top w:w="40" w:type="dxa"/>
              <w:left w:w="20" w:type="dxa"/>
              <w:bottom w:w="40" w:type="dxa"/>
              <w:right w:w="0" w:type="dxa"/>
            </w:tcMar>
            <w:vAlign w:val="center"/>
          </w:tcPr>
          <w:p w14:paraId="39D993E6" w14:textId="77777777" w:rsidR="00996AD7" w:rsidRDefault="00D96458">
            <w:pPr>
              <w:jc w:val="right"/>
              <w:textAlignment w:val="center"/>
            </w:pPr>
            <w:r>
              <w:rPr>
                <w:rFonts w:ascii="Arial" w:eastAsia="宋体" w:hAnsi="Arial" w:cs="Arial"/>
                <w:color w:val="0068B5"/>
                <w:sz w:val="18"/>
                <w:szCs w:val="18"/>
              </w:rPr>
              <w:t>106 </w:t>
            </w:r>
          </w:p>
        </w:tc>
        <w:tc>
          <w:tcPr>
            <w:tcW w:w="0" w:type="auto"/>
            <w:shd w:val="clear" w:color="auto" w:fill="FFFFFF"/>
            <w:tcMar>
              <w:top w:w="40" w:type="dxa"/>
              <w:left w:w="0" w:type="dxa"/>
              <w:bottom w:w="40" w:type="dxa"/>
              <w:right w:w="20" w:type="dxa"/>
            </w:tcMar>
            <w:vAlign w:val="center"/>
          </w:tcPr>
          <w:p w14:paraId="39D993E7" w14:textId="77777777" w:rsidR="00996AD7" w:rsidRDefault="00996AD7">
            <w:pPr>
              <w:jc w:val="right"/>
              <w:rPr>
                <w:rFonts w:ascii="宋体"/>
              </w:rPr>
            </w:pPr>
          </w:p>
        </w:tc>
        <w:tc>
          <w:tcPr>
            <w:tcW w:w="0" w:type="auto"/>
            <w:gridSpan w:val="3"/>
            <w:shd w:val="clear" w:color="auto" w:fill="FFFFFF"/>
            <w:tcMar>
              <w:top w:w="0" w:type="dxa"/>
              <w:left w:w="20" w:type="dxa"/>
              <w:bottom w:w="0" w:type="dxa"/>
              <w:right w:w="20" w:type="dxa"/>
            </w:tcMar>
            <w:vAlign w:val="bottom"/>
          </w:tcPr>
          <w:p w14:paraId="39D993E8" w14:textId="77777777" w:rsidR="00996AD7" w:rsidRDefault="00996AD7">
            <w:pPr>
              <w:rPr>
                <w:rFonts w:ascii="宋体"/>
              </w:rPr>
            </w:pPr>
          </w:p>
        </w:tc>
        <w:tc>
          <w:tcPr>
            <w:tcW w:w="0" w:type="auto"/>
            <w:gridSpan w:val="3"/>
            <w:shd w:val="clear" w:color="auto" w:fill="FFFFFF"/>
            <w:tcMar>
              <w:top w:w="40" w:type="dxa"/>
              <w:left w:w="20" w:type="dxa"/>
              <w:bottom w:w="40" w:type="dxa"/>
              <w:right w:w="20" w:type="dxa"/>
            </w:tcMar>
            <w:vAlign w:val="center"/>
          </w:tcPr>
          <w:p w14:paraId="39D993E9" w14:textId="77777777" w:rsidR="00996AD7" w:rsidRDefault="00D96458">
            <w:pPr>
              <w:jc w:val="right"/>
              <w:textAlignment w:val="center"/>
            </w:pPr>
            <w:r>
              <w:rPr>
                <w:rFonts w:ascii="Arial" w:eastAsia="宋体" w:hAnsi="Arial" w:cs="Arial"/>
                <w:color w:val="0068B5"/>
                <w:sz w:val="18"/>
                <w:szCs w:val="18"/>
              </w:rPr>
              <w:t>down</w:t>
            </w:r>
          </w:p>
        </w:tc>
        <w:tc>
          <w:tcPr>
            <w:tcW w:w="0" w:type="auto"/>
            <w:gridSpan w:val="3"/>
            <w:shd w:val="clear" w:color="auto" w:fill="FFFFFF"/>
            <w:tcMar>
              <w:top w:w="40" w:type="dxa"/>
              <w:left w:w="20" w:type="dxa"/>
              <w:bottom w:w="40" w:type="dxa"/>
              <w:right w:w="20" w:type="dxa"/>
            </w:tcMar>
            <w:vAlign w:val="center"/>
          </w:tcPr>
          <w:p w14:paraId="39D993EA" w14:textId="77777777" w:rsidR="00996AD7" w:rsidRDefault="00D96458">
            <w:pPr>
              <w:textAlignment w:val="center"/>
            </w:pPr>
            <w:r>
              <w:rPr>
                <w:rFonts w:ascii="Arial" w:eastAsia="宋体" w:hAnsi="Arial" w:cs="Arial"/>
                <w:color w:val="0068B5"/>
                <w:sz w:val="18"/>
                <w:szCs w:val="18"/>
              </w:rPr>
              <w:t>(1)%</w:t>
            </w:r>
          </w:p>
        </w:tc>
        <w:tc>
          <w:tcPr>
            <w:tcW w:w="0" w:type="auto"/>
            <w:gridSpan w:val="3"/>
            <w:shd w:val="clear" w:color="auto" w:fill="FFFFFF"/>
            <w:tcMar>
              <w:top w:w="0" w:type="dxa"/>
              <w:left w:w="20" w:type="dxa"/>
              <w:bottom w:w="0" w:type="dxa"/>
              <w:right w:w="20" w:type="dxa"/>
            </w:tcMar>
            <w:vAlign w:val="bottom"/>
          </w:tcPr>
          <w:p w14:paraId="39D993EB" w14:textId="77777777" w:rsidR="00996AD7" w:rsidRDefault="00996AD7">
            <w:pPr>
              <w:rPr>
                <w:rFonts w:ascii="宋体"/>
              </w:rPr>
            </w:pPr>
          </w:p>
        </w:tc>
        <w:tc>
          <w:tcPr>
            <w:tcW w:w="0" w:type="auto"/>
            <w:gridSpan w:val="2"/>
            <w:shd w:val="clear" w:color="auto" w:fill="FFFFFF"/>
            <w:tcMar>
              <w:top w:w="40" w:type="dxa"/>
              <w:left w:w="20" w:type="dxa"/>
              <w:bottom w:w="40" w:type="dxa"/>
              <w:right w:w="0" w:type="dxa"/>
            </w:tcMar>
            <w:vAlign w:val="center"/>
          </w:tcPr>
          <w:p w14:paraId="39D993EC" w14:textId="77777777" w:rsidR="00996AD7" w:rsidRDefault="00D96458">
            <w:pPr>
              <w:jc w:val="right"/>
              <w:textAlignment w:val="center"/>
            </w:pPr>
            <w:r>
              <w:rPr>
                <w:rFonts w:ascii="Arial" w:eastAsia="宋体" w:hAnsi="Arial" w:cs="Arial"/>
                <w:color w:val="0068B5"/>
                <w:sz w:val="18"/>
                <w:szCs w:val="18"/>
              </w:rPr>
              <w:t>(77)</w:t>
            </w:r>
          </w:p>
        </w:tc>
        <w:tc>
          <w:tcPr>
            <w:tcW w:w="0" w:type="auto"/>
            <w:shd w:val="clear" w:color="auto" w:fill="FFFFFF"/>
            <w:tcMar>
              <w:top w:w="40" w:type="dxa"/>
              <w:left w:w="0" w:type="dxa"/>
              <w:bottom w:w="40" w:type="dxa"/>
              <w:right w:w="20" w:type="dxa"/>
            </w:tcMar>
            <w:vAlign w:val="center"/>
          </w:tcPr>
          <w:p w14:paraId="39D993ED" w14:textId="77777777" w:rsidR="00996AD7" w:rsidRDefault="00996AD7">
            <w:pPr>
              <w:jc w:val="right"/>
              <w:rPr>
                <w:rFonts w:ascii="宋体"/>
              </w:rPr>
            </w:pPr>
          </w:p>
        </w:tc>
      </w:tr>
      <w:tr w:rsidR="00996AD7" w14:paraId="39D993FC" w14:textId="77777777">
        <w:trPr>
          <w:trHeight w:val="280"/>
        </w:trPr>
        <w:tc>
          <w:tcPr>
            <w:tcW w:w="0" w:type="auto"/>
            <w:gridSpan w:val="3"/>
            <w:shd w:val="clear" w:color="auto" w:fill="auto"/>
            <w:tcMar>
              <w:top w:w="40" w:type="dxa"/>
              <w:left w:w="20" w:type="dxa"/>
              <w:bottom w:w="40" w:type="dxa"/>
              <w:right w:w="20" w:type="dxa"/>
            </w:tcMar>
            <w:vAlign w:val="bottom"/>
          </w:tcPr>
          <w:p w14:paraId="39D993EF" w14:textId="77777777" w:rsidR="00996AD7" w:rsidRDefault="00D96458">
            <w:pPr>
              <w:textAlignment w:val="bottom"/>
            </w:pPr>
            <w:r>
              <w:rPr>
                <w:rFonts w:ascii="Arial" w:eastAsia="宋体" w:hAnsi="Arial" w:cs="Arial"/>
                <w:color w:val="262626"/>
                <w:sz w:val="18"/>
                <w:szCs w:val="18"/>
              </w:rPr>
              <w:t>Notebook platform volume</w:t>
            </w:r>
          </w:p>
        </w:tc>
        <w:tc>
          <w:tcPr>
            <w:tcW w:w="0" w:type="auto"/>
            <w:gridSpan w:val="3"/>
            <w:shd w:val="clear" w:color="auto" w:fill="auto"/>
            <w:tcMar>
              <w:top w:w="0" w:type="dxa"/>
              <w:left w:w="20" w:type="dxa"/>
              <w:bottom w:w="0" w:type="dxa"/>
              <w:right w:w="20" w:type="dxa"/>
            </w:tcMar>
            <w:vAlign w:val="bottom"/>
          </w:tcPr>
          <w:p w14:paraId="39D993F0" w14:textId="77777777" w:rsidR="00996AD7" w:rsidRDefault="00996AD7">
            <w:pPr>
              <w:rPr>
                <w:rFonts w:ascii="宋体"/>
              </w:rPr>
            </w:pPr>
          </w:p>
        </w:tc>
        <w:tc>
          <w:tcPr>
            <w:tcW w:w="0" w:type="auto"/>
            <w:gridSpan w:val="3"/>
            <w:shd w:val="clear" w:color="auto" w:fill="FFFFFF"/>
            <w:tcMar>
              <w:top w:w="40" w:type="dxa"/>
              <w:left w:w="20" w:type="dxa"/>
              <w:bottom w:w="40" w:type="dxa"/>
              <w:right w:w="20" w:type="dxa"/>
            </w:tcMar>
            <w:vAlign w:val="center"/>
          </w:tcPr>
          <w:p w14:paraId="39D993F1" w14:textId="77777777" w:rsidR="00996AD7" w:rsidRDefault="00D96458">
            <w:pPr>
              <w:jc w:val="right"/>
              <w:textAlignment w:val="center"/>
            </w:pPr>
            <w:r>
              <w:rPr>
                <w:rFonts w:ascii="Arial" w:eastAsia="宋体" w:hAnsi="Arial" w:cs="Arial"/>
                <w:color w:val="0068B5"/>
                <w:sz w:val="18"/>
                <w:szCs w:val="18"/>
              </w:rPr>
              <w:t>down</w:t>
            </w:r>
          </w:p>
        </w:tc>
        <w:tc>
          <w:tcPr>
            <w:tcW w:w="0" w:type="auto"/>
            <w:gridSpan w:val="3"/>
            <w:shd w:val="clear" w:color="auto" w:fill="FFFFFF"/>
            <w:tcMar>
              <w:top w:w="40" w:type="dxa"/>
              <w:left w:w="20" w:type="dxa"/>
              <w:bottom w:w="40" w:type="dxa"/>
              <w:right w:w="20" w:type="dxa"/>
            </w:tcMar>
            <w:vAlign w:val="center"/>
          </w:tcPr>
          <w:p w14:paraId="39D993F2" w14:textId="77777777" w:rsidR="00996AD7" w:rsidRDefault="00D96458">
            <w:pPr>
              <w:textAlignment w:val="center"/>
            </w:pPr>
            <w:r>
              <w:rPr>
                <w:rFonts w:ascii="Arial" w:eastAsia="宋体" w:hAnsi="Arial" w:cs="Arial"/>
                <w:color w:val="0068B5"/>
                <w:sz w:val="18"/>
                <w:szCs w:val="18"/>
              </w:rPr>
              <w:t>(14)%</w:t>
            </w:r>
          </w:p>
        </w:tc>
        <w:tc>
          <w:tcPr>
            <w:tcW w:w="0" w:type="auto"/>
            <w:gridSpan w:val="3"/>
            <w:shd w:val="clear" w:color="auto" w:fill="FFFFFF"/>
            <w:tcMar>
              <w:top w:w="0" w:type="dxa"/>
              <w:left w:w="20" w:type="dxa"/>
              <w:bottom w:w="0" w:type="dxa"/>
              <w:right w:w="20" w:type="dxa"/>
            </w:tcMar>
            <w:vAlign w:val="bottom"/>
          </w:tcPr>
          <w:p w14:paraId="39D993F3" w14:textId="77777777" w:rsidR="00996AD7" w:rsidRDefault="00996AD7">
            <w:pPr>
              <w:rPr>
                <w:rFonts w:ascii="宋体"/>
              </w:rPr>
            </w:pPr>
          </w:p>
        </w:tc>
        <w:tc>
          <w:tcPr>
            <w:tcW w:w="0" w:type="auto"/>
            <w:gridSpan w:val="2"/>
            <w:shd w:val="clear" w:color="auto" w:fill="FFFFFF"/>
            <w:tcMar>
              <w:top w:w="40" w:type="dxa"/>
              <w:left w:w="20" w:type="dxa"/>
              <w:bottom w:w="40" w:type="dxa"/>
              <w:right w:w="0" w:type="dxa"/>
            </w:tcMar>
            <w:vAlign w:val="center"/>
          </w:tcPr>
          <w:p w14:paraId="39D993F4" w14:textId="77777777" w:rsidR="00996AD7" w:rsidRDefault="00D96458">
            <w:pPr>
              <w:jc w:val="right"/>
              <w:textAlignment w:val="center"/>
            </w:pPr>
            <w:r>
              <w:rPr>
                <w:rFonts w:ascii="Arial" w:eastAsia="宋体" w:hAnsi="Arial" w:cs="Arial"/>
                <w:color w:val="0068B5"/>
                <w:sz w:val="18"/>
                <w:szCs w:val="18"/>
              </w:rPr>
              <w:t>(847)</w:t>
            </w:r>
          </w:p>
        </w:tc>
        <w:tc>
          <w:tcPr>
            <w:tcW w:w="0" w:type="auto"/>
            <w:shd w:val="clear" w:color="auto" w:fill="FFFFFF"/>
            <w:tcMar>
              <w:top w:w="40" w:type="dxa"/>
              <w:left w:w="0" w:type="dxa"/>
              <w:bottom w:w="40" w:type="dxa"/>
              <w:right w:w="20" w:type="dxa"/>
            </w:tcMar>
            <w:vAlign w:val="center"/>
          </w:tcPr>
          <w:p w14:paraId="39D993F5" w14:textId="77777777" w:rsidR="00996AD7" w:rsidRDefault="00996AD7">
            <w:pPr>
              <w:jc w:val="right"/>
              <w:rPr>
                <w:rFonts w:ascii="宋体"/>
              </w:rPr>
            </w:pPr>
          </w:p>
        </w:tc>
        <w:tc>
          <w:tcPr>
            <w:tcW w:w="0" w:type="auto"/>
            <w:gridSpan w:val="3"/>
            <w:shd w:val="clear" w:color="auto" w:fill="FFFFFF"/>
            <w:tcMar>
              <w:top w:w="0" w:type="dxa"/>
              <w:left w:w="20" w:type="dxa"/>
              <w:bottom w:w="0" w:type="dxa"/>
              <w:right w:w="20" w:type="dxa"/>
            </w:tcMar>
            <w:vAlign w:val="bottom"/>
          </w:tcPr>
          <w:p w14:paraId="39D993F6" w14:textId="77777777" w:rsidR="00996AD7" w:rsidRDefault="00996AD7">
            <w:pPr>
              <w:rPr>
                <w:rFonts w:ascii="宋体"/>
              </w:rPr>
            </w:pPr>
          </w:p>
        </w:tc>
        <w:tc>
          <w:tcPr>
            <w:tcW w:w="0" w:type="auto"/>
            <w:gridSpan w:val="3"/>
            <w:shd w:val="clear" w:color="auto" w:fill="FFFFFF"/>
            <w:tcMar>
              <w:top w:w="40" w:type="dxa"/>
              <w:left w:w="20" w:type="dxa"/>
              <w:bottom w:w="40" w:type="dxa"/>
              <w:right w:w="20" w:type="dxa"/>
            </w:tcMar>
            <w:vAlign w:val="center"/>
          </w:tcPr>
          <w:p w14:paraId="39D993F7" w14:textId="77777777" w:rsidR="00996AD7" w:rsidRDefault="00D96458">
            <w:pPr>
              <w:jc w:val="right"/>
              <w:textAlignment w:val="center"/>
            </w:pPr>
            <w:r>
              <w:rPr>
                <w:rFonts w:ascii="Arial" w:eastAsia="宋体" w:hAnsi="Arial" w:cs="Arial"/>
                <w:color w:val="0068B5"/>
                <w:sz w:val="18"/>
                <w:szCs w:val="18"/>
              </w:rPr>
              <w:t>up</w:t>
            </w:r>
          </w:p>
        </w:tc>
        <w:tc>
          <w:tcPr>
            <w:tcW w:w="0" w:type="auto"/>
            <w:gridSpan w:val="3"/>
            <w:shd w:val="clear" w:color="auto" w:fill="FFFFFF"/>
            <w:tcMar>
              <w:top w:w="40" w:type="dxa"/>
              <w:left w:w="20" w:type="dxa"/>
              <w:bottom w:w="40" w:type="dxa"/>
              <w:right w:w="20" w:type="dxa"/>
            </w:tcMar>
            <w:vAlign w:val="center"/>
          </w:tcPr>
          <w:p w14:paraId="39D993F8" w14:textId="77777777" w:rsidR="00996AD7" w:rsidRDefault="00D96458">
            <w:pPr>
              <w:textAlignment w:val="center"/>
            </w:pPr>
            <w:r>
              <w:rPr>
                <w:rFonts w:ascii="Arial" w:eastAsia="宋体" w:hAnsi="Arial" w:cs="Arial"/>
                <w:color w:val="0068B5"/>
                <w:sz w:val="18"/>
                <w:szCs w:val="18"/>
              </w:rPr>
              <w:t>24%</w:t>
            </w:r>
          </w:p>
        </w:tc>
        <w:tc>
          <w:tcPr>
            <w:tcW w:w="0" w:type="auto"/>
            <w:gridSpan w:val="3"/>
            <w:shd w:val="clear" w:color="auto" w:fill="FFFFFF"/>
            <w:tcMar>
              <w:top w:w="0" w:type="dxa"/>
              <w:left w:w="20" w:type="dxa"/>
              <w:bottom w:w="0" w:type="dxa"/>
              <w:right w:w="20" w:type="dxa"/>
            </w:tcMar>
            <w:vAlign w:val="bottom"/>
          </w:tcPr>
          <w:p w14:paraId="39D993F9" w14:textId="77777777" w:rsidR="00996AD7" w:rsidRDefault="00996AD7">
            <w:pPr>
              <w:rPr>
                <w:rFonts w:ascii="宋体"/>
              </w:rPr>
            </w:pPr>
          </w:p>
        </w:tc>
        <w:tc>
          <w:tcPr>
            <w:tcW w:w="0" w:type="auto"/>
            <w:gridSpan w:val="2"/>
            <w:shd w:val="clear" w:color="auto" w:fill="FFFFFF"/>
            <w:tcMar>
              <w:top w:w="40" w:type="dxa"/>
              <w:left w:w="20" w:type="dxa"/>
              <w:bottom w:w="40" w:type="dxa"/>
              <w:right w:w="0" w:type="dxa"/>
            </w:tcMar>
            <w:vAlign w:val="center"/>
          </w:tcPr>
          <w:p w14:paraId="39D993FA" w14:textId="77777777" w:rsidR="00996AD7" w:rsidRDefault="00D96458">
            <w:pPr>
              <w:jc w:val="right"/>
              <w:textAlignment w:val="center"/>
            </w:pPr>
            <w:r>
              <w:rPr>
                <w:rFonts w:ascii="Arial" w:eastAsia="宋体" w:hAnsi="Arial" w:cs="Arial"/>
                <w:color w:val="0068B5"/>
                <w:sz w:val="18"/>
                <w:szCs w:val="18"/>
              </w:rPr>
              <w:t>4,364 </w:t>
            </w:r>
          </w:p>
        </w:tc>
        <w:tc>
          <w:tcPr>
            <w:tcW w:w="0" w:type="auto"/>
            <w:shd w:val="clear" w:color="auto" w:fill="FFFFFF"/>
            <w:tcMar>
              <w:top w:w="40" w:type="dxa"/>
              <w:left w:w="0" w:type="dxa"/>
              <w:bottom w:w="40" w:type="dxa"/>
              <w:right w:w="20" w:type="dxa"/>
            </w:tcMar>
            <w:vAlign w:val="center"/>
          </w:tcPr>
          <w:p w14:paraId="39D993FB" w14:textId="77777777" w:rsidR="00996AD7" w:rsidRDefault="00996AD7">
            <w:pPr>
              <w:jc w:val="right"/>
              <w:rPr>
                <w:rFonts w:ascii="宋体"/>
              </w:rPr>
            </w:pPr>
          </w:p>
        </w:tc>
      </w:tr>
      <w:tr w:rsidR="00996AD7" w14:paraId="39D9940A" w14:textId="77777777">
        <w:trPr>
          <w:trHeight w:val="280"/>
        </w:trPr>
        <w:tc>
          <w:tcPr>
            <w:tcW w:w="0" w:type="auto"/>
            <w:gridSpan w:val="3"/>
            <w:shd w:val="clear" w:color="auto" w:fill="auto"/>
            <w:tcMar>
              <w:top w:w="40" w:type="dxa"/>
              <w:left w:w="20" w:type="dxa"/>
              <w:bottom w:w="40" w:type="dxa"/>
              <w:right w:w="20" w:type="dxa"/>
            </w:tcMar>
            <w:vAlign w:val="bottom"/>
          </w:tcPr>
          <w:p w14:paraId="39D993FD" w14:textId="77777777" w:rsidR="00996AD7" w:rsidRDefault="00D96458">
            <w:pPr>
              <w:textAlignment w:val="bottom"/>
            </w:pPr>
            <w:r>
              <w:rPr>
                <w:rFonts w:ascii="Arial" w:eastAsia="宋体" w:hAnsi="Arial" w:cs="Arial"/>
                <w:color w:val="262626"/>
                <w:sz w:val="18"/>
                <w:szCs w:val="18"/>
              </w:rPr>
              <w:t>Notebook platform ASP</w:t>
            </w:r>
          </w:p>
        </w:tc>
        <w:tc>
          <w:tcPr>
            <w:tcW w:w="0" w:type="auto"/>
            <w:gridSpan w:val="3"/>
            <w:shd w:val="clear" w:color="auto" w:fill="auto"/>
            <w:tcMar>
              <w:top w:w="0" w:type="dxa"/>
              <w:left w:w="20" w:type="dxa"/>
              <w:bottom w:w="0" w:type="dxa"/>
              <w:right w:w="20" w:type="dxa"/>
            </w:tcMar>
            <w:vAlign w:val="bottom"/>
          </w:tcPr>
          <w:p w14:paraId="39D993FE" w14:textId="77777777" w:rsidR="00996AD7" w:rsidRDefault="00996AD7">
            <w:pPr>
              <w:rPr>
                <w:rFonts w:ascii="宋体"/>
              </w:rPr>
            </w:pPr>
          </w:p>
        </w:tc>
        <w:tc>
          <w:tcPr>
            <w:tcW w:w="0" w:type="auto"/>
            <w:gridSpan w:val="3"/>
            <w:shd w:val="clear" w:color="auto" w:fill="FFFFFF"/>
            <w:tcMar>
              <w:top w:w="40" w:type="dxa"/>
              <w:left w:w="20" w:type="dxa"/>
              <w:bottom w:w="40" w:type="dxa"/>
              <w:right w:w="20" w:type="dxa"/>
            </w:tcMar>
            <w:vAlign w:val="center"/>
          </w:tcPr>
          <w:p w14:paraId="39D993FF" w14:textId="77777777" w:rsidR="00996AD7" w:rsidRDefault="00D96458">
            <w:pPr>
              <w:jc w:val="right"/>
              <w:textAlignment w:val="center"/>
            </w:pPr>
            <w:r>
              <w:rPr>
                <w:rFonts w:ascii="Arial" w:eastAsia="宋体" w:hAnsi="Arial" w:cs="Arial"/>
                <w:color w:val="0068B5"/>
                <w:sz w:val="18"/>
                <w:szCs w:val="18"/>
              </w:rPr>
              <w:t>up</w:t>
            </w:r>
          </w:p>
        </w:tc>
        <w:tc>
          <w:tcPr>
            <w:tcW w:w="0" w:type="auto"/>
            <w:gridSpan w:val="3"/>
            <w:shd w:val="clear" w:color="auto" w:fill="FFFFFF"/>
            <w:tcMar>
              <w:top w:w="40" w:type="dxa"/>
              <w:left w:w="20" w:type="dxa"/>
              <w:bottom w:w="40" w:type="dxa"/>
              <w:right w:w="20" w:type="dxa"/>
            </w:tcMar>
            <w:vAlign w:val="center"/>
          </w:tcPr>
          <w:p w14:paraId="39D99400" w14:textId="77777777" w:rsidR="00996AD7" w:rsidRDefault="00D96458">
            <w:pPr>
              <w:textAlignment w:val="center"/>
            </w:pPr>
            <w:r>
              <w:rPr>
                <w:rFonts w:ascii="Arial" w:eastAsia="宋体" w:hAnsi="Arial" w:cs="Arial"/>
                <w:color w:val="0068B5"/>
                <w:sz w:val="18"/>
                <w:szCs w:val="18"/>
              </w:rPr>
              <w:t>10%</w:t>
            </w:r>
          </w:p>
        </w:tc>
        <w:tc>
          <w:tcPr>
            <w:tcW w:w="0" w:type="auto"/>
            <w:gridSpan w:val="3"/>
            <w:shd w:val="clear" w:color="auto" w:fill="FFFFFF"/>
            <w:tcMar>
              <w:top w:w="0" w:type="dxa"/>
              <w:left w:w="20" w:type="dxa"/>
              <w:bottom w:w="0" w:type="dxa"/>
              <w:right w:w="20" w:type="dxa"/>
            </w:tcMar>
            <w:vAlign w:val="bottom"/>
          </w:tcPr>
          <w:p w14:paraId="39D99401" w14:textId="77777777" w:rsidR="00996AD7" w:rsidRDefault="00996AD7">
            <w:pPr>
              <w:rPr>
                <w:rFonts w:ascii="宋体"/>
              </w:rPr>
            </w:pPr>
          </w:p>
        </w:tc>
        <w:tc>
          <w:tcPr>
            <w:tcW w:w="0" w:type="auto"/>
            <w:gridSpan w:val="2"/>
            <w:shd w:val="clear" w:color="auto" w:fill="FFFFFF"/>
            <w:tcMar>
              <w:top w:w="40" w:type="dxa"/>
              <w:left w:w="20" w:type="dxa"/>
              <w:bottom w:w="40" w:type="dxa"/>
              <w:right w:w="0" w:type="dxa"/>
            </w:tcMar>
            <w:vAlign w:val="center"/>
          </w:tcPr>
          <w:p w14:paraId="39D99402" w14:textId="77777777" w:rsidR="00996AD7" w:rsidRDefault="00D96458">
            <w:pPr>
              <w:jc w:val="right"/>
              <w:textAlignment w:val="center"/>
            </w:pPr>
            <w:r>
              <w:rPr>
                <w:rFonts w:ascii="Arial" w:eastAsia="宋体" w:hAnsi="Arial" w:cs="Arial"/>
                <w:color w:val="0068B5"/>
                <w:sz w:val="18"/>
                <w:szCs w:val="18"/>
              </w:rPr>
              <w:t>525 </w:t>
            </w:r>
          </w:p>
        </w:tc>
        <w:tc>
          <w:tcPr>
            <w:tcW w:w="0" w:type="auto"/>
            <w:shd w:val="clear" w:color="auto" w:fill="FFFFFF"/>
            <w:tcMar>
              <w:top w:w="40" w:type="dxa"/>
              <w:left w:w="0" w:type="dxa"/>
              <w:bottom w:w="40" w:type="dxa"/>
              <w:right w:w="20" w:type="dxa"/>
            </w:tcMar>
            <w:vAlign w:val="center"/>
          </w:tcPr>
          <w:p w14:paraId="39D99403" w14:textId="77777777" w:rsidR="00996AD7" w:rsidRDefault="00996AD7">
            <w:pPr>
              <w:jc w:val="right"/>
              <w:rPr>
                <w:rFonts w:ascii="宋体"/>
              </w:rPr>
            </w:pPr>
          </w:p>
        </w:tc>
        <w:tc>
          <w:tcPr>
            <w:tcW w:w="0" w:type="auto"/>
            <w:gridSpan w:val="3"/>
            <w:shd w:val="clear" w:color="auto" w:fill="FFFFFF"/>
            <w:tcMar>
              <w:top w:w="0" w:type="dxa"/>
              <w:left w:w="20" w:type="dxa"/>
              <w:bottom w:w="0" w:type="dxa"/>
              <w:right w:w="20" w:type="dxa"/>
            </w:tcMar>
            <w:vAlign w:val="bottom"/>
          </w:tcPr>
          <w:p w14:paraId="39D99404" w14:textId="77777777" w:rsidR="00996AD7" w:rsidRDefault="00996AD7">
            <w:pPr>
              <w:rPr>
                <w:rFonts w:ascii="宋体"/>
              </w:rPr>
            </w:pPr>
          </w:p>
        </w:tc>
        <w:tc>
          <w:tcPr>
            <w:tcW w:w="0" w:type="auto"/>
            <w:gridSpan w:val="3"/>
            <w:shd w:val="clear" w:color="auto" w:fill="FFFFFF"/>
            <w:tcMar>
              <w:top w:w="40" w:type="dxa"/>
              <w:left w:w="20" w:type="dxa"/>
              <w:bottom w:w="40" w:type="dxa"/>
              <w:right w:w="20" w:type="dxa"/>
            </w:tcMar>
            <w:vAlign w:val="center"/>
          </w:tcPr>
          <w:p w14:paraId="39D99405" w14:textId="77777777" w:rsidR="00996AD7" w:rsidRDefault="00D96458">
            <w:pPr>
              <w:jc w:val="right"/>
              <w:textAlignment w:val="center"/>
            </w:pPr>
            <w:r>
              <w:rPr>
                <w:rFonts w:ascii="Arial" w:eastAsia="宋体" w:hAnsi="Arial" w:cs="Arial"/>
                <w:color w:val="0068B5"/>
                <w:sz w:val="18"/>
                <w:szCs w:val="18"/>
              </w:rPr>
              <w:t>down</w:t>
            </w:r>
          </w:p>
        </w:tc>
        <w:tc>
          <w:tcPr>
            <w:tcW w:w="0" w:type="auto"/>
            <w:gridSpan w:val="3"/>
            <w:shd w:val="clear" w:color="auto" w:fill="FFFFFF"/>
            <w:tcMar>
              <w:top w:w="40" w:type="dxa"/>
              <w:left w:w="20" w:type="dxa"/>
              <w:bottom w:w="40" w:type="dxa"/>
              <w:right w:w="20" w:type="dxa"/>
            </w:tcMar>
            <w:vAlign w:val="center"/>
          </w:tcPr>
          <w:p w14:paraId="39D99406" w14:textId="77777777" w:rsidR="00996AD7" w:rsidRDefault="00D96458">
            <w:pPr>
              <w:textAlignment w:val="center"/>
            </w:pPr>
            <w:r>
              <w:rPr>
                <w:rFonts w:ascii="Arial" w:eastAsia="宋体" w:hAnsi="Arial" w:cs="Arial"/>
                <w:color w:val="0068B5"/>
                <w:sz w:val="18"/>
                <w:szCs w:val="18"/>
              </w:rPr>
              <w:t>(12)%</w:t>
            </w:r>
          </w:p>
        </w:tc>
        <w:tc>
          <w:tcPr>
            <w:tcW w:w="0" w:type="auto"/>
            <w:gridSpan w:val="3"/>
            <w:shd w:val="clear" w:color="auto" w:fill="FFFFFF"/>
            <w:tcMar>
              <w:top w:w="0" w:type="dxa"/>
              <w:left w:w="20" w:type="dxa"/>
              <w:bottom w:w="0" w:type="dxa"/>
              <w:right w:w="20" w:type="dxa"/>
            </w:tcMar>
            <w:vAlign w:val="bottom"/>
          </w:tcPr>
          <w:p w14:paraId="39D99407" w14:textId="77777777" w:rsidR="00996AD7" w:rsidRDefault="00996AD7">
            <w:pPr>
              <w:rPr>
                <w:rFonts w:ascii="宋体"/>
              </w:rPr>
            </w:pPr>
          </w:p>
        </w:tc>
        <w:tc>
          <w:tcPr>
            <w:tcW w:w="0" w:type="auto"/>
            <w:gridSpan w:val="2"/>
            <w:shd w:val="clear" w:color="auto" w:fill="FFFFFF"/>
            <w:tcMar>
              <w:top w:w="40" w:type="dxa"/>
              <w:left w:w="20" w:type="dxa"/>
              <w:bottom w:w="40" w:type="dxa"/>
              <w:right w:w="0" w:type="dxa"/>
            </w:tcMar>
            <w:vAlign w:val="center"/>
          </w:tcPr>
          <w:p w14:paraId="39D99408" w14:textId="77777777" w:rsidR="00996AD7" w:rsidRDefault="00D96458">
            <w:pPr>
              <w:jc w:val="right"/>
              <w:textAlignment w:val="center"/>
            </w:pPr>
            <w:r>
              <w:rPr>
                <w:rFonts w:ascii="Arial" w:eastAsia="宋体" w:hAnsi="Arial" w:cs="Arial"/>
                <w:color w:val="0068B5"/>
                <w:sz w:val="18"/>
                <w:szCs w:val="18"/>
              </w:rPr>
              <w:t>(2,685)</w:t>
            </w:r>
          </w:p>
        </w:tc>
        <w:tc>
          <w:tcPr>
            <w:tcW w:w="0" w:type="auto"/>
            <w:shd w:val="clear" w:color="auto" w:fill="FFFFFF"/>
            <w:tcMar>
              <w:top w:w="40" w:type="dxa"/>
              <w:left w:w="0" w:type="dxa"/>
              <w:bottom w:w="40" w:type="dxa"/>
              <w:right w:w="20" w:type="dxa"/>
            </w:tcMar>
            <w:vAlign w:val="center"/>
          </w:tcPr>
          <w:p w14:paraId="39D99409" w14:textId="77777777" w:rsidR="00996AD7" w:rsidRDefault="00996AD7">
            <w:pPr>
              <w:jc w:val="right"/>
              <w:rPr>
                <w:rFonts w:ascii="宋体"/>
              </w:rPr>
            </w:pPr>
          </w:p>
        </w:tc>
      </w:tr>
      <w:tr w:rsidR="00996AD7" w14:paraId="39D99418" w14:textId="77777777">
        <w:trPr>
          <w:trHeight w:val="280"/>
        </w:trPr>
        <w:tc>
          <w:tcPr>
            <w:tcW w:w="0" w:type="auto"/>
            <w:gridSpan w:val="3"/>
            <w:shd w:val="clear" w:color="auto" w:fill="auto"/>
            <w:tcMar>
              <w:top w:w="40" w:type="dxa"/>
              <w:left w:w="20" w:type="dxa"/>
              <w:bottom w:w="40" w:type="dxa"/>
              <w:right w:w="20" w:type="dxa"/>
            </w:tcMar>
            <w:vAlign w:val="bottom"/>
          </w:tcPr>
          <w:p w14:paraId="39D9940B" w14:textId="77777777" w:rsidR="00996AD7" w:rsidRDefault="00D96458">
            <w:pPr>
              <w:textAlignment w:val="bottom"/>
            </w:pPr>
            <w:r>
              <w:rPr>
                <w:rFonts w:ascii="Arial" w:eastAsia="宋体" w:hAnsi="Arial" w:cs="Arial"/>
                <w:color w:val="262626"/>
                <w:sz w:val="18"/>
                <w:szCs w:val="18"/>
              </w:rPr>
              <w:t>Adjacent products and other</w:t>
            </w:r>
          </w:p>
        </w:tc>
        <w:tc>
          <w:tcPr>
            <w:tcW w:w="0" w:type="auto"/>
            <w:gridSpan w:val="3"/>
            <w:shd w:val="clear" w:color="auto" w:fill="auto"/>
            <w:tcMar>
              <w:top w:w="0" w:type="dxa"/>
              <w:left w:w="20" w:type="dxa"/>
              <w:bottom w:w="0" w:type="dxa"/>
              <w:right w:w="20" w:type="dxa"/>
            </w:tcMar>
            <w:vAlign w:val="bottom"/>
          </w:tcPr>
          <w:p w14:paraId="39D9940C"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40D"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40E"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40F" w14:textId="77777777" w:rsidR="00996AD7" w:rsidRDefault="00996AD7">
            <w:pPr>
              <w:rPr>
                <w:rFonts w:ascii="宋体"/>
              </w:rPr>
            </w:pPr>
          </w:p>
        </w:tc>
        <w:tc>
          <w:tcPr>
            <w:tcW w:w="0" w:type="auto"/>
            <w:gridSpan w:val="2"/>
            <w:shd w:val="clear" w:color="auto" w:fill="FFFFFF"/>
            <w:tcMar>
              <w:top w:w="40" w:type="dxa"/>
              <w:left w:w="20" w:type="dxa"/>
              <w:bottom w:w="40" w:type="dxa"/>
              <w:right w:w="0" w:type="dxa"/>
            </w:tcMar>
            <w:vAlign w:val="center"/>
          </w:tcPr>
          <w:p w14:paraId="39D99410" w14:textId="77777777" w:rsidR="00996AD7" w:rsidRDefault="00D96458">
            <w:pPr>
              <w:jc w:val="right"/>
              <w:textAlignment w:val="center"/>
            </w:pPr>
            <w:r>
              <w:rPr>
                <w:rFonts w:ascii="Arial" w:eastAsia="宋体" w:hAnsi="Arial" w:cs="Arial"/>
                <w:color w:val="0068B5"/>
                <w:sz w:val="18"/>
                <w:szCs w:val="18"/>
              </w:rPr>
              <w:t>(361)</w:t>
            </w:r>
          </w:p>
        </w:tc>
        <w:tc>
          <w:tcPr>
            <w:tcW w:w="0" w:type="auto"/>
            <w:shd w:val="clear" w:color="auto" w:fill="FFFFFF"/>
            <w:tcMar>
              <w:top w:w="40" w:type="dxa"/>
              <w:left w:w="0" w:type="dxa"/>
              <w:bottom w:w="40" w:type="dxa"/>
              <w:right w:w="20" w:type="dxa"/>
            </w:tcMar>
            <w:vAlign w:val="center"/>
          </w:tcPr>
          <w:p w14:paraId="39D99411" w14:textId="77777777" w:rsidR="00996AD7" w:rsidRDefault="00996AD7">
            <w:pPr>
              <w:jc w:val="right"/>
              <w:rPr>
                <w:rFonts w:ascii="宋体"/>
              </w:rPr>
            </w:pPr>
          </w:p>
        </w:tc>
        <w:tc>
          <w:tcPr>
            <w:tcW w:w="0" w:type="auto"/>
            <w:gridSpan w:val="3"/>
            <w:shd w:val="clear" w:color="auto" w:fill="FFFFFF"/>
            <w:tcMar>
              <w:top w:w="0" w:type="dxa"/>
              <w:left w:w="20" w:type="dxa"/>
              <w:bottom w:w="0" w:type="dxa"/>
              <w:right w:w="20" w:type="dxa"/>
            </w:tcMar>
            <w:vAlign w:val="bottom"/>
          </w:tcPr>
          <w:p w14:paraId="39D99412"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413"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414"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415" w14:textId="77777777" w:rsidR="00996AD7" w:rsidRDefault="00996AD7">
            <w:pPr>
              <w:rPr>
                <w:rFonts w:ascii="宋体"/>
              </w:rPr>
            </w:pPr>
          </w:p>
        </w:tc>
        <w:tc>
          <w:tcPr>
            <w:tcW w:w="0" w:type="auto"/>
            <w:gridSpan w:val="2"/>
            <w:shd w:val="clear" w:color="auto" w:fill="FFFFFF"/>
            <w:tcMar>
              <w:top w:w="40" w:type="dxa"/>
              <w:left w:w="20" w:type="dxa"/>
              <w:bottom w:w="40" w:type="dxa"/>
              <w:right w:w="0" w:type="dxa"/>
            </w:tcMar>
            <w:vAlign w:val="center"/>
          </w:tcPr>
          <w:p w14:paraId="39D99416" w14:textId="77777777" w:rsidR="00996AD7" w:rsidRDefault="00D96458">
            <w:pPr>
              <w:jc w:val="right"/>
              <w:textAlignment w:val="center"/>
            </w:pPr>
            <w:r>
              <w:rPr>
                <w:rFonts w:ascii="Arial" w:eastAsia="宋体" w:hAnsi="Arial" w:cs="Arial"/>
                <w:color w:val="0068B5"/>
                <w:sz w:val="18"/>
                <w:szCs w:val="18"/>
              </w:rPr>
              <w:t>(990)</w:t>
            </w:r>
          </w:p>
        </w:tc>
        <w:tc>
          <w:tcPr>
            <w:tcW w:w="0" w:type="auto"/>
            <w:shd w:val="clear" w:color="auto" w:fill="FFFFFF"/>
            <w:tcMar>
              <w:top w:w="40" w:type="dxa"/>
              <w:left w:w="0" w:type="dxa"/>
              <w:bottom w:w="40" w:type="dxa"/>
              <w:right w:w="20" w:type="dxa"/>
            </w:tcMar>
            <w:vAlign w:val="center"/>
          </w:tcPr>
          <w:p w14:paraId="39D99417" w14:textId="77777777" w:rsidR="00996AD7" w:rsidRDefault="00996AD7">
            <w:pPr>
              <w:jc w:val="right"/>
              <w:rPr>
                <w:rFonts w:ascii="宋体"/>
              </w:rPr>
            </w:pPr>
          </w:p>
        </w:tc>
      </w:tr>
      <w:tr w:rsidR="00996AD7" w14:paraId="39D99424" w14:textId="77777777">
        <w:trPr>
          <w:hidden/>
        </w:trPr>
        <w:tc>
          <w:tcPr>
            <w:tcW w:w="0" w:type="auto"/>
            <w:gridSpan w:val="3"/>
            <w:shd w:val="clear" w:color="auto" w:fill="auto"/>
            <w:vAlign w:val="bottom"/>
          </w:tcPr>
          <w:p w14:paraId="39D99419" w14:textId="77777777" w:rsidR="00996AD7" w:rsidRDefault="00996AD7">
            <w:pPr>
              <w:rPr>
                <w:rFonts w:ascii="宋体"/>
                <w:vanish/>
              </w:rPr>
            </w:pPr>
          </w:p>
        </w:tc>
        <w:tc>
          <w:tcPr>
            <w:tcW w:w="0" w:type="auto"/>
            <w:gridSpan w:val="3"/>
            <w:shd w:val="clear" w:color="auto" w:fill="auto"/>
            <w:vAlign w:val="bottom"/>
          </w:tcPr>
          <w:p w14:paraId="39D9941A" w14:textId="77777777" w:rsidR="00996AD7" w:rsidRDefault="00996AD7">
            <w:pPr>
              <w:rPr>
                <w:rFonts w:ascii="宋体"/>
                <w:vanish/>
              </w:rPr>
            </w:pPr>
          </w:p>
        </w:tc>
        <w:tc>
          <w:tcPr>
            <w:tcW w:w="0" w:type="auto"/>
            <w:gridSpan w:val="3"/>
            <w:shd w:val="clear" w:color="auto" w:fill="auto"/>
            <w:vAlign w:val="bottom"/>
          </w:tcPr>
          <w:p w14:paraId="39D9941B" w14:textId="77777777" w:rsidR="00996AD7" w:rsidRDefault="00996AD7">
            <w:pPr>
              <w:rPr>
                <w:rFonts w:ascii="宋体"/>
                <w:vanish/>
              </w:rPr>
            </w:pPr>
          </w:p>
        </w:tc>
        <w:tc>
          <w:tcPr>
            <w:tcW w:w="0" w:type="auto"/>
            <w:gridSpan w:val="3"/>
            <w:shd w:val="clear" w:color="auto" w:fill="auto"/>
            <w:vAlign w:val="bottom"/>
          </w:tcPr>
          <w:p w14:paraId="39D9941C" w14:textId="77777777" w:rsidR="00996AD7" w:rsidRDefault="00996AD7">
            <w:pPr>
              <w:rPr>
                <w:rFonts w:ascii="宋体"/>
                <w:vanish/>
              </w:rPr>
            </w:pPr>
          </w:p>
        </w:tc>
        <w:tc>
          <w:tcPr>
            <w:tcW w:w="0" w:type="auto"/>
            <w:gridSpan w:val="3"/>
            <w:shd w:val="clear" w:color="auto" w:fill="auto"/>
            <w:vAlign w:val="bottom"/>
          </w:tcPr>
          <w:p w14:paraId="39D9941D" w14:textId="77777777" w:rsidR="00996AD7" w:rsidRDefault="00996AD7">
            <w:pPr>
              <w:rPr>
                <w:rFonts w:ascii="宋体"/>
                <w:vanish/>
              </w:rPr>
            </w:pPr>
          </w:p>
        </w:tc>
        <w:tc>
          <w:tcPr>
            <w:tcW w:w="0" w:type="auto"/>
            <w:gridSpan w:val="3"/>
            <w:shd w:val="clear" w:color="auto" w:fill="auto"/>
            <w:vAlign w:val="bottom"/>
          </w:tcPr>
          <w:p w14:paraId="39D9941E" w14:textId="77777777" w:rsidR="00996AD7" w:rsidRDefault="00996AD7">
            <w:pPr>
              <w:rPr>
                <w:rFonts w:ascii="宋体"/>
                <w:vanish/>
              </w:rPr>
            </w:pPr>
          </w:p>
        </w:tc>
        <w:tc>
          <w:tcPr>
            <w:tcW w:w="0" w:type="auto"/>
            <w:gridSpan w:val="3"/>
            <w:shd w:val="clear" w:color="auto" w:fill="auto"/>
            <w:vAlign w:val="bottom"/>
          </w:tcPr>
          <w:p w14:paraId="39D9941F" w14:textId="77777777" w:rsidR="00996AD7" w:rsidRDefault="00996AD7">
            <w:pPr>
              <w:rPr>
                <w:rFonts w:ascii="宋体"/>
                <w:vanish/>
              </w:rPr>
            </w:pPr>
          </w:p>
        </w:tc>
        <w:tc>
          <w:tcPr>
            <w:tcW w:w="0" w:type="auto"/>
            <w:gridSpan w:val="3"/>
            <w:shd w:val="clear" w:color="auto" w:fill="auto"/>
            <w:vAlign w:val="bottom"/>
          </w:tcPr>
          <w:p w14:paraId="39D99420" w14:textId="77777777" w:rsidR="00996AD7" w:rsidRDefault="00996AD7">
            <w:pPr>
              <w:rPr>
                <w:rFonts w:ascii="宋体"/>
                <w:vanish/>
              </w:rPr>
            </w:pPr>
          </w:p>
        </w:tc>
        <w:tc>
          <w:tcPr>
            <w:tcW w:w="0" w:type="auto"/>
            <w:gridSpan w:val="3"/>
            <w:shd w:val="clear" w:color="auto" w:fill="auto"/>
            <w:vAlign w:val="bottom"/>
          </w:tcPr>
          <w:p w14:paraId="39D99421" w14:textId="77777777" w:rsidR="00996AD7" w:rsidRDefault="00996AD7">
            <w:pPr>
              <w:rPr>
                <w:rFonts w:ascii="宋体"/>
                <w:vanish/>
              </w:rPr>
            </w:pPr>
          </w:p>
        </w:tc>
        <w:tc>
          <w:tcPr>
            <w:tcW w:w="0" w:type="auto"/>
            <w:gridSpan w:val="3"/>
            <w:shd w:val="clear" w:color="auto" w:fill="auto"/>
            <w:vAlign w:val="bottom"/>
          </w:tcPr>
          <w:p w14:paraId="39D99422" w14:textId="77777777" w:rsidR="00996AD7" w:rsidRDefault="00996AD7">
            <w:pPr>
              <w:rPr>
                <w:rFonts w:ascii="宋体"/>
                <w:vanish/>
              </w:rPr>
            </w:pPr>
          </w:p>
        </w:tc>
        <w:tc>
          <w:tcPr>
            <w:tcW w:w="0" w:type="auto"/>
            <w:gridSpan w:val="3"/>
            <w:shd w:val="clear" w:color="auto" w:fill="auto"/>
            <w:vAlign w:val="bottom"/>
          </w:tcPr>
          <w:p w14:paraId="39D99423" w14:textId="77777777" w:rsidR="00996AD7" w:rsidRDefault="00996AD7">
            <w:pPr>
              <w:rPr>
                <w:rFonts w:ascii="宋体"/>
                <w:vanish/>
              </w:rPr>
            </w:pPr>
          </w:p>
        </w:tc>
      </w:tr>
      <w:tr w:rsidR="00996AD7" w14:paraId="39D99434" w14:textId="77777777">
        <w:trPr>
          <w:trHeight w:val="280"/>
        </w:trPr>
        <w:tc>
          <w:tcPr>
            <w:tcW w:w="0" w:type="auto"/>
            <w:gridSpan w:val="3"/>
            <w:shd w:val="clear" w:color="auto" w:fill="auto"/>
            <w:tcMar>
              <w:top w:w="40" w:type="dxa"/>
              <w:left w:w="20" w:type="dxa"/>
              <w:bottom w:w="40" w:type="dxa"/>
              <w:right w:w="20" w:type="dxa"/>
            </w:tcMar>
            <w:vAlign w:val="bottom"/>
          </w:tcPr>
          <w:p w14:paraId="39D99425" w14:textId="77777777" w:rsidR="00996AD7" w:rsidRDefault="00D96458">
            <w:pPr>
              <w:textAlignment w:val="bottom"/>
            </w:pPr>
            <w:r>
              <w:rPr>
                <w:rFonts w:ascii="Arial" w:eastAsia="宋体" w:hAnsi="Arial" w:cs="Arial"/>
                <w:b/>
                <w:bCs/>
                <w:color w:val="262626"/>
                <w:sz w:val="18"/>
                <w:szCs w:val="18"/>
              </w:rPr>
              <w:t>Total change in revenue</w:t>
            </w:r>
          </w:p>
        </w:tc>
        <w:tc>
          <w:tcPr>
            <w:tcW w:w="0" w:type="auto"/>
            <w:gridSpan w:val="3"/>
            <w:shd w:val="clear" w:color="auto" w:fill="auto"/>
            <w:tcMar>
              <w:top w:w="0" w:type="dxa"/>
              <w:left w:w="20" w:type="dxa"/>
              <w:bottom w:w="0" w:type="dxa"/>
              <w:right w:w="20" w:type="dxa"/>
            </w:tcMar>
            <w:vAlign w:val="bottom"/>
          </w:tcPr>
          <w:p w14:paraId="39D99426"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427"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428"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429" w14:textId="77777777" w:rsidR="00996AD7" w:rsidRDefault="00996AD7">
            <w:pPr>
              <w:rPr>
                <w:rFonts w:ascii="宋体"/>
              </w:rPr>
            </w:pPr>
          </w:p>
        </w:tc>
        <w:tc>
          <w:tcPr>
            <w:tcW w:w="0" w:type="auto"/>
            <w:tcBorders>
              <w:top w:val="single" w:sz="4" w:space="0" w:color="262626"/>
              <w:bottom w:val="double" w:sz="6" w:space="0" w:color="262626"/>
            </w:tcBorders>
            <w:shd w:val="clear" w:color="auto" w:fill="FFFFFF"/>
            <w:tcMar>
              <w:top w:w="40" w:type="dxa"/>
              <w:left w:w="20" w:type="dxa"/>
              <w:bottom w:w="40" w:type="dxa"/>
              <w:right w:w="0" w:type="dxa"/>
            </w:tcMar>
            <w:vAlign w:val="bottom"/>
          </w:tcPr>
          <w:p w14:paraId="39D9942A"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FFFFFF"/>
            <w:tcMar>
              <w:top w:w="40" w:type="dxa"/>
              <w:left w:w="0" w:type="dxa"/>
              <w:bottom w:w="40" w:type="dxa"/>
              <w:right w:w="0" w:type="dxa"/>
            </w:tcMar>
            <w:vAlign w:val="bottom"/>
          </w:tcPr>
          <w:p w14:paraId="39D9942B" w14:textId="77777777" w:rsidR="00996AD7" w:rsidRDefault="00D96458">
            <w:pPr>
              <w:jc w:val="right"/>
              <w:textAlignment w:val="bottom"/>
            </w:pPr>
            <w:r>
              <w:rPr>
                <w:rFonts w:ascii="Arial" w:eastAsia="宋体" w:hAnsi="Arial" w:cs="Arial"/>
                <w:b/>
                <w:bCs/>
                <w:color w:val="0068B5"/>
                <w:sz w:val="18"/>
                <w:szCs w:val="18"/>
              </w:rPr>
              <w:t>(183)</w:t>
            </w:r>
          </w:p>
        </w:tc>
        <w:tc>
          <w:tcPr>
            <w:tcW w:w="0" w:type="auto"/>
            <w:tcBorders>
              <w:top w:val="single" w:sz="4" w:space="0" w:color="262626"/>
              <w:bottom w:val="double" w:sz="6" w:space="0" w:color="262626"/>
            </w:tcBorders>
            <w:shd w:val="clear" w:color="auto" w:fill="FFFFFF"/>
            <w:tcMar>
              <w:top w:w="40" w:type="dxa"/>
              <w:left w:w="0" w:type="dxa"/>
              <w:bottom w:w="40" w:type="dxa"/>
              <w:right w:w="20" w:type="dxa"/>
            </w:tcMar>
            <w:vAlign w:val="bottom"/>
          </w:tcPr>
          <w:p w14:paraId="39D9942C" w14:textId="77777777" w:rsidR="00996AD7" w:rsidRDefault="00996AD7">
            <w:pPr>
              <w:jc w:val="right"/>
              <w:rPr>
                <w:rFonts w:ascii="宋体"/>
              </w:rPr>
            </w:pPr>
          </w:p>
        </w:tc>
        <w:tc>
          <w:tcPr>
            <w:tcW w:w="0" w:type="auto"/>
            <w:gridSpan w:val="3"/>
            <w:shd w:val="clear" w:color="auto" w:fill="FFFFFF"/>
            <w:tcMar>
              <w:top w:w="0" w:type="dxa"/>
              <w:left w:w="20" w:type="dxa"/>
              <w:bottom w:w="0" w:type="dxa"/>
              <w:right w:w="20" w:type="dxa"/>
            </w:tcMar>
            <w:vAlign w:val="bottom"/>
          </w:tcPr>
          <w:p w14:paraId="39D9942D"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42E"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42F"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430" w14:textId="77777777" w:rsidR="00996AD7" w:rsidRDefault="00996AD7">
            <w:pPr>
              <w:rPr>
                <w:rFonts w:ascii="宋体"/>
              </w:rPr>
            </w:pPr>
          </w:p>
        </w:tc>
        <w:tc>
          <w:tcPr>
            <w:tcW w:w="0" w:type="auto"/>
            <w:tcBorders>
              <w:top w:val="single" w:sz="4" w:space="0" w:color="262626"/>
              <w:bottom w:val="double" w:sz="6" w:space="0" w:color="262626"/>
            </w:tcBorders>
            <w:shd w:val="clear" w:color="auto" w:fill="FFFFFF"/>
            <w:tcMar>
              <w:top w:w="40" w:type="dxa"/>
              <w:left w:w="20" w:type="dxa"/>
              <w:bottom w:w="40" w:type="dxa"/>
              <w:right w:w="0" w:type="dxa"/>
            </w:tcMar>
            <w:vAlign w:val="bottom"/>
          </w:tcPr>
          <w:p w14:paraId="39D99431"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FFFFFF"/>
            <w:tcMar>
              <w:top w:w="40" w:type="dxa"/>
              <w:left w:w="0" w:type="dxa"/>
              <w:bottom w:w="40" w:type="dxa"/>
              <w:right w:w="0" w:type="dxa"/>
            </w:tcMar>
            <w:vAlign w:val="bottom"/>
          </w:tcPr>
          <w:p w14:paraId="39D99432" w14:textId="77777777" w:rsidR="00996AD7" w:rsidRDefault="00D96458">
            <w:pPr>
              <w:jc w:val="right"/>
              <w:textAlignment w:val="bottom"/>
            </w:pPr>
            <w:r>
              <w:rPr>
                <w:rFonts w:ascii="Arial" w:eastAsia="宋体" w:hAnsi="Arial" w:cs="Arial"/>
                <w:b/>
                <w:bCs/>
                <w:color w:val="0068B5"/>
                <w:sz w:val="18"/>
                <w:szCs w:val="18"/>
              </w:rPr>
              <w:t>1,260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FFFFFF"/>
            <w:tcMar>
              <w:top w:w="40" w:type="dxa"/>
              <w:left w:w="0" w:type="dxa"/>
              <w:bottom w:w="40" w:type="dxa"/>
              <w:right w:w="20" w:type="dxa"/>
            </w:tcMar>
            <w:vAlign w:val="bottom"/>
          </w:tcPr>
          <w:p w14:paraId="39D99433" w14:textId="77777777" w:rsidR="00996AD7" w:rsidRDefault="00996AD7">
            <w:pPr>
              <w:jc w:val="right"/>
              <w:rPr>
                <w:rFonts w:ascii="宋体"/>
              </w:rPr>
            </w:pPr>
          </w:p>
        </w:tc>
      </w:tr>
    </w:tbl>
    <w:p w14:paraId="39D99435" w14:textId="77777777" w:rsidR="00996AD7" w:rsidRDefault="00996AD7">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996AD7" w14:paraId="39D9943F" w14:textId="77777777">
        <w:tc>
          <w:tcPr>
            <w:tcW w:w="50" w:type="pct"/>
            <w:shd w:val="clear" w:color="auto" w:fill="auto"/>
            <w:vAlign w:val="bottom"/>
          </w:tcPr>
          <w:p w14:paraId="39D99436" w14:textId="77777777" w:rsidR="00996AD7" w:rsidRDefault="00996AD7">
            <w:pPr>
              <w:rPr>
                <w:rFonts w:ascii="宋体"/>
              </w:rPr>
            </w:pPr>
          </w:p>
        </w:tc>
        <w:tc>
          <w:tcPr>
            <w:tcW w:w="212" w:type="pct"/>
            <w:shd w:val="clear" w:color="auto" w:fill="auto"/>
            <w:vAlign w:val="bottom"/>
          </w:tcPr>
          <w:p w14:paraId="39D99437" w14:textId="77777777" w:rsidR="00996AD7" w:rsidRDefault="00996AD7">
            <w:pPr>
              <w:rPr>
                <w:rFonts w:ascii="宋体"/>
              </w:rPr>
            </w:pPr>
          </w:p>
        </w:tc>
        <w:tc>
          <w:tcPr>
            <w:tcW w:w="5" w:type="pct"/>
            <w:shd w:val="clear" w:color="auto" w:fill="auto"/>
            <w:vAlign w:val="bottom"/>
          </w:tcPr>
          <w:p w14:paraId="39D99438" w14:textId="77777777" w:rsidR="00996AD7" w:rsidRDefault="00996AD7">
            <w:pPr>
              <w:rPr>
                <w:rFonts w:ascii="宋体"/>
              </w:rPr>
            </w:pPr>
          </w:p>
        </w:tc>
        <w:tc>
          <w:tcPr>
            <w:tcW w:w="50" w:type="pct"/>
            <w:shd w:val="clear" w:color="auto" w:fill="auto"/>
            <w:vAlign w:val="bottom"/>
          </w:tcPr>
          <w:p w14:paraId="39D99439" w14:textId="77777777" w:rsidR="00996AD7" w:rsidRDefault="00996AD7">
            <w:pPr>
              <w:rPr>
                <w:rFonts w:ascii="宋体"/>
              </w:rPr>
            </w:pPr>
          </w:p>
        </w:tc>
        <w:tc>
          <w:tcPr>
            <w:tcW w:w="2499" w:type="pct"/>
            <w:shd w:val="clear" w:color="auto" w:fill="auto"/>
            <w:vAlign w:val="bottom"/>
          </w:tcPr>
          <w:p w14:paraId="39D9943A" w14:textId="77777777" w:rsidR="00996AD7" w:rsidRDefault="00996AD7">
            <w:pPr>
              <w:rPr>
                <w:rFonts w:ascii="宋体"/>
              </w:rPr>
            </w:pPr>
          </w:p>
        </w:tc>
        <w:tc>
          <w:tcPr>
            <w:tcW w:w="5" w:type="pct"/>
            <w:shd w:val="clear" w:color="auto" w:fill="auto"/>
            <w:vAlign w:val="bottom"/>
          </w:tcPr>
          <w:p w14:paraId="39D9943B" w14:textId="77777777" w:rsidR="00996AD7" w:rsidRDefault="00996AD7">
            <w:pPr>
              <w:rPr>
                <w:rFonts w:ascii="宋体"/>
              </w:rPr>
            </w:pPr>
          </w:p>
        </w:tc>
        <w:tc>
          <w:tcPr>
            <w:tcW w:w="50" w:type="pct"/>
            <w:shd w:val="clear" w:color="auto" w:fill="auto"/>
            <w:vAlign w:val="bottom"/>
          </w:tcPr>
          <w:p w14:paraId="39D9943C" w14:textId="77777777" w:rsidR="00996AD7" w:rsidRDefault="00996AD7">
            <w:pPr>
              <w:rPr>
                <w:rFonts w:ascii="宋体"/>
              </w:rPr>
            </w:pPr>
          </w:p>
        </w:tc>
        <w:tc>
          <w:tcPr>
            <w:tcW w:w="2122" w:type="pct"/>
            <w:shd w:val="clear" w:color="auto" w:fill="auto"/>
            <w:vAlign w:val="bottom"/>
          </w:tcPr>
          <w:p w14:paraId="39D9943D" w14:textId="77777777" w:rsidR="00996AD7" w:rsidRDefault="00996AD7">
            <w:pPr>
              <w:rPr>
                <w:rFonts w:ascii="宋体"/>
              </w:rPr>
            </w:pPr>
          </w:p>
        </w:tc>
        <w:tc>
          <w:tcPr>
            <w:tcW w:w="5" w:type="pct"/>
            <w:shd w:val="clear" w:color="auto" w:fill="auto"/>
            <w:vAlign w:val="bottom"/>
          </w:tcPr>
          <w:p w14:paraId="39D9943E" w14:textId="77777777" w:rsidR="00996AD7" w:rsidRDefault="00996AD7">
            <w:pPr>
              <w:rPr>
                <w:rFonts w:ascii="宋体"/>
              </w:rPr>
            </w:pPr>
          </w:p>
        </w:tc>
      </w:tr>
      <w:tr w:rsidR="00996AD7" w14:paraId="39D9944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440"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E2" wp14:editId="39D9A3E3">
                  <wp:extent cx="304800" cy="304800"/>
                  <wp:effectExtent l="0" t="0" r="0" b="0"/>
                  <wp:docPr id="109" name="图片 9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1"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441"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442" w14:textId="77777777" w:rsidR="00996AD7" w:rsidRDefault="00D96458">
            <w:pPr>
              <w:jc w:val="right"/>
              <w:textAlignment w:val="center"/>
            </w:pPr>
            <w:r>
              <w:rPr>
                <w:rFonts w:ascii="Arial" w:eastAsia="宋体" w:hAnsi="Arial" w:cs="Arial"/>
                <w:color w:val="262626"/>
                <w:sz w:val="16"/>
                <w:szCs w:val="16"/>
              </w:rPr>
              <w:t>25</w:t>
            </w:r>
          </w:p>
        </w:tc>
      </w:tr>
    </w:tbl>
    <w:p w14:paraId="39D99444" w14:textId="77777777" w:rsidR="00996AD7" w:rsidRDefault="00D96458">
      <w:r>
        <w:pict w14:anchorId="39D9A3E4">
          <v:rect id="_x0000_i1051" style="width:415.3pt;height:1.5pt" o:hralign="center" o:hrstd="t" o:hr="t" fillcolor="#a0a0a0" stroked="f"/>
        </w:pict>
      </w:r>
    </w:p>
    <w:p w14:paraId="39D99445" w14:textId="77777777" w:rsidR="00996AD7" w:rsidRDefault="00D96458">
      <w:pPr>
        <w:spacing w:after="180"/>
        <w:jc w:val="right"/>
      </w:pPr>
      <w:hyperlink r:id="rId52" w:anchor="i94e6cc3aa83643b8b968bd5bab038338_7" w:history="1">
        <w:r>
          <w:rPr>
            <w:rStyle w:val="a5"/>
            <w:rFonts w:ascii="Arial" w:eastAsia="宋体" w:hAnsi="Arial" w:cs="Arial"/>
            <w:b/>
            <w:bCs/>
            <w:color w:val="0068B5"/>
            <w:sz w:val="16"/>
            <w:szCs w:val="16"/>
          </w:rPr>
          <w:t>Table of Contents</w:t>
        </w:r>
      </w:hyperlink>
    </w:p>
    <w:p w14:paraId="39D99446"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44A" w14:textId="77777777">
        <w:tc>
          <w:tcPr>
            <w:tcW w:w="50" w:type="pct"/>
            <w:shd w:val="clear" w:color="auto" w:fill="auto"/>
            <w:vAlign w:val="bottom"/>
          </w:tcPr>
          <w:p w14:paraId="39D99447" w14:textId="77777777" w:rsidR="00996AD7" w:rsidRDefault="00996AD7">
            <w:pPr>
              <w:rPr>
                <w:rFonts w:ascii="宋体"/>
              </w:rPr>
            </w:pPr>
          </w:p>
        </w:tc>
        <w:tc>
          <w:tcPr>
            <w:tcW w:w="4945" w:type="pct"/>
            <w:shd w:val="clear" w:color="auto" w:fill="auto"/>
            <w:vAlign w:val="bottom"/>
          </w:tcPr>
          <w:p w14:paraId="39D99448" w14:textId="77777777" w:rsidR="00996AD7" w:rsidRDefault="00996AD7">
            <w:pPr>
              <w:rPr>
                <w:rFonts w:ascii="宋体"/>
              </w:rPr>
            </w:pPr>
          </w:p>
        </w:tc>
        <w:tc>
          <w:tcPr>
            <w:tcW w:w="5" w:type="pct"/>
            <w:shd w:val="clear" w:color="auto" w:fill="auto"/>
            <w:vAlign w:val="bottom"/>
          </w:tcPr>
          <w:p w14:paraId="39D99449" w14:textId="77777777" w:rsidR="00996AD7" w:rsidRDefault="00996AD7">
            <w:pPr>
              <w:rPr>
                <w:rFonts w:ascii="宋体"/>
              </w:rPr>
            </w:pPr>
          </w:p>
        </w:tc>
      </w:tr>
      <w:tr w:rsidR="00996AD7" w14:paraId="39D9944C"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44B" w14:textId="77777777" w:rsidR="00996AD7" w:rsidRDefault="00D96458">
            <w:pPr>
              <w:textAlignment w:val="bottom"/>
            </w:pPr>
            <w:r>
              <w:rPr>
                <w:rFonts w:ascii="Arial" w:eastAsia="宋体" w:hAnsi="Arial" w:cs="Arial"/>
                <w:color w:val="0068B5"/>
                <w:sz w:val="20"/>
                <w:szCs w:val="20"/>
              </w:rPr>
              <w:t>Operating Income Summary</w:t>
            </w:r>
          </w:p>
        </w:tc>
      </w:tr>
    </w:tbl>
    <w:p w14:paraId="39D9944D" w14:textId="77777777" w:rsidR="00996AD7" w:rsidRDefault="00D96458">
      <w:pPr>
        <w:spacing w:after="180"/>
      </w:pPr>
      <w:r>
        <w:rPr>
          <w:rFonts w:ascii="Arial" w:eastAsia="宋体" w:hAnsi="Arial" w:cs="Arial"/>
          <w:color w:val="262626"/>
          <w:sz w:val="18"/>
          <w:szCs w:val="18"/>
        </w:rPr>
        <w:t xml:space="preserve">Operating income in Q3 2021 decreased 7% from Q3 </w:t>
      </w:r>
      <w:r>
        <w:rPr>
          <w:rFonts w:ascii="Arial" w:eastAsia="宋体" w:hAnsi="Arial" w:cs="Arial"/>
          <w:color w:val="262626"/>
          <w:sz w:val="18"/>
          <w:szCs w:val="18"/>
        </w:rPr>
        <w:t>2020, with an operating margin of 34%. Operating income YTD 2021 increased 5%, with an operating margin of 37%.</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9"/>
        <w:gridCol w:w="7132"/>
        <w:gridCol w:w="38"/>
      </w:tblGrid>
      <w:tr w:rsidR="00996AD7" w14:paraId="39D99457" w14:textId="77777777">
        <w:tc>
          <w:tcPr>
            <w:tcW w:w="50" w:type="pct"/>
            <w:shd w:val="clear" w:color="auto" w:fill="auto"/>
            <w:vAlign w:val="bottom"/>
          </w:tcPr>
          <w:p w14:paraId="39D9944E" w14:textId="77777777" w:rsidR="00996AD7" w:rsidRDefault="00996AD7">
            <w:pPr>
              <w:rPr>
                <w:rFonts w:ascii="宋体"/>
              </w:rPr>
            </w:pPr>
          </w:p>
        </w:tc>
        <w:tc>
          <w:tcPr>
            <w:tcW w:w="539" w:type="pct"/>
            <w:shd w:val="clear" w:color="auto" w:fill="auto"/>
            <w:vAlign w:val="bottom"/>
          </w:tcPr>
          <w:p w14:paraId="39D9944F" w14:textId="77777777" w:rsidR="00996AD7" w:rsidRDefault="00996AD7">
            <w:pPr>
              <w:rPr>
                <w:rFonts w:ascii="宋体"/>
              </w:rPr>
            </w:pPr>
          </w:p>
        </w:tc>
        <w:tc>
          <w:tcPr>
            <w:tcW w:w="5" w:type="pct"/>
            <w:shd w:val="clear" w:color="auto" w:fill="auto"/>
            <w:vAlign w:val="bottom"/>
          </w:tcPr>
          <w:p w14:paraId="39D99450" w14:textId="77777777" w:rsidR="00996AD7" w:rsidRDefault="00996AD7">
            <w:pPr>
              <w:rPr>
                <w:rFonts w:ascii="宋体"/>
              </w:rPr>
            </w:pPr>
          </w:p>
        </w:tc>
        <w:tc>
          <w:tcPr>
            <w:tcW w:w="5" w:type="pct"/>
            <w:shd w:val="clear" w:color="auto" w:fill="auto"/>
            <w:vAlign w:val="bottom"/>
          </w:tcPr>
          <w:p w14:paraId="39D99451" w14:textId="77777777" w:rsidR="00996AD7" w:rsidRDefault="00996AD7">
            <w:pPr>
              <w:rPr>
                <w:rFonts w:ascii="宋体"/>
              </w:rPr>
            </w:pPr>
          </w:p>
        </w:tc>
        <w:tc>
          <w:tcPr>
            <w:tcW w:w="24" w:type="pct"/>
            <w:shd w:val="clear" w:color="auto" w:fill="auto"/>
            <w:vAlign w:val="bottom"/>
          </w:tcPr>
          <w:p w14:paraId="39D99452" w14:textId="77777777" w:rsidR="00996AD7" w:rsidRDefault="00996AD7">
            <w:pPr>
              <w:rPr>
                <w:rFonts w:ascii="宋体"/>
              </w:rPr>
            </w:pPr>
          </w:p>
        </w:tc>
        <w:tc>
          <w:tcPr>
            <w:tcW w:w="5" w:type="pct"/>
            <w:shd w:val="clear" w:color="auto" w:fill="auto"/>
            <w:vAlign w:val="bottom"/>
          </w:tcPr>
          <w:p w14:paraId="39D99453" w14:textId="77777777" w:rsidR="00996AD7" w:rsidRDefault="00996AD7">
            <w:pPr>
              <w:rPr>
                <w:rFonts w:ascii="宋体"/>
              </w:rPr>
            </w:pPr>
          </w:p>
        </w:tc>
        <w:tc>
          <w:tcPr>
            <w:tcW w:w="50" w:type="pct"/>
            <w:shd w:val="clear" w:color="auto" w:fill="auto"/>
            <w:vAlign w:val="bottom"/>
          </w:tcPr>
          <w:p w14:paraId="39D99454" w14:textId="77777777" w:rsidR="00996AD7" w:rsidRDefault="00996AD7">
            <w:pPr>
              <w:rPr>
                <w:rFonts w:ascii="宋体"/>
              </w:rPr>
            </w:pPr>
          </w:p>
        </w:tc>
        <w:tc>
          <w:tcPr>
            <w:tcW w:w="4316" w:type="pct"/>
            <w:shd w:val="clear" w:color="auto" w:fill="auto"/>
            <w:vAlign w:val="bottom"/>
          </w:tcPr>
          <w:p w14:paraId="39D99455" w14:textId="77777777" w:rsidR="00996AD7" w:rsidRDefault="00996AD7">
            <w:pPr>
              <w:rPr>
                <w:rFonts w:ascii="宋体"/>
              </w:rPr>
            </w:pPr>
          </w:p>
        </w:tc>
        <w:tc>
          <w:tcPr>
            <w:tcW w:w="5" w:type="pct"/>
            <w:shd w:val="clear" w:color="auto" w:fill="auto"/>
            <w:vAlign w:val="bottom"/>
          </w:tcPr>
          <w:p w14:paraId="39D99456" w14:textId="77777777" w:rsidR="00996AD7" w:rsidRDefault="00996AD7">
            <w:pPr>
              <w:rPr>
                <w:rFonts w:ascii="宋体"/>
              </w:rPr>
            </w:pPr>
          </w:p>
        </w:tc>
      </w:tr>
      <w:tr w:rsidR="00996AD7" w14:paraId="39D9945B" w14:textId="77777777">
        <w:tc>
          <w:tcPr>
            <w:tcW w:w="0" w:type="auto"/>
            <w:gridSpan w:val="3"/>
            <w:shd w:val="clear" w:color="auto" w:fill="auto"/>
            <w:tcMar>
              <w:top w:w="40" w:type="dxa"/>
              <w:left w:w="20" w:type="dxa"/>
              <w:bottom w:w="40" w:type="dxa"/>
              <w:right w:w="20" w:type="dxa"/>
            </w:tcMar>
            <w:vAlign w:val="bottom"/>
          </w:tcPr>
          <w:p w14:paraId="39D99458"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945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45A" w14:textId="77777777" w:rsidR="00996AD7" w:rsidRDefault="00996AD7">
            <w:pPr>
              <w:rPr>
                <w:rFonts w:ascii="宋体"/>
              </w:rPr>
            </w:pPr>
          </w:p>
        </w:tc>
      </w:tr>
      <w:tr w:rsidR="00996AD7" w14:paraId="39D99461"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39D9945C"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45D" w14:textId="77777777" w:rsidR="00996AD7" w:rsidRDefault="00D96458">
            <w:pPr>
              <w:jc w:val="right"/>
              <w:textAlignment w:val="bottom"/>
            </w:pPr>
            <w:r>
              <w:rPr>
                <w:rFonts w:ascii="Arial" w:eastAsia="宋体" w:hAnsi="Arial" w:cs="Arial"/>
                <w:b/>
                <w:bCs/>
                <w:color w:val="0068B5"/>
                <w:sz w:val="18"/>
                <w:szCs w:val="18"/>
              </w:rPr>
              <w:t>3,317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45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5F"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9460" w14:textId="77777777" w:rsidR="00996AD7" w:rsidRDefault="00D96458">
            <w:pPr>
              <w:textAlignment w:val="bottom"/>
            </w:pPr>
            <w:r>
              <w:rPr>
                <w:rFonts w:ascii="Arial" w:eastAsia="宋体" w:hAnsi="Arial" w:cs="Arial"/>
                <w:b/>
                <w:bCs/>
                <w:color w:val="262626"/>
                <w:sz w:val="18"/>
                <w:szCs w:val="18"/>
              </w:rPr>
              <w:t>Q3 2021 CCG Operating Income</w:t>
            </w:r>
          </w:p>
        </w:tc>
      </w:tr>
      <w:tr w:rsidR="00996AD7" w14:paraId="39D99466" w14:textId="77777777">
        <w:tc>
          <w:tcPr>
            <w:tcW w:w="0" w:type="auto"/>
            <w:gridSpan w:val="2"/>
            <w:tcBorders>
              <w:top w:val="single" w:sz="4" w:space="0" w:color="262626"/>
            </w:tcBorders>
            <w:shd w:val="clear" w:color="auto" w:fill="auto"/>
            <w:tcMar>
              <w:top w:w="40" w:type="dxa"/>
              <w:left w:w="20" w:type="dxa"/>
              <w:bottom w:w="40" w:type="dxa"/>
              <w:right w:w="0" w:type="dxa"/>
            </w:tcMar>
          </w:tcPr>
          <w:p w14:paraId="39D99462" w14:textId="77777777" w:rsidR="00996AD7" w:rsidRDefault="00D96458">
            <w:pPr>
              <w:jc w:val="right"/>
              <w:textAlignment w:val="top"/>
            </w:pPr>
            <w:r>
              <w:rPr>
                <w:rFonts w:ascii="Arial" w:eastAsia="宋体" w:hAnsi="Arial" w:cs="Arial"/>
                <w:color w:val="0068B5"/>
                <w:sz w:val="18"/>
                <w:szCs w:val="18"/>
              </w:rPr>
              <w:t>(440)</w:t>
            </w:r>
          </w:p>
        </w:tc>
        <w:tc>
          <w:tcPr>
            <w:tcW w:w="0" w:type="auto"/>
            <w:tcBorders>
              <w:top w:val="single" w:sz="4" w:space="0" w:color="262626"/>
            </w:tcBorders>
            <w:shd w:val="clear" w:color="auto" w:fill="auto"/>
            <w:tcMar>
              <w:top w:w="40" w:type="dxa"/>
              <w:left w:w="0" w:type="dxa"/>
              <w:bottom w:w="40" w:type="dxa"/>
              <w:right w:w="20" w:type="dxa"/>
            </w:tcMar>
          </w:tcPr>
          <w:p w14:paraId="39D9946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64"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39D99465" w14:textId="77777777" w:rsidR="00996AD7" w:rsidRDefault="00D96458">
            <w:pPr>
              <w:textAlignment w:val="top"/>
            </w:pPr>
            <w:r>
              <w:rPr>
                <w:rFonts w:ascii="Arial" w:eastAsia="宋体" w:hAnsi="Arial" w:cs="Arial"/>
                <w:color w:val="0068B5"/>
                <w:sz w:val="18"/>
                <w:szCs w:val="18"/>
              </w:rPr>
              <w:t xml:space="preserve">Higher period charges driven by sell-through of reserved </w:t>
            </w:r>
            <w:r>
              <w:rPr>
                <w:rFonts w:ascii="Arial" w:eastAsia="宋体" w:hAnsi="Arial" w:cs="Arial"/>
                <w:color w:val="0068B5"/>
                <w:sz w:val="18"/>
                <w:szCs w:val="18"/>
              </w:rPr>
              <w:t>non-qualified platform products net of other reserves in Q3 2020, and reserves taken on non-qualified platform products in Q3 2021</w:t>
            </w:r>
          </w:p>
        </w:tc>
      </w:tr>
      <w:tr w:rsidR="00996AD7" w14:paraId="39D9946B" w14:textId="77777777">
        <w:tc>
          <w:tcPr>
            <w:tcW w:w="0" w:type="auto"/>
            <w:gridSpan w:val="2"/>
            <w:shd w:val="clear" w:color="auto" w:fill="auto"/>
            <w:tcMar>
              <w:top w:w="40" w:type="dxa"/>
              <w:left w:w="20" w:type="dxa"/>
              <w:bottom w:w="40" w:type="dxa"/>
              <w:right w:w="0" w:type="dxa"/>
            </w:tcMar>
          </w:tcPr>
          <w:p w14:paraId="39D99467" w14:textId="77777777" w:rsidR="00996AD7" w:rsidRDefault="00D96458">
            <w:pPr>
              <w:jc w:val="right"/>
              <w:textAlignment w:val="top"/>
            </w:pPr>
            <w:r>
              <w:rPr>
                <w:rFonts w:ascii="Arial" w:eastAsia="宋体" w:hAnsi="Arial" w:cs="Arial"/>
                <w:color w:val="0068B5"/>
                <w:sz w:val="18"/>
                <w:szCs w:val="18"/>
              </w:rPr>
              <w:t>(215)</w:t>
            </w:r>
          </w:p>
        </w:tc>
        <w:tc>
          <w:tcPr>
            <w:tcW w:w="0" w:type="auto"/>
            <w:shd w:val="clear" w:color="auto" w:fill="auto"/>
            <w:tcMar>
              <w:top w:w="40" w:type="dxa"/>
              <w:left w:w="0" w:type="dxa"/>
              <w:bottom w:w="40" w:type="dxa"/>
              <w:right w:w="20" w:type="dxa"/>
            </w:tcMar>
          </w:tcPr>
          <w:p w14:paraId="39D9946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69"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6A" w14:textId="77777777" w:rsidR="00996AD7" w:rsidRDefault="00D96458">
            <w:pPr>
              <w:textAlignment w:val="top"/>
            </w:pPr>
            <w:r>
              <w:rPr>
                <w:rFonts w:ascii="Arial" w:eastAsia="宋体" w:hAnsi="Arial" w:cs="Arial"/>
                <w:color w:val="0068B5"/>
                <w:sz w:val="18"/>
                <w:szCs w:val="18"/>
              </w:rPr>
              <w:t>Higher operating expenses driven by increased investment in support of leadership products</w:t>
            </w:r>
          </w:p>
        </w:tc>
      </w:tr>
      <w:tr w:rsidR="00996AD7" w14:paraId="39D99470" w14:textId="77777777">
        <w:tc>
          <w:tcPr>
            <w:tcW w:w="0" w:type="auto"/>
            <w:gridSpan w:val="2"/>
            <w:shd w:val="clear" w:color="auto" w:fill="auto"/>
            <w:tcMar>
              <w:top w:w="40" w:type="dxa"/>
              <w:left w:w="20" w:type="dxa"/>
              <w:bottom w:w="40" w:type="dxa"/>
              <w:right w:w="0" w:type="dxa"/>
            </w:tcMar>
          </w:tcPr>
          <w:p w14:paraId="39D9946C" w14:textId="77777777" w:rsidR="00996AD7" w:rsidRDefault="00D96458">
            <w:pPr>
              <w:jc w:val="right"/>
              <w:textAlignment w:val="top"/>
            </w:pPr>
            <w:r>
              <w:rPr>
                <w:rFonts w:ascii="Arial" w:eastAsia="宋体" w:hAnsi="Arial" w:cs="Arial"/>
                <w:color w:val="0068B5"/>
                <w:sz w:val="18"/>
                <w:szCs w:val="18"/>
              </w:rPr>
              <w:t>(205)</w:t>
            </w:r>
          </w:p>
        </w:tc>
        <w:tc>
          <w:tcPr>
            <w:tcW w:w="0" w:type="auto"/>
            <w:shd w:val="clear" w:color="auto" w:fill="auto"/>
            <w:tcMar>
              <w:top w:w="40" w:type="dxa"/>
              <w:left w:w="0" w:type="dxa"/>
              <w:bottom w:w="40" w:type="dxa"/>
              <w:right w:w="20" w:type="dxa"/>
            </w:tcMar>
          </w:tcPr>
          <w:p w14:paraId="39D9946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6E"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6F" w14:textId="77777777" w:rsidR="00996AD7" w:rsidRDefault="00D96458">
            <w:pPr>
              <w:textAlignment w:val="top"/>
            </w:pPr>
            <w:r>
              <w:rPr>
                <w:rFonts w:ascii="Arial" w:eastAsia="宋体" w:hAnsi="Arial" w:cs="Arial"/>
                <w:color w:val="0068B5"/>
                <w:sz w:val="18"/>
                <w:szCs w:val="18"/>
              </w:rPr>
              <w:t xml:space="preserve">Higher </w:t>
            </w:r>
            <w:r>
              <w:rPr>
                <w:rFonts w:ascii="Arial" w:eastAsia="宋体" w:hAnsi="Arial" w:cs="Arial"/>
                <w:color w:val="0068B5"/>
                <w:sz w:val="18"/>
                <w:szCs w:val="18"/>
              </w:rPr>
              <w:t>period charges primarily associated with the ramp up of Intel 4</w:t>
            </w:r>
          </w:p>
        </w:tc>
      </w:tr>
      <w:tr w:rsidR="00996AD7" w14:paraId="39D99475" w14:textId="77777777">
        <w:tc>
          <w:tcPr>
            <w:tcW w:w="0" w:type="auto"/>
            <w:gridSpan w:val="2"/>
            <w:shd w:val="clear" w:color="auto" w:fill="auto"/>
            <w:tcMar>
              <w:top w:w="40" w:type="dxa"/>
              <w:left w:w="20" w:type="dxa"/>
              <w:bottom w:w="40" w:type="dxa"/>
              <w:right w:w="0" w:type="dxa"/>
            </w:tcMar>
          </w:tcPr>
          <w:p w14:paraId="39D99471" w14:textId="77777777" w:rsidR="00996AD7" w:rsidRDefault="00D96458">
            <w:pPr>
              <w:jc w:val="right"/>
              <w:textAlignment w:val="top"/>
            </w:pPr>
            <w:r>
              <w:rPr>
                <w:rFonts w:ascii="Arial" w:eastAsia="宋体" w:hAnsi="Arial" w:cs="Arial"/>
                <w:color w:val="0068B5"/>
                <w:sz w:val="18"/>
                <w:szCs w:val="18"/>
              </w:rPr>
              <w:t>(105)</w:t>
            </w:r>
          </w:p>
        </w:tc>
        <w:tc>
          <w:tcPr>
            <w:tcW w:w="0" w:type="auto"/>
            <w:shd w:val="clear" w:color="auto" w:fill="auto"/>
            <w:tcMar>
              <w:top w:w="40" w:type="dxa"/>
              <w:left w:w="0" w:type="dxa"/>
              <w:bottom w:w="40" w:type="dxa"/>
              <w:right w:w="20" w:type="dxa"/>
            </w:tcMar>
          </w:tcPr>
          <w:p w14:paraId="39D9947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73"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74" w14:textId="77777777" w:rsidR="00996AD7" w:rsidRDefault="00D96458">
            <w:pPr>
              <w:textAlignment w:val="top"/>
            </w:pPr>
            <w:r>
              <w:rPr>
                <w:rFonts w:ascii="Arial" w:eastAsia="宋体" w:hAnsi="Arial" w:cs="Arial"/>
                <w:color w:val="0068B5"/>
                <w:sz w:val="18"/>
                <w:szCs w:val="18"/>
              </w:rPr>
              <w:t xml:space="preserve">Lower adjacent product margin primarily driven by the exit of our 5G smartphone modem and Home Gateway Platform businesses </w:t>
            </w:r>
          </w:p>
        </w:tc>
      </w:tr>
      <w:tr w:rsidR="00996AD7" w14:paraId="39D9947A" w14:textId="77777777">
        <w:tc>
          <w:tcPr>
            <w:tcW w:w="0" w:type="auto"/>
            <w:gridSpan w:val="2"/>
            <w:shd w:val="clear" w:color="auto" w:fill="auto"/>
            <w:tcMar>
              <w:top w:w="40" w:type="dxa"/>
              <w:left w:w="20" w:type="dxa"/>
              <w:bottom w:w="40" w:type="dxa"/>
              <w:right w:w="0" w:type="dxa"/>
            </w:tcMar>
          </w:tcPr>
          <w:p w14:paraId="39D99476" w14:textId="77777777" w:rsidR="00996AD7" w:rsidRDefault="00D96458">
            <w:pPr>
              <w:jc w:val="right"/>
              <w:textAlignment w:val="top"/>
            </w:pPr>
            <w:r>
              <w:rPr>
                <w:rFonts w:ascii="Arial" w:eastAsia="宋体" w:hAnsi="Arial" w:cs="Arial"/>
                <w:color w:val="0068B5"/>
                <w:sz w:val="18"/>
                <w:szCs w:val="18"/>
              </w:rPr>
              <w:t>(85)</w:t>
            </w:r>
          </w:p>
        </w:tc>
        <w:tc>
          <w:tcPr>
            <w:tcW w:w="0" w:type="auto"/>
            <w:shd w:val="clear" w:color="auto" w:fill="auto"/>
            <w:tcMar>
              <w:top w:w="40" w:type="dxa"/>
              <w:left w:w="0" w:type="dxa"/>
              <w:bottom w:w="40" w:type="dxa"/>
              <w:right w:w="20" w:type="dxa"/>
            </w:tcMar>
          </w:tcPr>
          <w:p w14:paraId="39D9947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7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79" w14:textId="77777777" w:rsidR="00996AD7" w:rsidRDefault="00D96458">
            <w:pPr>
              <w:textAlignment w:val="top"/>
            </w:pPr>
            <w:r>
              <w:rPr>
                <w:rFonts w:ascii="Arial" w:eastAsia="宋体" w:hAnsi="Arial" w:cs="Arial"/>
                <w:color w:val="0068B5"/>
                <w:sz w:val="18"/>
                <w:szCs w:val="18"/>
              </w:rPr>
              <w:t xml:space="preserve">Higher period charges primarily </w:t>
            </w:r>
            <w:r>
              <w:rPr>
                <w:rFonts w:ascii="Arial" w:eastAsia="宋体" w:hAnsi="Arial" w:cs="Arial"/>
                <w:color w:val="0068B5"/>
                <w:sz w:val="18"/>
                <w:szCs w:val="18"/>
              </w:rPr>
              <w:t>associated with the ramp down of 14nm</w:t>
            </w:r>
          </w:p>
        </w:tc>
      </w:tr>
      <w:tr w:rsidR="00996AD7" w14:paraId="39D9947F" w14:textId="77777777">
        <w:tc>
          <w:tcPr>
            <w:tcW w:w="0" w:type="auto"/>
            <w:gridSpan w:val="2"/>
            <w:shd w:val="clear" w:color="auto" w:fill="auto"/>
            <w:tcMar>
              <w:top w:w="40" w:type="dxa"/>
              <w:left w:w="20" w:type="dxa"/>
              <w:bottom w:w="40" w:type="dxa"/>
              <w:right w:w="0" w:type="dxa"/>
            </w:tcMar>
          </w:tcPr>
          <w:p w14:paraId="39D9947B" w14:textId="77777777" w:rsidR="00996AD7" w:rsidRDefault="00D96458">
            <w:pPr>
              <w:jc w:val="right"/>
              <w:textAlignment w:val="top"/>
            </w:pPr>
            <w:r>
              <w:rPr>
                <w:rFonts w:ascii="Arial" w:eastAsia="宋体" w:hAnsi="Arial" w:cs="Arial"/>
                <w:color w:val="0068B5"/>
                <w:sz w:val="18"/>
                <w:szCs w:val="18"/>
              </w:rPr>
              <w:t>510 </w:t>
            </w:r>
          </w:p>
        </w:tc>
        <w:tc>
          <w:tcPr>
            <w:tcW w:w="0" w:type="auto"/>
            <w:shd w:val="clear" w:color="auto" w:fill="auto"/>
            <w:tcMar>
              <w:top w:w="40" w:type="dxa"/>
              <w:left w:w="0" w:type="dxa"/>
              <w:bottom w:w="40" w:type="dxa"/>
              <w:right w:w="20" w:type="dxa"/>
            </w:tcMar>
          </w:tcPr>
          <w:p w14:paraId="39D9947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7D"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7E" w14:textId="77777777" w:rsidR="00996AD7" w:rsidRDefault="00D96458">
            <w:pPr>
              <w:textAlignment w:val="top"/>
            </w:pPr>
            <w:r>
              <w:rPr>
                <w:rFonts w:ascii="Arial" w:eastAsia="宋体" w:hAnsi="Arial" w:cs="Arial"/>
                <w:color w:val="0068B5"/>
                <w:sz w:val="18"/>
                <w:szCs w:val="18"/>
              </w:rPr>
              <w:t>Higher gross margin from platform revenue</w:t>
            </w:r>
          </w:p>
        </w:tc>
      </w:tr>
      <w:tr w:rsidR="00996AD7" w14:paraId="39D99484" w14:textId="77777777">
        <w:tc>
          <w:tcPr>
            <w:tcW w:w="0" w:type="auto"/>
            <w:gridSpan w:val="2"/>
            <w:shd w:val="clear" w:color="auto" w:fill="auto"/>
            <w:tcMar>
              <w:top w:w="40" w:type="dxa"/>
              <w:left w:w="20" w:type="dxa"/>
              <w:bottom w:w="40" w:type="dxa"/>
              <w:right w:w="0" w:type="dxa"/>
            </w:tcMar>
          </w:tcPr>
          <w:p w14:paraId="39D99480" w14:textId="77777777" w:rsidR="00996AD7" w:rsidRDefault="00D96458">
            <w:pPr>
              <w:jc w:val="right"/>
              <w:textAlignment w:val="top"/>
            </w:pPr>
            <w:r>
              <w:rPr>
                <w:rFonts w:ascii="Arial" w:eastAsia="宋体" w:hAnsi="Arial" w:cs="Arial"/>
                <w:color w:val="0068B5"/>
                <w:sz w:val="18"/>
                <w:szCs w:val="18"/>
              </w:rPr>
              <w:t>185 </w:t>
            </w:r>
          </w:p>
        </w:tc>
        <w:tc>
          <w:tcPr>
            <w:tcW w:w="0" w:type="auto"/>
            <w:shd w:val="clear" w:color="auto" w:fill="auto"/>
            <w:tcMar>
              <w:top w:w="40" w:type="dxa"/>
              <w:left w:w="0" w:type="dxa"/>
              <w:bottom w:w="40" w:type="dxa"/>
              <w:right w:w="20" w:type="dxa"/>
            </w:tcMar>
          </w:tcPr>
          <w:p w14:paraId="39D9948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8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83" w14:textId="77777777" w:rsidR="00996AD7" w:rsidRDefault="00D96458">
            <w:pPr>
              <w:textAlignment w:val="top"/>
            </w:pPr>
            <w:r>
              <w:rPr>
                <w:rFonts w:ascii="Arial" w:eastAsia="宋体" w:hAnsi="Arial" w:cs="Arial"/>
                <w:color w:val="0068B5"/>
                <w:sz w:val="18"/>
                <w:szCs w:val="18"/>
              </w:rPr>
              <w:t>Lower platform unit cost primarily due to cost improvements in 10nm SuperFin</w:t>
            </w:r>
          </w:p>
        </w:tc>
      </w:tr>
      <w:tr w:rsidR="00996AD7" w14:paraId="39D99489" w14:textId="77777777">
        <w:tc>
          <w:tcPr>
            <w:tcW w:w="0" w:type="auto"/>
            <w:gridSpan w:val="2"/>
            <w:shd w:val="clear" w:color="auto" w:fill="auto"/>
            <w:tcMar>
              <w:top w:w="40" w:type="dxa"/>
              <w:left w:w="20" w:type="dxa"/>
              <w:bottom w:w="40" w:type="dxa"/>
              <w:right w:w="0" w:type="dxa"/>
            </w:tcMar>
          </w:tcPr>
          <w:p w14:paraId="39D99485" w14:textId="77777777" w:rsidR="00996AD7" w:rsidRDefault="00D96458">
            <w:pPr>
              <w:jc w:val="right"/>
              <w:textAlignment w:val="top"/>
            </w:pPr>
            <w:r>
              <w:rPr>
                <w:rFonts w:ascii="Arial" w:eastAsia="宋体" w:hAnsi="Arial" w:cs="Arial"/>
                <w:color w:val="0068B5"/>
                <w:sz w:val="18"/>
                <w:szCs w:val="18"/>
              </w:rPr>
              <w:t>125 </w:t>
            </w:r>
          </w:p>
        </w:tc>
        <w:tc>
          <w:tcPr>
            <w:tcW w:w="0" w:type="auto"/>
            <w:shd w:val="clear" w:color="auto" w:fill="auto"/>
            <w:tcMar>
              <w:top w:w="40" w:type="dxa"/>
              <w:left w:w="0" w:type="dxa"/>
              <w:bottom w:w="40" w:type="dxa"/>
              <w:right w:w="20" w:type="dxa"/>
            </w:tcMar>
          </w:tcPr>
          <w:p w14:paraId="39D9948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87"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88" w14:textId="77777777" w:rsidR="00996AD7" w:rsidRDefault="00D96458">
            <w:pPr>
              <w:textAlignment w:val="top"/>
            </w:pPr>
            <w:r>
              <w:rPr>
                <w:rFonts w:ascii="Arial" w:eastAsia="宋体" w:hAnsi="Arial" w:cs="Arial"/>
                <w:color w:val="0068B5"/>
                <w:sz w:val="18"/>
                <w:szCs w:val="18"/>
              </w:rPr>
              <w:t xml:space="preserve">Lower period charges primarily driven by a decrease in </w:t>
            </w:r>
            <w:r>
              <w:rPr>
                <w:rFonts w:ascii="Arial" w:eastAsia="宋体" w:hAnsi="Arial" w:cs="Arial"/>
                <w:color w:val="0068B5"/>
                <w:sz w:val="18"/>
                <w:szCs w:val="18"/>
              </w:rPr>
              <w:t>engineering samples</w:t>
            </w:r>
          </w:p>
        </w:tc>
      </w:tr>
      <w:tr w:rsidR="00996AD7" w14:paraId="39D9948E" w14:textId="77777777">
        <w:tc>
          <w:tcPr>
            <w:tcW w:w="0" w:type="auto"/>
            <w:gridSpan w:val="2"/>
            <w:shd w:val="clear" w:color="auto" w:fill="auto"/>
            <w:tcMar>
              <w:top w:w="40" w:type="dxa"/>
              <w:left w:w="20" w:type="dxa"/>
              <w:bottom w:w="40" w:type="dxa"/>
              <w:right w:w="0" w:type="dxa"/>
            </w:tcMar>
          </w:tcPr>
          <w:p w14:paraId="39D9948A" w14:textId="77777777" w:rsidR="00996AD7" w:rsidRDefault="00D96458">
            <w:pPr>
              <w:jc w:val="right"/>
              <w:textAlignment w:val="top"/>
            </w:pPr>
            <w:r>
              <w:rPr>
                <w:rFonts w:ascii="Arial" w:eastAsia="宋体" w:hAnsi="Arial" w:cs="Arial"/>
                <w:color w:val="0068B5"/>
                <w:sz w:val="18"/>
                <w:szCs w:val="18"/>
              </w:rPr>
              <w:t>(7)</w:t>
            </w:r>
          </w:p>
        </w:tc>
        <w:tc>
          <w:tcPr>
            <w:tcW w:w="0" w:type="auto"/>
            <w:shd w:val="clear" w:color="auto" w:fill="auto"/>
            <w:tcMar>
              <w:top w:w="40" w:type="dxa"/>
              <w:left w:w="0" w:type="dxa"/>
              <w:bottom w:w="40" w:type="dxa"/>
              <w:right w:w="20" w:type="dxa"/>
            </w:tcMar>
          </w:tcPr>
          <w:p w14:paraId="39D9948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8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8D" w14:textId="77777777" w:rsidR="00996AD7" w:rsidRDefault="00D96458">
            <w:pPr>
              <w:textAlignment w:val="top"/>
            </w:pPr>
            <w:r>
              <w:rPr>
                <w:rFonts w:ascii="Arial" w:eastAsia="宋体" w:hAnsi="Arial" w:cs="Arial"/>
                <w:color w:val="0068B5"/>
                <w:sz w:val="18"/>
                <w:szCs w:val="18"/>
              </w:rPr>
              <w:t>Other</w:t>
            </w:r>
          </w:p>
        </w:tc>
      </w:tr>
      <w:tr w:rsidR="00996AD7" w14:paraId="39D99494"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39D9948F"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490" w14:textId="77777777" w:rsidR="00996AD7" w:rsidRDefault="00D96458">
            <w:pPr>
              <w:jc w:val="right"/>
              <w:textAlignment w:val="bottom"/>
            </w:pPr>
            <w:r>
              <w:rPr>
                <w:rFonts w:ascii="Arial" w:eastAsia="宋体" w:hAnsi="Arial" w:cs="Arial"/>
                <w:b/>
                <w:bCs/>
                <w:color w:val="262626"/>
                <w:sz w:val="18"/>
                <w:szCs w:val="18"/>
              </w:rPr>
              <w:t>3,554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49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92"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39D99493" w14:textId="77777777" w:rsidR="00996AD7" w:rsidRDefault="00D96458">
            <w:pPr>
              <w:textAlignment w:val="bottom"/>
            </w:pPr>
            <w:r>
              <w:rPr>
                <w:rFonts w:ascii="Arial" w:eastAsia="宋体" w:hAnsi="Arial" w:cs="Arial"/>
                <w:b/>
                <w:bCs/>
                <w:color w:val="262626"/>
                <w:sz w:val="18"/>
                <w:szCs w:val="18"/>
              </w:rPr>
              <w:t>Q3 2020 CCG Operating Income</w:t>
            </w:r>
          </w:p>
        </w:tc>
      </w:tr>
      <w:tr w:rsidR="00996AD7" w14:paraId="39D99498" w14:textId="77777777">
        <w:trPr>
          <w:trHeight w:val="10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949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496"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9497" w14:textId="77777777" w:rsidR="00996AD7" w:rsidRDefault="00996AD7">
            <w:pPr>
              <w:rPr>
                <w:rFonts w:ascii="宋体"/>
              </w:rPr>
            </w:pPr>
          </w:p>
        </w:tc>
      </w:tr>
      <w:tr w:rsidR="00996AD7" w14:paraId="39D9949E"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39D99499"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49A" w14:textId="77777777" w:rsidR="00996AD7" w:rsidRDefault="00D96458">
            <w:pPr>
              <w:jc w:val="right"/>
              <w:textAlignment w:val="bottom"/>
            </w:pPr>
            <w:r>
              <w:rPr>
                <w:rFonts w:ascii="Arial" w:eastAsia="宋体" w:hAnsi="Arial" w:cs="Arial"/>
                <w:b/>
                <w:bCs/>
                <w:color w:val="0068B5"/>
                <w:sz w:val="18"/>
                <w:szCs w:val="18"/>
              </w:rPr>
              <w:t>11,197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49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9C"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39D9949D" w14:textId="77777777" w:rsidR="00996AD7" w:rsidRDefault="00D96458">
            <w:pPr>
              <w:textAlignment w:val="bottom"/>
            </w:pPr>
            <w:r>
              <w:rPr>
                <w:rFonts w:ascii="Arial" w:eastAsia="宋体" w:hAnsi="Arial" w:cs="Arial"/>
                <w:b/>
                <w:bCs/>
                <w:color w:val="262626"/>
                <w:sz w:val="18"/>
                <w:szCs w:val="18"/>
              </w:rPr>
              <w:t>YTD 2021 CCG Operating Income</w:t>
            </w:r>
          </w:p>
        </w:tc>
      </w:tr>
      <w:tr w:rsidR="00996AD7" w14:paraId="39D994A3" w14:textId="77777777">
        <w:tc>
          <w:tcPr>
            <w:tcW w:w="0" w:type="auto"/>
            <w:gridSpan w:val="2"/>
            <w:tcBorders>
              <w:top w:val="single" w:sz="4" w:space="0" w:color="262626"/>
            </w:tcBorders>
            <w:shd w:val="clear" w:color="auto" w:fill="auto"/>
            <w:tcMar>
              <w:top w:w="40" w:type="dxa"/>
              <w:left w:w="20" w:type="dxa"/>
              <w:bottom w:w="40" w:type="dxa"/>
              <w:right w:w="0" w:type="dxa"/>
            </w:tcMar>
          </w:tcPr>
          <w:p w14:paraId="39D9949F" w14:textId="77777777" w:rsidR="00996AD7" w:rsidRDefault="00D96458">
            <w:pPr>
              <w:jc w:val="right"/>
              <w:textAlignment w:val="top"/>
            </w:pPr>
            <w:r>
              <w:rPr>
                <w:rFonts w:ascii="Arial" w:eastAsia="宋体" w:hAnsi="Arial" w:cs="Arial"/>
                <w:color w:val="0068B5"/>
                <w:sz w:val="18"/>
                <w:szCs w:val="18"/>
              </w:rPr>
              <w:t>855 </w:t>
            </w:r>
          </w:p>
        </w:tc>
        <w:tc>
          <w:tcPr>
            <w:tcW w:w="0" w:type="auto"/>
            <w:tcBorders>
              <w:top w:val="single" w:sz="4" w:space="0" w:color="262626"/>
            </w:tcBorders>
            <w:shd w:val="clear" w:color="auto" w:fill="auto"/>
            <w:tcMar>
              <w:top w:w="40" w:type="dxa"/>
              <w:left w:w="0" w:type="dxa"/>
              <w:bottom w:w="40" w:type="dxa"/>
              <w:right w:w="20" w:type="dxa"/>
            </w:tcMar>
          </w:tcPr>
          <w:p w14:paraId="39D994A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A1"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39D994A2" w14:textId="77777777" w:rsidR="00996AD7" w:rsidRDefault="00D96458">
            <w:pPr>
              <w:textAlignment w:val="top"/>
            </w:pPr>
            <w:r>
              <w:rPr>
                <w:rFonts w:ascii="Arial" w:eastAsia="宋体" w:hAnsi="Arial" w:cs="Arial"/>
                <w:color w:val="0068B5"/>
                <w:sz w:val="18"/>
                <w:szCs w:val="18"/>
              </w:rPr>
              <w:t>Lower platform unit cost primarily due to cost improvements in 10nm SuperFin</w:t>
            </w:r>
          </w:p>
        </w:tc>
      </w:tr>
      <w:tr w:rsidR="00996AD7" w14:paraId="39D994A8" w14:textId="77777777">
        <w:tc>
          <w:tcPr>
            <w:tcW w:w="0" w:type="auto"/>
            <w:gridSpan w:val="2"/>
            <w:shd w:val="clear" w:color="auto" w:fill="auto"/>
            <w:tcMar>
              <w:top w:w="40" w:type="dxa"/>
              <w:left w:w="20" w:type="dxa"/>
              <w:bottom w:w="40" w:type="dxa"/>
              <w:right w:w="0" w:type="dxa"/>
            </w:tcMar>
          </w:tcPr>
          <w:p w14:paraId="39D994A4" w14:textId="77777777" w:rsidR="00996AD7" w:rsidRDefault="00D96458">
            <w:pPr>
              <w:jc w:val="right"/>
              <w:textAlignment w:val="top"/>
            </w:pPr>
            <w:r>
              <w:rPr>
                <w:rFonts w:ascii="Arial" w:eastAsia="宋体" w:hAnsi="Arial" w:cs="Arial"/>
                <w:color w:val="0068B5"/>
                <w:sz w:val="18"/>
                <w:szCs w:val="18"/>
              </w:rPr>
              <w:t>450 </w:t>
            </w:r>
          </w:p>
        </w:tc>
        <w:tc>
          <w:tcPr>
            <w:tcW w:w="0" w:type="auto"/>
            <w:shd w:val="clear" w:color="auto" w:fill="auto"/>
            <w:tcMar>
              <w:top w:w="40" w:type="dxa"/>
              <w:left w:w="0" w:type="dxa"/>
              <w:bottom w:w="40" w:type="dxa"/>
              <w:right w:w="20" w:type="dxa"/>
            </w:tcMar>
          </w:tcPr>
          <w:p w14:paraId="39D994A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A6"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A7" w14:textId="77777777" w:rsidR="00996AD7" w:rsidRDefault="00D96458">
            <w:pPr>
              <w:textAlignment w:val="top"/>
            </w:pPr>
            <w:r>
              <w:rPr>
                <w:rFonts w:ascii="Arial" w:eastAsia="宋体" w:hAnsi="Arial" w:cs="Arial"/>
                <w:color w:val="0068B5"/>
                <w:sz w:val="18"/>
                <w:szCs w:val="18"/>
              </w:rPr>
              <w:t xml:space="preserve">Higher gross margin from platform </w:t>
            </w:r>
            <w:r>
              <w:rPr>
                <w:rFonts w:ascii="Arial" w:eastAsia="宋体" w:hAnsi="Arial" w:cs="Arial"/>
                <w:color w:val="0068B5"/>
                <w:sz w:val="18"/>
                <w:szCs w:val="18"/>
              </w:rPr>
              <w:t>revenue</w:t>
            </w:r>
          </w:p>
        </w:tc>
      </w:tr>
      <w:tr w:rsidR="00996AD7" w14:paraId="39D994AD" w14:textId="77777777">
        <w:tc>
          <w:tcPr>
            <w:tcW w:w="0" w:type="auto"/>
            <w:gridSpan w:val="2"/>
            <w:shd w:val="clear" w:color="auto" w:fill="auto"/>
            <w:tcMar>
              <w:top w:w="40" w:type="dxa"/>
              <w:left w:w="20" w:type="dxa"/>
              <w:bottom w:w="40" w:type="dxa"/>
              <w:right w:w="0" w:type="dxa"/>
            </w:tcMar>
          </w:tcPr>
          <w:p w14:paraId="39D994A9" w14:textId="77777777" w:rsidR="00996AD7" w:rsidRDefault="00D96458">
            <w:pPr>
              <w:jc w:val="right"/>
              <w:textAlignment w:val="top"/>
            </w:pPr>
            <w:r>
              <w:rPr>
                <w:rFonts w:ascii="Arial" w:eastAsia="宋体" w:hAnsi="Arial" w:cs="Arial"/>
                <w:color w:val="0068B5"/>
                <w:sz w:val="18"/>
                <w:szCs w:val="18"/>
              </w:rPr>
              <w:t>255 </w:t>
            </w:r>
          </w:p>
        </w:tc>
        <w:tc>
          <w:tcPr>
            <w:tcW w:w="0" w:type="auto"/>
            <w:shd w:val="clear" w:color="auto" w:fill="auto"/>
            <w:tcMar>
              <w:top w:w="40" w:type="dxa"/>
              <w:left w:w="0" w:type="dxa"/>
              <w:bottom w:w="40" w:type="dxa"/>
              <w:right w:w="20" w:type="dxa"/>
            </w:tcMar>
          </w:tcPr>
          <w:p w14:paraId="39D994A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AB"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AC" w14:textId="77777777" w:rsidR="00996AD7" w:rsidRDefault="00D96458">
            <w:pPr>
              <w:textAlignment w:val="top"/>
            </w:pPr>
            <w:r>
              <w:rPr>
                <w:rFonts w:ascii="Arial" w:eastAsia="宋体" w:hAnsi="Arial" w:cs="Arial"/>
                <w:color w:val="0068B5"/>
                <w:sz w:val="18"/>
                <w:szCs w:val="18"/>
              </w:rPr>
              <w:t>Lower period charges driven by lower reserves taken on non-qualified platform products</w:t>
            </w:r>
          </w:p>
        </w:tc>
      </w:tr>
      <w:tr w:rsidR="00996AD7" w14:paraId="39D994B2" w14:textId="77777777">
        <w:tc>
          <w:tcPr>
            <w:tcW w:w="0" w:type="auto"/>
            <w:gridSpan w:val="2"/>
            <w:shd w:val="clear" w:color="auto" w:fill="auto"/>
            <w:tcMar>
              <w:top w:w="40" w:type="dxa"/>
              <w:left w:w="20" w:type="dxa"/>
              <w:bottom w:w="40" w:type="dxa"/>
              <w:right w:w="0" w:type="dxa"/>
            </w:tcMar>
          </w:tcPr>
          <w:p w14:paraId="39D994AE" w14:textId="77777777" w:rsidR="00996AD7" w:rsidRDefault="00D96458">
            <w:pPr>
              <w:jc w:val="right"/>
              <w:textAlignment w:val="top"/>
            </w:pPr>
            <w:r>
              <w:rPr>
                <w:rFonts w:ascii="Arial" w:eastAsia="宋体" w:hAnsi="Arial" w:cs="Arial"/>
                <w:color w:val="0068B5"/>
                <w:sz w:val="18"/>
                <w:szCs w:val="18"/>
              </w:rPr>
              <w:t>125 </w:t>
            </w:r>
          </w:p>
        </w:tc>
        <w:tc>
          <w:tcPr>
            <w:tcW w:w="0" w:type="auto"/>
            <w:shd w:val="clear" w:color="auto" w:fill="auto"/>
            <w:tcMar>
              <w:top w:w="40" w:type="dxa"/>
              <w:left w:w="0" w:type="dxa"/>
              <w:bottom w:w="40" w:type="dxa"/>
              <w:right w:w="20" w:type="dxa"/>
            </w:tcMar>
          </w:tcPr>
          <w:p w14:paraId="39D994A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B0"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B1" w14:textId="77777777" w:rsidR="00996AD7" w:rsidRDefault="00D96458">
            <w:pPr>
              <w:textAlignment w:val="top"/>
            </w:pPr>
            <w:r>
              <w:rPr>
                <w:rFonts w:ascii="Arial" w:eastAsia="宋体" w:hAnsi="Arial" w:cs="Arial"/>
                <w:color w:val="0068B5"/>
                <w:sz w:val="18"/>
                <w:szCs w:val="18"/>
              </w:rPr>
              <w:t>Lower period charges primarily driven by a decrease in engineering samples</w:t>
            </w:r>
          </w:p>
        </w:tc>
      </w:tr>
      <w:tr w:rsidR="00996AD7" w14:paraId="39D994B7" w14:textId="77777777">
        <w:tc>
          <w:tcPr>
            <w:tcW w:w="0" w:type="auto"/>
            <w:gridSpan w:val="2"/>
            <w:shd w:val="clear" w:color="auto" w:fill="auto"/>
            <w:tcMar>
              <w:top w:w="40" w:type="dxa"/>
              <w:left w:w="20" w:type="dxa"/>
              <w:bottom w:w="40" w:type="dxa"/>
              <w:right w:w="0" w:type="dxa"/>
            </w:tcMar>
          </w:tcPr>
          <w:p w14:paraId="39D994B3" w14:textId="77777777" w:rsidR="00996AD7" w:rsidRDefault="00D96458">
            <w:pPr>
              <w:jc w:val="right"/>
              <w:textAlignment w:val="top"/>
            </w:pPr>
            <w:r>
              <w:rPr>
                <w:rFonts w:ascii="Arial" w:eastAsia="宋体" w:hAnsi="Arial" w:cs="Arial"/>
                <w:color w:val="0068B5"/>
                <w:sz w:val="18"/>
                <w:szCs w:val="18"/>
              </w:rPr>
              <w:t>(540)</w:t>
            </w:r>
          </w:p>
        </w:tc>
        <w:tc>
          <w:tcPr>
            <w:tcW w:w="0" w:type="auto"/>
            <w:shd w:val="clear" w:color="auto" w:fill="auto"/>
            <w:tcMar>
              <w:top w:w="40" w:type="dxa"/>
              <w:left w:w="0" w:type="dxa"/>
              <w:bottom w:w="40" w:type="dxa"/>
              <w:right w:w="20" w:type="dxa"/>
            </w:tcMar>
          </w:tcPr>
          <w:p w14:paraId="39D994B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B5"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B6" w14:textId="77777777" w:rsidR="00996AD7" w:rsidRDefault="00D96458">
            <w:pPr>
              <w:textAlignment w:val="top"/>
            </w:pPr>
            <w:r>
              <w:rPr>
                <w:rFonts w:ascii="Arial" w:eastAsia="宋体" w:hAnsi="Arial" w:cs="Arial"/>
                <w:color w:val="0068B5"/>
                <w:sz w:val="18"/>
                <w:szCs w:val="18"/>
              </w:rPr>
              <w:t xml:space="preserve">Higher operating expenses driven by increased </w:t>
            </w:r>
            <w:r>
              <w:rPr>
                <w:rFonts w:ascii="Arial" w:eastAsia="宋体" w:hAnsi="Arial" w:cs="Arial"/>
                <w:color w:val="0068B5"/>
                <w:sz w:val="18"/>
                <w:szCs w:val="18"/>
              </w:rPr>
              <w:t>investment in support of leadership products</w:t>
            </w:r>
          </w:p>
        </w:tc>
      </w:tr>
      <w:tr w:rsidR="00996AD7" w14:paraId="39D994BC" w14:textId="77777777">
        <w:tc>
          <w:tcPr>
            <w:tcW w:w="0" w:type="auto"/>
            <w:gridSpan w:val="2"/>
            <w:shd w:val="clear" w:color="auto" w:fill="auto"/>
            <w:tcMar>
              <w:top w:w="40" w:type="dxa"/>
              <w:left w:w="20" w:type="dxa"/>
              <w:bottom w:w="40" w:type="dxa"/>
              <w:right w:w="0" w:type="dxa"/>
            </w:tcMar>
          </w:tcPr>
          <w:p w14:paraId="39D994B8" w14:textId="77777777" w:rsidR="00996AD7" w:rsidRDefault="00D96458">
            <w:pPr>
              <w:jc w:val="right"/>
              <w:textAlignment w:val="top"/>
            </w:pPr>
            <w:r>
              <w:rPr>
                <w:rFonts w:ascii="Arial" w:eastAsia="宋体" w:hAnsi="Arial" w:cs="Arial"/>
                <w:color w:val="0068B5"/>
                <w:sz w:val="18"/>
                <w:szCs w:val="18"/>
              </w:rPr>
              <w:t>(280)</w:t>
            </w:r>
          </w:p>
        </w:tc>
        <w:tc>
          <w:tcPr>
            <w:tcW w:w="0" w:type="auto"/>
            <w:shd w:val="clear" w:color="auto" w:fill="auto"/>
            <w:tcMar>
              <w:top w:w="40" w:type="dxa"/>
              <w:left w:w="0" w:type="dxa"/>
              <w:bottom w:w="40" w:type="dxa"/>
              <w:right w:w="20" w:type="dxa"/>
            </w:tcMar>
          </w:tcPr>
          <w:p w14:paraId="39D994B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B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BB" w14:textId="77777777" w:rsidR="00996AD7" w:rsidRDefault="00D96458">
            <w:pPr>
              <w:textAlignment w:val="top"/>
            </w:pPr>
            <w:r>
              <w:rPr>
                <w:rFonts w:ascii="Arial" w:eastAsia="宋体" w:hAnsi="Arial" w:cs="Arial"/>
                <w:color w:val="0068B5"/>
                <w:sz w:val="18"/>
                <w:szCs w:val="18"/>
              </w:rPr>
              <w:t>Higher period charges primarily associated with the ramp up of Intel 4</w:t>
            </w:r>
          </w:p>
        </w:tc>
      </w:tr>
      <w:tr w:rsidR="00996AD7" w14:paraId="39D994C1" w14:textId="77777777">
        <w:tc>
          <w:tcPr>
            <w:tcW w:w="0" w:type="auto"/>
            <w:gridSpan w:val="2"/>
            <w:shd w:val="clear" w:color="auto" w:fill="auto"/>
            <w:tcMar>
              <w:top w:w="40" w:type="dxa"/>
              <w:left w:w="20" w:type="dxa"/>
              <w:bottom w:w="40" w:type="dxa"/>
              <w:right w:w="0" w:type="dxa"/>
            </w:tcMar>
          </w:tcPr>
          <w:p w14:paraId="39D994BD" w14:textId="77777777" w:rsidR="00996AD7" w:rsidRDefault="00D96458">
            <w:pPr>
              <w:jc w:val="right"/>
              <w:textAlignment w:val="top"/>
            </w:pPr>
            <w:r>
              <w:rPr>
                <w:rFonts w:ascii="Arial" w:eastAsia="宋体" w:hAnsi="Arial" w:cs="Arial"/>
                <w:color w:val="0068B5"/>
                <w:sz w:val="18"/>
                <w:szCs w:val="18"/>
              </w:rPr>
              <w:t>(250)</w:t>
            </w:r>
          </w:p>
        </w:tc>
        <w:tc>
          <w:tcPr>
            <w:tcW w:w="0" w:type="auto"/>
            <w:shd w:val="clear" w:color="auto" w:fill="auto"/>
            <w:tcMar>
              <w:top w:w="40" w:type="dxa"/>
              <w:left w:w="0" w:type="dxa"/>
              <w:bottom w:w="40" w:type="dxa"/>
              <w:right w:w="20" w:type="dxa"/>
            </w:tcMar>
          </w:tcPr>
          <w:p w14:paraId="39D994B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BF"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C0" w14:textId="77777777" w:rsidR="00996AD7" w:rsidRDefault="00D96458">
            <w:pPr>
              <w:textAlignment w:val="top"/>
            </w:pPr>
            <w:r>
              <w:rPr>
                <w:rFonts w:ascii="Arial" w:eastAsia="宋体" w:hAnsi="Arial" w:cs="Arial"/>
                <w:color w:val="0068B5"/>
                <w:sz w:val="18"/>
                <w:szCs w:val="18"/>
              </w:rPr>
              <w:t>Higher period charges primarily associated with the ramp down of 14nm</w:t>
            </w:r>
          </w:p>
        </w:tc>
      </w:tr>
      <w:tr w:rsidR="00996AD7" w14:paraId="39D994C5" w14:textId="77777777">
        <w:trPr>
          <w:hidden/>
        </w:trPr>
        <w:tc>
          <w:tcPr>
            <w:tcW w:w="0" w:type="auto"/>
            <w:gridSpan w:val="3"/>
            <w:shd w:val="clear" w:color="auto" w:fill="auto"/>
            <w:vAlign w:val="bottom"/>
          </w:tcPr>
          <w:p w14:paraId="39D994C2" w14:textId="77777777" w:rsidR="00996AD7" w:rsidRDefault="00996AD7">
            <w:pPr>
              <w:rPr>
                <w:rFonts w:ascii="宋体"/>
                <w:vanish/>
              </w:rPr>
            </w:pPr>
          </w:p>
        </w:tc>
        <w:tc>
          <w:tcPr>
            <w:tcW w:w="0" w:type="auto"/>
            <w:gridSpan w:val="3"/>
            <w:shd w:val="clear" w:color="auto" w:fill="auto"/>
            <w:vAlign w:val="bottom"/>
          </w:tcPr>
          <w:p w14:paraId="39D994C3" w14:textId="77777777" w:rsidR="00996AD7" w:rsidRDefault="00996AD7">
            <w:pPr>
              <w:rPr>
                <w:rFonts w:ascii="宋体"/>
                <w:vanish/>
              </w:rPr>
            </w:pPr>
          </w:p>
        </w:tc>
        <w:tc>
          <w:tcPr>
            <w:tcW w:w="0" w:type="auto"/>
            <w:gridSpan w:val="3"/>
            <w:shd w:val="clear" w:color="auto" w:fill="auto"/>
            <w:vAlign w:val="bottom"/>
          </w:tcPr>
          <w:p w14:paraId="39D994C4" w14:textId="77777777" w:rsidR="00996AD7" w:rsidRDefault="00996AD7">
            <w:pPr>
              <w:rPr>
                <w:rFonts w:ascii="宋体"/>
                <w:vanish/>
              </w:rPr>
            </w:pPr>
          </w:p>
        </w:tc>
      </w:tr>
      <w:tr w:rsidR="00996AD7" w14:paraId="39D994CA" w14:textId="77777777">
        <w:tc>
          <w:tcPr>
            <w:tcW w:w="0" w:type="auto"/>
            <w:gridSpan w:val="2"/>
            <w:shd w:val="clear" w:color="auto" w:fill="auto"/>
            <w:tcMar>
              <w:top w:w="40" w:type="dxa"/>
              <w:left w:w="20" w:type="dxa"/>
              <w:bottom w:w="40" w:type="dxa"/>
              <w:right w:w="0" w:type="dxa"/>
            </w:tcMar>
          </w:tcPr>
          <w:p w14:paraId="39D994C6" w14:textId="77777777" w:rsidR="00996AD7" w:rsidRDefault="00D96458">
            <w:pPr>
              <w:jc w:val="right"/>
              <w:textAlignment w:val="top"/>
            </w:pPr>
            <w:r>
              <w:rPr>
                <w:rFonts w:ascii="Arial" w:eastAsia="宋体" w:hAnsi="Arial" w:cs="Arial"/>
                <w:color w:val="0068B5"/>
                <w:sz w:val="18"/>
                <w:szCs w:val="18"/>
              </w:rPr>
              <w:t>(39)</w:t>
            </w:r>
          </w:p>
        </w:tc>
        <w:tc>
          <w:tcPr>
            <w:tcW w:w="0" w:type="auto"/>
            <w:shd w:val="clear" w:color="auto" w:fill="auto"/>
            <w:tcMar>
              <w:top w:w="40" w:type="dxa"/>
              <w:left w:w="0" w:type="dxa"/>
              <w:bottom w:w="40" w:type="dxa"/>
              <w:right w:w="20" w:type="dxa"/>
            </w:tcMar>
          </w:tcPr>
          <w:p w14:paraId="39D994C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C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4C9" w14:textId="77777777" w:rsidR="00996AD7" w:rsidRDefault="00D96458">
            <w:pPr>
              <w:textAlignment w:val="top"/>
            </w:pPr>
            <w:r>
              <w:rPr>
                <w:rFonts w:ascii="Arial" w:eastAsia="宋体" w:hAnsi="Arial" w:cs="Arial"/>
                <w:color w:val="0068B5"/>
                <w:sz w:val="18"/>
                <w:szCs w:val="18"/>
              </w:rPr>
              <w:t>Other</w:t>
            </w:r>
          </w:p>
        </w:tc>
      </w:tr>
      <w:tr w:rsidR="00996AD7" w14:paraId="39D994D0"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39D994CB"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39D994CC" w14:textId="77777777" w:rsidR="00996AD7" w:rsidRDefault="00D96458">
            <w:pPr>
              <w:jc w:val="right"/>
              <w:textAlignment w:val="bottom"/>
            </w:pPr>
            <w:r>
              <w:rPr>
                <w:rFonts w:ascii="Arial" w:eastAsia="宋体" w:hAnsi="Arial" w:cs="Arial"/>
                <w:b/>
                <w:bCs/>
                <w:color w:val="262626"/>
                <w:sz w:val="18"/>
                <w:szCs w:val="18"/>
              </w:rPr>
              <w:t>10,621</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39D994C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4CE" w14:textId="77777777" w:rsidR="00996AD7" w:rsidRDefault="00996AD7">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39D994CF" w14:textId="77777777" w:rsidR="00996AD7" w:rsidRDefault="00D96458">
            <w:pPr>
              <w:textAlignment w:val="bottom"/>
            </w:pPr>
            <w:r>
              <w:rPr>
                <w:rFonts w:ascii="Arial" w:eastAsia="宋体" w:hAnsi="Arial" w:cs="Arial"/>
                <w:b/>
                <w:bCs/>
                <w:color w:val="262626"/>
                <w:sz w:val="18"/>
                <w:szCs w:val="18"/>
              </w:rPr>
              <w:t xml:space="preserve">YTD 2020 CCG </w:t>
            </w:r>
            <w:r>
              <w:rPr>
                <w:rFonts w:ascii="Arial" w:eastAsia="宋体" w:hAnsi="Arial" w:cs="Arial"/>
                <w:b/>
                <w:bCs/>
                <w:color w:val="262626"/>
                <w:sz w:val="18"/>
                <w:szCs w:val="18"/>
              </w:rPr>
              <w:t>Operating Income</w:t>
            </w:r>
          </w:p>
        </w:tc>
      </w:tr>
    </w:tbl>
    <w:p w14:paraId="39D994D1" w14:textId="77777777" w:rsidR="00996AD7" w:rsidRDefault="00996AD7">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996AD7" w14:paraId="39D994DB" w14:textId="77777777">
        <w:tc>
          <w:tcPr>
            <w:tcW w:w="50" w:type="pct"/>
            <w:shd w:val="clear" w:color="auto" w:fill="auto"/>
            <w:vAlign w:val="bottom"/>
          </w:tcPr>
          <w:p w14:paraId="39D994D2" w14:textId="77777777" w:rsidR="00996AD7" w:rsidRDefault="00996AD7">
            <w:pPr>
              <w:rPr>
                <w:rFonts w:ascii="宋体"/>
              </w:rPr>
            </w:pPr>
          </w:p>
        </w:tc>
        <w:tc>
          <w:tcPr>
            <w:tcW w:w="212" w:type="pct"/>
            <w:shd w:val="clear" w:color="auto" w:fill="auto"/>
            <w:vAlign w:val="bottom"/>
          </w:tcPr>
          <w:p w14:paraId="39D994D3" w14:textId="77777777" w:rsidR="00996AD7" w:rsidRDefault="00996AD7">
            <w:pPr>
              <w:rPr>
                <w:rFonts w:ascii="宋体"/>
              </w:rPr>
            </w:pPr>
          </w:p>
        </w:tc>
        <w:tc>
          <w:tcPr>
            <w:tcW w:w="5" w:type="pct"/>
            <w:shd w:val="clear" w:color="auto" w:fill="auto"/>
            <w:vAlign w:val="bottom"/>
          </w:tcPr>
          <w:p w14:paraId="39D994D4" w14:textId="77777777" w:rsidR="00996AD7" w:rsidRDefault="00996AD7">
            <w:pPr>
              <w:rPr>
                <w:rFonts w:ascii="宋体"/>
              </w:rPr>
            </w:pPr>
          </w:p>
        </w:tc>
        <w:tc>
          <w:tcPr>
            <w:tcW w:w="50" w:type="pct"/>
            <w:shd w:val="clear" w:color="auto" w:fill="auto"/>
            <w:vAlign w:val="bottom"/>
          </w:tcPr>
          <w:p w14:paraId="39D994D5" w14:textId="77777777" w:rsidR="00996AD7" w:rsidRDefault="00996AD7">
            <w:pPr>
              <w:rPr>
                <w:rFonts w:ascii="宋体"/>
              </w:rPr>
            </w:pPr>
          </w:p>
        </w:tc>
        <w:tc>
          <w:tcPr>
            <w:tcW w:w="2499" w:type="pct"/>
            <w:shd w:val="clear" w:color="auto" w:fill="auto"/>
            <w:vAlign w:val="bottom"/>
          </w:tcPr>
          <w:p w14:paraId="39D994D6" w14:textId="77777777" w:rsidR="00996AD7" w:rsidRDefault="00996AD7">
            <w:pPr>
              <w:rPr>
                <w:rFonts w:ascii="宋体"/>
              </w:rPr>
            </w:pPr>
          </w:p>
        </w:tc>
        <w:tc>
          <w:tcPr>
            <w:tcW w:w="5" w:type="pct"/>
            <w:shd w:val="clear" w:color="auto" w:fill="auto"/>
            <w:vAlign w:val="bottom"/>
          </w:tcPr>
          <w:p w14:paraId="39D994D7" w14:textId="77777777" w:rsidR="00996AD7" w:rsidRDefault="00996AD7">
            <w:pPr>
              <w:rPr>
                <w:rFonts w:ascii="宋体"/>
              </w:rPr>
            </w:pPr>
          </w:p>
        </w:tc>
        <w:tc>
          <w:tcPr>
            <w:tcW w:w="50" w:type="pct"/>
            <w:shd w:val="clear" w:color="auto" w:fill="auto"/>
            <w:vAlign w:val="bottom"/>
          </w:tcPr>
          <w:p w14:paraId="39D994D8" w14:textId="77777777" w:rsidR="00996AD7" w:rsidRDefault="00996AD7">
            <w:pPr>
              <w:rPr>
                <w:rFonts w:ascii="宋体"/>
              </w:rPr>
            </w:pPr>
          </w:p>
        </w:tc>
        <w:tc>
          <w:tcPr>
            <w:tcW w:w="2122" w:type="pct"/>
            <w:shd w:val="clear" w:color="auto" w:fill="auto"/>
            <w:vAlign w:val="bottom"/>
          </w:tcPr>
          <w:p w14:paraId="39D994D9" w14:textId="77777777" w:rsidR="00996AD7" w:rsidRDefault="00996AD7">
            <w:pPr>
              <w:rPr>
                <w:rFonts w:ascii="宋体"/>
              </w:rPr>
            </w:pPr>
          </w:p>
        </w:tc>
        <w:tc>
          <w:tcPr>
            <w:tcW w:w="5" w:type="pct"/>
            <w:shd w:val="clear" w:color="auto" w:fill="auto"/>
            <w:vAlign w:val="bottom"/>
          </w:tcPr>
          <w:p w14:paraId="39D994DA" w14:textId="77777777" w:rsidR="00996AD7" w:rsidRDefault="00996AD7">
            <w:pPr>
              <w:rPr>
                <w:rFonts w:ascii="宋体"/>
              </w:rPr>
            </w:pPr>
          </w:p>
        </w:tc>
      </w:tr>
      <w:tr w:rsidR="00996AD7" w14:paraId="39D994D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4DC"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E5" wp14:editId="39D9A3E6">
                  <wp:extent cx="304800" cy="304800"/>
                  <wp:effectExtent l="0" t="0" r="0" b="0"/>
                  <wp:docPr id="89" name="图片 93"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3"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4DD"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4DE" w14:textId="77777777" w:rsidR="00996AD7" w:rsidRDefault="00D96458">
            <w:pPr>
              <w:jc w:val="right"/>
              <w:textAlignment w:val="center"/>
            </w:pPr>
            <w:r>
              <w:rPr>
                <w:rFonts w:ascii="Arial" w:eastAsia="宋体" w:hAnsi="Arial" w:cs="Arial"/>
                <w:color w:val="262626"/>
                <w:sz w:val="16"/>
                <w:szCs w:val="16"/>
              </w:rPr>
              <w:t>26</w:t>
            </w:r>
          </w:p>
        </w:tc>
      </w:tr>
    </w:tbl>
    <w:p w14:paraId="39D994E0" w14:textId="77777777" w:rsidR="00996AD7" w:rsidRDefault="00D96458">
      <w:r>
        <w:pict w14:anchorId="39D9A3E7">
          <v:rect id="_x0000_i1052" style="width:415.3pt;height:1.5pt" o:hralign="center" o:hrstd="t" o:hr="t" fillcolor="#a0a0a0" stroked="f"/>
        </w:pict>
      </w:r>
    </w:p>
    <w:p w14:paraId="39D994E1" w14:textId="77777777" w:rsidR="00996AD7" w:rsidRDefault="00D96458">
      <w:pPr>
        <w:spacing w:after="180"/>
        <w:jc w:val="right"/>
      </w:pPr>
      <w:hyperlink r:id="rId53" w:anchor="i94e6cc3aa83643b8b968bd5bab038338_7" w:history="1">
        <w:r>
          <w:rPr>
            <w:rStyle w:val="a5"/>
            <w:rFonts w:ascii="Arial" w:eastAsia="宋体" w:hAnsi="Arial" w:cs="Arial"/>
            <w:b/>
            <w:bCs/>
            <w:color w:val="0068B5"/>
            <w:sz w:val="16"/>
            <w:szCs w:val="16"/>
          </w:rPr>
          <w:t>Table of Contents</w:t>
        </w:r>
      </w:hyperlink>
    </w:p>
    <w:p w14:paraId="39D994E2" w14:textId="77777777" w:rsidR="00996AD7" w:rsidRDefault="00996AD7">
      <w:pPr>
        <w:spacing w:after="180"/>
        <w:jc w:val="right"/>
      </w:pPr>
    </w:p>
    <w:p w14:paraId="39D994E3" w14:textId="77777777" w:rsidR="00996AD7" w:rsidRDefault="00D96458">
      <w:pPr>
        <w:spacing w:before="300" w:after="180"/>
      </w:pPr>
      <w:r>
        <w:rPr>
          <w:rFonts w:ascii="Arial" w:eastAsia="宋体" w:hAnsi="Arial" w:cs="Arial"/>
          <w:color w:val="0068B5"/>
          <w:sz w:val="28"/>
          <w:szCs w:val="28"/>
        </w:rPr>
        <w:t>Data Center Group</w:t>
      </w:r>
    </w:p>
    <w:p w14:paraId="39D994E4" w14:textId="77777777" w:rsidR="00996AD7" w:rsidRDefault="00D96458">
      <w:pPr>
        <w:spacing w:after="180"/>
      </w:pPr>
      <w:r>
        <w:rPr>
          <w:rFonts w:ascii="Arial" w:eastAsia="宋体" w:hAnsi="Arial" w:cs="Arial"/>
          <w:color w:val="262626"/>
          <w:sz w:val="18"/>
          <w:szCs w:val="18"/>
        </w:rPr>
        <w:t>DCG develops workload-optimized platforms for compute, storage, and network functions. With unmatched scale, portfolio breadth, and ecosystem support, we are uniquely positioned to enable the world to unleash the potential of data, unlocking value for peop</w:t>
      </w:r>
      <w:r>
        <w:rPr>
          <w:rFonts w:ascii="Arial" w:eastAsia="宋体" w:hAnsi="Arial" w:cs="Arial"/>
          <w:color w:val="262626"/>
          <w:sz w:val="18"/>
          <w:szCs w:val="18"/>
        </w:rPr>
        <w:t>le, business, and society on a global scale. Market segments include cloud service providers, enterprise and government, and communications service providers. We serve the global appetite for cloud computing and enable transformation of the network and edg</w:t>
      </w:r>
      <w:r>
        <w:rPr>
          <w:rFonts w:ascii="Arial" w:eastAsia="宋体" w:hAnsi="Arial" w:cs="Arial"/>
          <w:color w:val="262626"/>
          <w:sz w:val="18"/>
          <w:szCs w:val="18"/>
        </w:rPr>
        <w:t xml:space="preserve">e. In 2021, our DCG operating segment includes the results of our Intel Optane memory business. </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996AD7" w14:paraId="39D994F1" w14:textId="77777777">
        <w:tc>
          <w:tcPr>
            <w:tcW w:w="20" w:type="dxa"/>
            <w:shd w:val="clear" w:color="auto" w:fill="auto"/>
            <w:vAlign w:val="bottom"/>
          </w:tcPr>
          <w:p w14:paraId="39D994E5" w14:textId="77777777" w:rsidR="00996AD7" w:rsidRDefault="00996AD7">
            <w:pPr>
              <w:rPr>
                <w:rFonts w:ascii="宋体"/>
              </w:rPr>
            </w:pPr>
          </w:p>
        </w:tc>
        <w:tc>
          <w:tcPr>
            <w:tcW w:w="80" w:type="dxa"/>
            <w:shd w:val="clear" w:color="auto" w:fill="auto"/>
            <w:vAlign w:val="bottom"/>
          </w:tcPr>
          <w:p w14:paraId="39D994E6" w14:textId="77777777" w:rsidR="00996AD7" w:rsidRDefault="00996AD7">
            <w:pPr>
              <w:rPr>
                <w:rFonts w:ascii="宋体"/>
              </w:rPr>
            </w:pPr>
          </w:p>
        </w:tc>
        <w:tc>
          <w:tcPr>
            <w:tcW w:w="20" w:type="dxa"/>
            <w:shd w:val="clear" w:color="auto" w:fill="auto"/>
            <w:vAlign w:val="bottom"/>
          </w:tcPr>
          <w:p w14:paraId="39D994E7" w14:textId="77777777" w:rsidR="00996AD7" w:rsidRDefault="00996AD7">
            <w:pPr>
              <w:rPr>
                <w:rFonts w:ascii="宋体"/>
              </w:rPr>
            </w:pPr>
          </w:p>
        </w:tc>
        <w:tc>
          <w:tcPr>
            <w:tcW w:w="20" w:type="dxa"/>
            <w:shd w:val="clear" w:color="auto" w:fill="auto"/>
            <w:vAlign w:val="bottom"/>
          </w:tcPr>
          <w:p w14:paraId="39D994E8" w14:textId="77777777" w:rsidR="00996AD7" w:rsidRDefault="00996AD7">
            <w:pPr>
              <w:rPr>
                <w:rFonts w:ascii="宋体"/>
              </w:rPr>
            </w:pPr>
          </w:p>
        </w:tc>
        <w:tc>
          <w:tcPr>
            <w:tcW w:w="5165" w:type="dxa"/>
            <w:shd w:val="clear" w:color="auto" w:fill="auto"/>
            <w:vAlign w:val="bottom"/>
          </w:tcPr>
          <w:p w14:paraId="39D994E9" w14:textId="77777777" w:rsidR="00996AD7" w:rsidRDefault="00996AD7">
            <w:pPr>
              <w:rPr>
                <w:rFonts w:ascii="宋体"/>
              </w:rPr>
            </w:pPr>
          </w:p>
        </w:tc>
        <w:tc>
          <w:tcPr>
            <w:tcW w:w="20" w:type="dxa"/>
            <w:shd w:val="clear" w:color="auto" w:fill="auto"/>
            <w:vAlign w:val="bottom"/>
          </w:tcPr>
          <w:p w14:paraId="39D994EA" w14:textId="77777777" w:rsidR="00996AD7" w:rsidRDefault="00996AD7">
            <w:pPr>
              <w:rPr>
                <w:rFonts w:ascii="宋体"/>
              </w:rPr>
            </w:pPr>
          </w:p>
        </w:tc>
        <w:tc>
          <w:tcPr>
            <w:tcW w:w="20" w:type="dxa"/>
            <w:shd w:val="clear" w:color="auto" w:fill="auto"/>
            <w:vAlign w:val="bottom"/>
          </w:tcPr>
          <w:p w14:paraId="39D994EB" w14:textId="77777777" w:rsidR="00996AD7" w:rsidRDefault="00996AD7">
            <w:pPr>
              <w:rPr>
                <w:rFonts w:ascii="宋体"/>
              </w:rPr>
            </w:pPr>
          </w:p>
        </w:tc>
        <w:tc>
          <w:tcPr>
            <w:tcW w:w="260" w:type="dxa"/>
            <w:shd w:val="clear" w:color="auto" w:fill="auto"/>
            <w:vAlign w:val="bottom"/>
          </w:tcPr>
          <w:p w14:paraId="39D994EC" w14:textId="77777777" w:rsidR="00996AD7" w:rsidRDefault="00996AD7">
            <w:pPr>
              <w:rPr>
                <w:rFonts w:ascii="宋体"/>
              </w:rPr>
            </w:pPr>
          </w:p>
        </w:tc>
        <w:tc>
          <w:tcPr>
            <w:tcW w:w="20" w:type="dxa"/>
            <w:shd w:val="clear" w:color="auto" w:fill="auto"/>
            <w:vAlign w:val="bottom"/>
          </w:tcPr>
          <w:p w14:paraId="39D994ED" w14:textId="77777777" w:rsidR="00996AD7" w:rsidRDefault="00996AD7">
            <w:pPr>
              <w:rPr>
                <w:rFonts w:ascii="宋体"/>
              </w:rPr>
            </w:pPr>
          </w:p>
        </w:tc>
        <w:tc>
          <w:tcPr>
            <w:tcW w:w="20" w:type="dxa"/>
            <w:shd w:val="clear" w:color="auto" w:fill="auto"/>
            <w:vAlign w:val="bottom"/>
          </w:tcPr>
          <w:p w14:paraId="39D994EE" w14:textId="77777777" w:rsidR="00996AD7" w:rsidRDefault="00996AD7">
            <w:pPr>
              <w:rPr>
                <w:rFonts w:ascii="宋体"/>
              </w:rPr>
            </w:pPr>
          </w:p>
        </w:tc>
        <w:tc>
          <w:tcPr>
            <w:tcW w:w="5165" w:type="dxa"/>
            <w:shd w:val="clear" w:color="auto" w:fill="auto"/>
            <w:vAlign w:val="bottom"/>
          </w:tcPr>
          <w:p w14:paraId="39D994EF" w14:textId="77777777" w:rsidR="00996AD7" w:rsidRDefault="00996AD7">
            <w:pPr>
              <w:rPr>
                <w:rFonts w:ascii="宋体"/>
              </w:rPr>
            </w:pPr>
          </w:p>
        </w:tc>
        <w:tc>
          <w:tcPr>
            <w:tcW w:w="20" w:type="dxa"/>
            <w:shd w:val="clear" w:color="auto" w:fill="auto"/>
            <w:vAlign w:val="bottom"/>
          </w:tcPr>
          <w:p w14:paraId="39D994F0" w14:textId="77777777" w:rsidR="00996AD7" w:rsidRDefault="00996AD7">
            <w:pPr>
              <w:rPr>
                <w:rFonts w:ascii="宋体"/>
              </w:rPr>
            </w:pPr>
          </w:p>
        </w:tc>
      </w:tr>
      <w:tr w:rsidR="00996AD7" w14:paraId="39D994F6" w14:textId="77777777">
        <w:trPr>
          <w:trHeight w:val="300"/>
        </w:trPr>
        <w:tc>
          <w:tcPr>
            <w:tcW w:w="0" w:type="auto"/>
            <w:gridSpan w:val="3"/>
            <w:shd w:val="clear" w:color="auto" w:fill="auto"/>
            <w:tcMar>
              <w:top w:w="0" w:type="dxa"/>
              <w:left w:w="20" w:type="dxa"/>
              <w:bottom w:w="0" w:type="dxa"/>
              <w:right w:w="20" w:type="dxa"/>
            </w:tcMar>
            <w:vAlign w:val="bottom"/>
          </w:tcPr>
          <w:p w14:paraId="39D994F2"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4F3" w14:textId="77777777" w:rsidR="00996AD7" w:rsidRDefault="00D96458">
            <w:pPr>
              <w:jc w:val="center"/>
              <w:textAlignment w:val="bottom"/>
            </w:pPr>
            <w:r>
              <w:rPr>
                <w:rFonts w:ascii="Arial" w:eastAsia="宋体" w:hAnsi="Arial" w:cs="Arial"/>
                <w:color w:val="0068B5"/>
                <w:sz w:val="20"/>
                <w:szCs w:val="20"/>
              </w:rPr>
              <w:t>DCG Revenue $B</w:t>
            </w:r>
          </w:p>
        </w:tc>
        <w:tc>
          <w:tcPr>
            <w:tcW w:w="0" w:type="auto"/>
            <w:gridSpan w:val="3"/>
            <w:shd w:val="clear" w:color="auto" w:fill="auto"/>
            <w:tcMar>
              <w:top w:w="0" w:type="dxa"/>
              <w:left w:w="20" w:type="dxa"/>
              <w:bottom w:w="0" w:type="dxa"/>
              <w:right w:w="20" w:type="dxa"/>
            </w:tcMar>
            <w:vAlign w:val="bottom"/>
          </w:tcPr>
          <w:p w14:paraId="39D994F4"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4F5" w14:textId="77777777" w:rsidR="00996AD7" w:rsidRDefault="00D96458">
            <w:pPr>
              <w:jc w:val="center"/>
              <w:textAlignment w:val="bottom"/>
            </w:pPr>
            <w:r>
              <w:rPr>
                <w:rFonts w:ascii="Arial" w:eastAsia="宋体" w:hAnsi="Arial" w:cs="Arial"/>
                <w:color w:val="0068B5"/>
                <w:sz w:val="20"/>
                <w:szCs w:val="20"/>
              </w:rPr>
              <w:t>DCG Operating Income $B</w:t>
            </w:r>
          </w:p>
        </w:tc>
      </w:tr>
    </w:tbl>
    <w:p w14:paraId="39D994F7"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E8" wp14:editId="39D9A3E9">
            <wp:extent cx="304800" cy="304800"/>
            <wp:effectExtent l="0" t="0" r="0" b="0"/>
            <wp:docPr id="96" name="图片 95"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5" descr="IMG_28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Viewer5_files/intc-202109</w:instrText>
      </w:r>
      <w:r>
        <w:rPr>
          <w:rFonts w:ascii="宋体" w:eastAsia="宋体" w:hAnsi="宋体" w:cs="宋体"/>
        </w:rPr>
        <w:instrText xml:space="preserve">25_g10.jpg"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EA" wp14:editId="39D9A3EB">
            <wp:extent cx="304800" cy="304800"/>
            <wp:effectExtent l="0" t="0" r="0" b="0"/>
            <wp:docPr id="97" name="图片 96"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6" descr="IMG_29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193"/>
        <w:gridCol w:w="36"/>
        <w:gridCol w:w="36"/>
        <w:gridCol w:w="1288"/>
        <w:gridCol w:w="36"/>
        <w:gridCol w:w="36"/>
        <w:gridCol w:w="8283"/>
        <w:gridCol w:w="36"/>
      </w:tblGrid>
      <w:tr w:rsidR="00996AD7" w14:paraId="39D99501" w14:textId="77777777">
        <w:tc>
          <w:tcPr>
            <w:tcW w:w="20" w:type="dxa"/>
            <w:shd w:val="clear" w:color="auto" w:fill="auto"/>
            <w:vAlign w:val="bottom"/>
          </w:tcPr>
          <w:p w14:paraId="39D994F8" w14:textId="77777777" w:rsidR="00996AD7" w:rsidRDefault="00996AD7">
            <w:pPr>
              <w:rPr>
                <w:rFonts w:ascii="宋体"/>
              </w:rPr>
            </w:pPr>
          </w:p>
        </w:tc>
        <w:tc>
          <w:tcPr>
            <w:tcW w:w="1205" w:type="dxa"/>
            <w:shd w:val="clear" w:color="auto" w:fill="auto"/>
            <w:vAlign w:val="bottom"/>
          </w:tcPr>
          <w:p w14:paraId="39D994F9" w14:textId="77777777" w:rsidR="00996AD7" w:rsidRDefault="00996AD7">
            <w:pPr>
              <w:rPr>
                <w:rFonts w:ascii="宋体"/>
              </w:rPr>
            </w:pPr>
          </w:p>
        </w:tc>
        <w:tc>
          <w:tcPr>
            <w:tcW w:w="20" w:type="dxa"/>
            <w:shd w:val="clear" w:color="auto" w:fill="auto"/>
            <w:vAlign w:val="bottom"/>
          </w:tcPr>
          <w:p w14:paraId="39D994FA" w14:textId="77777777" w:rsidR="00996AD7" w:rsidRDefault="00996AD7">
            <w:pPr>
              <w:rPr>
                <w:rFonts w:ascii="宋体"/>
              </w:rPr>
            </w:pPr>
          </w:p>
        </w:tc>
        <w:tc>
          <w:tcPr>
            <w:tcW w:w="20" w:type="dxa"/>
            <w:shd w:val="clear" w:color="auto" w:fill="auto"/>
            <w:vAlign w:val="bottom"/>
          </w:tcPr>
          <w:p w14:paraId="39D994FB" w14:textId="77777777" w:rsidR="00996AD7" w:rsidRDefault="00996AD7">
            <w:pPr>
              <w:rPr>
                <w:rFonts w:ascii="宋体"/>
              </w:rPr>
            </w:pPr>
          </w:p>
        </w:tc>
        <w:tc>
          <w:tcPr>
            <w:tcW w:w="1295" w:type="dxa"/>
            <w:shd w:val="clear" w:color="auto" w:fill="auto"/>
            <w:vAlign w:val="bottom"/>
          </w:tcPr>
          <w:p w14:paraId="39D994FC" w14:textId="77777777" w:rsidR="00996AD7" w:rsidRDefault="00996AD7">
            <w:pPr>
              <w:rPr>
                <w:rFonts w:ascii="宋体"/>
              </w:rPr>
            </w:pPr>
          </w:p>
        </w:tc>
        <w:tc>
          <w:tcPr>
            <w:tcW w:w="20" w:type="dxa"/>
            <w:shd w:val="clear" w:color="auto" w:fill="auto"/>
            <w:vAlign w:val="bottom"/>
          </w:tcPr>
          <w:p w14:paraId="39D994FD" w14:textId="77777777" w:rsidR="00996AD7" w:rsidRDefault="00996AD7">
            <w:pPr>
              <w:rPr>
                <w:rFonts w:ascii="宋体"/>
              </w:rPr>
            </w:pPr>
          </w:p>
        </w:tc>
        <w:tc>
          <w:tcPr>
            <w:tcW w:w="20" w:type="dxa"/>
            <w:shd w:val="clear" w:color="auto" w:fill="auto"/>
            <w:vAlign w:val="bottom"/>
          </w:tcPr>
          <w:p w14:paraId="39D994FE" w14:textId="77777777" w:rsidR="00996AD7" w:rsidRDefault="00996AD7">
            <w:pPr>
              <w:rPr>
                <w:rFonts w:ascii="宋体"/>
              </w:rPr>
            </w:pPr>
          </w:p>
        </w:tc>
        <w:tc>
          <w:tcPr>
            <w:tcW w:w="8360" w:type="dxa"/>
            <w:shd w:val="clear" w:color="auto" w:fill="auto"/>
            <w:vAlign w:val="bottom"/>
          </w:tcPr>
          <w:p w14:paraId="39D994FF" w14:textId="77777777" w:rsidR="00996AD7" w:rsidRDefault="00996AD7">
            <w:pPr>
              <w:rPr>
                <w:rFonts w:ascii="宋体"/>
              </w:rPr>
            </w:pPr>
          </w:p>
        </w:tc>
        <w:tc>
          <w:tcPr>
            <w:tcW w:w="20" w:type="dxa"/>
            <w:shd w:val="clear" w:color="auto" w:fill="auto"/>
            <w:vAlign w:val="bottom"/>
          </w:tcPr>
          <w:p w14:paraId="39D99500" w14:textId="77777777" w:rsidR="00996AD7" w:rsidRDefault="00996AD7">
            <w:pPr>
              <w:rPr>
                <w:rFonts w:ascii="宋体"/>
              </w:rPr>
            </w:pPr>
          </w:p>
        </w:tc>
      </w:tr>
      <w:tr w:rsidR="00996AD7" w14:paraId="39D99505" w14:textId="77777777">
        <w:trPr>
          <w:trHeight w:val="300"/>
        </w:trPr>
        <w:tc>
          <w:tcPr>
            <w:tcW w:w="0" w:type="auto"/>
            <w:gridSpan w:val="3"/>
            <w:shd w:val="clear" w:color="auto" w:fill="auto"/>
            <w:tcMar>
              <w:top w:w="0" w:type="dxa"/>
              <w:left w:w="20" w:type="dxa"/>
              <w:bottom w:w="0" w:type="dxa"/>
              <w:right w:w="20" w:type="dxa"/>
            </w:tcMar>
            <w:vAlign w:val="bottom"/>
          </w:tcPr>
          <w:p w14:paraId="39D9950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center"/>
          </w:tcPr>
          <w:p w14:paraId="39D99503" w14:textId="77777777" w:rsidR="00996AD7" w:rsidRDefault="00D96458">
            <w:pPr>
              <w:textAlignment w:val="center"/>
            </w:pPr>
            <w:r>
              <w:rPr>
                <w:rFonts w:ascii="Arial" w:eastAsia="宋体" w:hAnsi="Arial" w:cs="Arial"/>
                <w:color w:val="004A8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Platform</w:t>
            </w:r>
          </w:p>
        </w:tc>
        <w:tc>
          <w:tcPr>
            <w:tcW w:w="0" w:type="auto"/>
            <w:gridSpan w:val="3"/>
            <w:shd w:val="clear" w:color="auto" w:fill="auto"/>
            <w:tcMar>
              <w:top w:w="40" w:type="dxa"/>
              <w:left w:w="20" w:type="dxa"/>
              <w:bottom w:w="40" w:type="dxa"/>
              <w:right w:w="20" w:type="dxa"/>
            </w:tcMar>
            <w:vAlign w:val="center"/>
          </w:tcPr>
          <w:p w14:paraId="39D99504" w14:textId="77777777" w:rsidR="00996AD7" w:rsidRDefault="00D96458">
            <w:pPr>
              <w:textAlignment w:val="center"/>
            </w:pPr>
            <w:r>
              <w:rPr>
                <w:rFonts w:ascii="Arial" w:eastAsia="宋体" w:hAnsi="Arial" w:cs="Arial"/>
                <w:color w:val="FF8F51"/>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Adjacent</w:t>
            </w:r>
          </w:p>
        </w:tc>
      </w:tr>
    </w:tbl>
    <w:p w14:paraId="39D99506"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50A" w14:textId="77777777">
        <w:tc>
          <w:tcPr>
            <w:tcW w:w="50" w:type="pct"/>
            <w:shd w:val="clear" w:color="auto" w:fill="auto"/>
            <w:vAlign w:val="bottom"/>
          </w:tcPr>
          <w:p w14:paraId="39D99507" w14:textId="77777777" w:rsidR="00996AD7" w:rsidRDefault="00996AD7">
            <w:pPr>
              <w:rPr>
                <w:rFonts w:ascii="宋体"/>
              </w:rPr>
            </w:pPr>
          </w:p>
        </w:tc>
        <w:tc>
          <w:tcPr>
            <w:tcW w:w="4945" w:type="pct"/>
            <w:shd w:val="clear" w:color="auto" w:fill="auto"/>
            <w:vAlign w:val="bottom"/>
          </w:tcPr>
          <w:p w14:paraId="39D99508" w14:textId="77777777" w:rsidR="00996AD7" w:rsidRDefault="00996AD7">
            <w:pPr>
              <w:rPr>
                <w:rFonts w:ascii="宋体"/>
              </w:rPr>
            </w:pPr>
          </w:p>
        </w:tc>
        <w:tc>
          <w:tcPr>
            <w:tcW w:w="5" w:type="pct"/>
            <w:shd w:val="clear" w:color="auto" w:fill="auto"/>
            <w:vAlign w:val="bottom"/>
          </w:tcPr>
          <w:p w14:paraId="39D99509" w14:textId="77777777" w:rsidR="00996AD7" w:rsidRDefault="00996AD7">
            <w:pPr>
              <w:rPr>
                <w:rFonts w:ascii="宋体"/>
              </w:rPr>
            </w:pPr>
          </w:p>
        </w:tc>
      </w:tr>
      <w:tr w:rsidR="00996AD7" w14:paraId="39D9950C"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50B" w14:textId="77777777" w:rsidR="00996AD7" w:rsidRDefault="00D96458">
            <w:pPr>
              <w:textAlignment w:val="bottom"/>
            </w:pPr>
            <w:r>
              <w:rPr>
                <w:rFonts w:ascii="Arial" w:eastAsia="宋体" w:hAnsi="Arial" w:cs="Arial"/>
                <w:color w:val="0068B5"/>
                <w:sz w:val="20"/>
                <w:szCs w:val="20"/>
              </w:rPr>
              <w:t>Revenue Summary</w:t>
            </w:r>
          </w:p>
        </w:tc>
      </w:tr>
    </w:tbl>
    <w:p w14:paraId="39D9950D" w14:textId="77777777" w:rsidR="00996AD7" w:rsidRDefault="00D96458">
      <w:pPr>
        <w:spacing w:after="180"/>
      </w:pPr>
      <w:r>
        <w:rPr>
          <w:rFonts w:ascii="Arial" w:eastAsia="宋体" w:hAnsi="Arial" w:cs="Arial"/>
          <w:color w:val="262626"/>
          <w:sz w:val="18"/>
          <w:szCs w:val="18"/>
        </w:rPr>
        <w:t>Revenue in Q3 2021 was up 10% on higher platform volume and higher ASPs, primarily due to recovery in the enterprise and government market segment, compared to COVID-driven lows, and stronger core mix, partially offset by lower revenue in the cloud service</w:t>
      </w:r>
      <w:r>
        <w:rPr>
          <w:rFonts w:ascii="Arial" w:eastAsia="宋体" w:hAnsi="Arial" w:cs="Arial"/>
          <w:color w:val="262626"/>
          <w:sz w:val="18"/>
          <w:szCs w:val="18"/>
        </w:rPr>
        <w:t xml:space="preserve"> providers market segment compared to a strong, COVID-driven Q3 2020. Adjacent revenue was down, primarily due to accelerated 5G networking related purchases in Q3 2020, partially offset by the inclusion of the Intel Optane memory business, which grew year</w:t>
      </w:r>
      <w:r>
        <w:rPr>
          <w:rFonts w:ascii="Arial" w:eastAsia="宋体" w:hAnsi="Arial" w:cs="Arial"/>
          <w:color w:val="262626"/>
          <w:sz w:val="18"/>
          <w:szCs w:val="18"/>
        </w:rPr>
        <w:t xml:space="preserve"> over year. Year over year, the enterprise and government market segment was up 70%, the communications service providers market segment was up 18% and the cloud service providers market segment was down 20%. </w:t>
      </w:r>
    </w:p>
    <w:p w14:paraId="39D9950E" w14:textId="77777777" w:rsidR="00996AD7" w:rsidRDefault="00D96458">
      <w:pPr>
        <w:spacing w:after="180"/>
      </w:pPr>
      <w:r>
        <w:rPr>
          <w:rFonts w:ascii="Arial" w:eastAsia="宋体" w:hAnsi="Arial" w:cs="Arial"/>
          <w:color w:val="262626"/>
          <w:sz w:val="18"/>
          <w:szCs w:val="18"/>
        </w:rPr>
        <w:t>Revenue YTD 2021 was down 7% compared to YTD 2</w:t>
      </w:r>
      <w:r>
        <w:rPr>
          <w:rFonts w:ascii="Arial" w:eastAsia="宋体" w:hAnsi="Arial" w:cs="Arial"/>
          <w:color w:val="262626"/>
          <w:sz w:val="18"/>
          <w:szCs w:val="18"/>
        </w:rPr>
        <w:t>020 on lower ASPs in a competitive environment, product mix, and on lower platform volume compared to a strong, COVID-driven YTD 2020.</w:t>
      </w:r>
    </w:p>
    <w:p w14:paraId="39D9950F" w14:textId="77777777" w:rsidR="00996AD7" w:rsidRDefault="00D96458">
      <w:r>
        <w:rPr>
          <w:rFonts w:ascii="Arial" w:eastAsia="宋体" w:hAnsi="Arial" w:cs="Arial"/>
          <w:color w:val="262626"/>
          <w:sz w:val="18"/>
          <w:szCs w:val="18"/>
        </w:rPr>
        <w:t>During Q3 2021, demand for DCG products was adversely impacted by industry component supply constraints, as well as deman</w:t>
      </w:r>
      <w:r>
        <w:rPr>
          <w:rFonts w:ascii="Arial" w:eastAsia="宋体" w:hAnsi="Arial" w:cs="Arial"/>
          <w:color w:val="262626"/>
          <w:sz w:val="18"/>
          <w:szCs w:val="18"/>
        </w:rPr>
        <w:t xml:space="preserve">d softness in China, including among cloud service provider customers, as customers adapt to regulatory changes. We expect these trends to continue in Q4 2021. </w:t>
      </w:r>
    </w:p>
    <w:p w14:paraId="39D99510" w14:textId="77777777" w:rsidR="00996AD7" w:rsidRDefault="00996AD7"/>
    <w:tbl>
      <w:tblPr>
        <w:tblW w:w="5000" w:type="pct"/>
        <w:tblCellMar>
          <w:top w:w="15" w:type="dxa"/>
          <w:left w:w="15" w:type="dxa"/>
          <w:bottom w:w="15" w:type="dxa"/>
          <w:right w:w="15" w:type="dxa"/>
        </w:tblCellMar>
        <w:tblLook w:val="04A0" w:firstRow="1" w:lastRow="0" w:firstColumn="1" w:lastColumn="0" w:noHBand="0" w:noVBand="1"/>
      </w:tblPr>
      <w:tblGrid>
        <w:gridCol w:w="52"/>
        <w:gridCol w:w="3455"/>
        <w:gridCol w:w="36"/>
        <w:gridCol w:w="36"/>
        <w:gridCol w:w="36"/>
        <w:gridCol w:w="36"/>
        <w:gridCol w:w="67"/>
        <w:gridCol w:w="427"/>
        <w:gridCol w:w="36"/>
        <w:gridCol w:w="52"/>
        <w:gridCol w:w="559"/>
        <w:gridCol w:w="36"/>
        <w:gridCol w:w="36"/>
        <w:gridCol w:w="36"/>
        <w:gridCol w:w="36"/>
        <w:gridCol w:w="122"/>
        <w:gridCol w:w="841"/>
        <w:gridCol w:w="37"/>
        <w:gridCol w:w="36"/>
        <w:gridCol w:w="36"/>
        <w:gridCol w:w="36"/>
        <w:gridCol w:w="67"/>
        <w:gridCol w:w="430"/>
        <w:gridCol w:w="36"/>
        <w:gridCol w:w="53"/>
        <w:gridCol w:w="560"/>
        <w:gridCol w:w="36"/>
        <w:gridCol w:w="36"/>
        <w:gridCol w:w="36"/>
        <w:gridCol w:w="36"/>
        <w:gridCol w:w="122"/>
        <w:gridCol w:w="843"/>
        <w:gridCol w:w="37"/>
      </w:tblGrid>
      <w:tr w:rsidR="00996AD7" w14:paraId="39D99532" w14:textId="77777777">
        <w:tc>
          <w:tcPr>
            <w:tcW w:w="50" w:type="pct"/>
            <w:shd w:val="clear" w:color="auto" w:fill="auto"/>
            <w:vAlign w:val="bottom"/>
          </w:tcPr>
          <w:p w14:paraId="39D99511" w14:textId="77777777" w:rsidR="00996AD7" w:rsidRDefault="00996AD7">
            <w:pPr>
              <w:rPr>
                <w:rFonts w:ascii="宋体"/>
              </w:rPr>
            </w:pPr>
          </w:p>
        </w:tc>
        <w:tc>
          <w:tcPr>
            <w:tcW w:w="2089" w:type="pct"/>
            <w:shd w:val="clear" w:color="auto" w:fill="auto"/>
            <w:vAlign w:val="bottom"/>
          </w:tcPr>
          <w:p w14:paraId="39D99512" w14:textId="77777777" w:rsidR="00996AD7" w:rsidRDefault="00996AD7">
            <w:pPr>
              <w:rPr>
                <w:rFonts w:ascii="宋体"/>
              </w:rPr>
            </w:pPr>
          </w:p>
        </w:tc>
        <w:tc>
          <w:tcPr>
            <w:tcW w:w="5" w:type="pct"/>
            <w:shd w:val="clear" w:color="auto" w:fill="auto"/>
            <w:vAlign w:val="bottom"/>
          </w:tcPr>
          <w:p w14:paraId="39D99513" w14:textId="77777777" w:rsidR="00996AD7" w:rsidRDefault="00996AD7">
            <w:pPr>
              <w:rPr>
                <w:rFonts w:ascii="宋体"/>
              </w:rPr>
            </w:pPr>
          </w:p>
        </w:tc>
        <w:tc>
          <w:tcPr>
            <w:tcW w:w="5" w:type="pct"/>
            <w:shd w:val="clear" w:color="auto" w:fill="auto"/>
            <w:vAlign w:val="bottom"/>
          </w:tcPr>
          <w:p w14:paraId="39D99514" w14:textId="77777777" w:rsidR="00996AD7" w:rsidRDefault="00996AD7">
            <w:pPr>
              <w:rPr>
                <w:rFonts w:ascii="宋体"/>
              </w:rPr>
            </w:pPr>
          </w:p>
        </w:tc>
        <w:tc>
          <w:tcPr>
            <w:tcW w:w="24" w:type="pct"/>
            <w:shd w:val="clear" w:color="auto" w:fill="auto"/>
            <w:vAlign w:val="bottom"/>
          </w:tcPr>
          <w:p w14:paraId="39D99515" w14:textId="77777777" w:rsidR="00996AD7" w:rsidRDefault="00996AD7">
            <w:pPr>
              <w:rPr>
                <w:rFonts w:ascii="宋体"/>
              </w:rPr>
            </w:pPr>
          </w:p>
        </w:tc>
        <w:tc>
          <w:tcPr>
            <w:tcW w:w="5" w:type="pct"/>
            <w:shd w:val="clear" w:color="auto" w:fill="auto"/>
            <w:vAlign w:val="bottom"/>
          </w:tcPr>
          <w:p w14:paraId="39D99516" w14:textId="77777777" w:rsidR="00996AD7" w:rsidRDefault="00996AD7">
            <w:pPr>
              <w:rPr>
                <w:rFonts w:ascii="宋体"/>
              </w:rPr>
            </w:pPr>
          </w:p>
        </w:tc>
        <w:tc>
          <w:tcPr>
            <w:tcW w:w="50" w:type="pct"/>
            <w:shd w:val="clear" w:color="auto" w:fill="auto"/>
            <w:vAlign w:val="bottom"/>
          </w:tcPr>
          <w:p w14:paraId="39D99517" w14:textId="77777777" w:rsidR="00996AD7" w:rsidRDefault="00996AD7">
            <w:pPr>
              <w:rPr>
                <w:rFonts w:ascii="宋体"/>
              </w:rPr>
            </w:pPr>
          </w:p>
        </w:tc>
        <w:tc>
          <w:tcPr>
            <w:tcW w:w="300" w:type="pct"/>
            <w:shd w:val="clear" w:color="auto" w:fill="auto"/>
            <w:vAlign w:val="bottom"/>
          </w:tcPr>
          <w:p w14:paraId="39D99518" w14:textId="77777777" w:rsidR="00996AD7" w:rsidRDefault="00996AD7">
            <w:pPr>
              <w:rPr>
                <w:rFonts w:ascii="宋体"/>
              </w:rPr>
            </w:pPr>
          </w:p>
        </w:tc>
        <w:tc>
          <w:tcPr>
            <w:tcW w:w="5" w:type="pct"/>
            <w:shd w:val="clear" w:color="auto" w:fill="auto"/>
            <w:vAlign w:val="bottom"/>
          </w:tcPr>
          <w:p w14:paraId="39D99519" w14:textId="77777777" w:rsidR="00996AD7" w:rsidRDefault="00996AD7">
            <w:pPr>
              <w:rPr>
                <w:rFonts w:ascii="宋体"/>
              </w:rPr>
            </w:pPr>
          </w:p>
        </w:tc>
        <w:tc>
          <w:tcPr>
            <w:tcW w:w="50" w:type="pct"/>
            <w:shd w:val="clear" w:color="auto" w:fill="auto"/>
            <w:vAlign w:val="bottom"/>
          </w:tcPr>
          <w:p w14:paraId="39D9951A" w14:textId="77777777" w:rsidR="00996AD7" w:rsidRDefault="00996AD7">
            <w:pPr>
              <w:rPr>
                <w:rFonts w:ascii="宋体"/>
              </w:rPr>
            </w:pPr>
          </w:p>
        </w:tc>
        <w:tc>
          <w:tcPr>
            <w:tcW w:w="354" w:type="pct"/>
            <w:shd w:val="clear" w:color="auto" w:fill="auto"/>
            <w:vAlign w:val="bottom"/>
          </w:tcPr>
          <w:p w14:paraId="39D9951B" w14:textId="77777777" w:rsidR="00996AD7" w:rsidRDefault="00996AD7">
            <w:pPr>
              <w:rPr>
                <w:rFonts w:ascii="宋体"/>
              </w:rPr>
            </w:pPr>
          </w:p>
        </w:tc>
        <w:tc>
          <w:tcPr>
            <w:tcW w:w="5" w:type="pct"/>
            <w:shd w:val="clear" w:color="auto" w:fill="auto"/>
            <w:vAlign w:val="bottom"/>
          </w:tcPr>
          <w:p w14:paraId="39D9951C" w14:textId="77777777" w:rsidR="00996AD7" w:rsidRDefault="00996AD7">
            <w:pPr>
              <w:rPr>
                <w:rFonts w:ascii="宋体"/>
              </w:rPr>
            </w:pPr>
          </w:p>
        </w:tc>
        <w:tc>
          <w:tcPr>
            <w:tcW w:w="5" w:type="pct"/>
            <w:shd w:val="clear" w:color="auto" w:fill="auto"/>
            <w:vAlign w:val="bottom"/>
          </w:tcPr>
          <w:p w14:paraId="39D9951D" w14:textId="77777777" w:rsidR="00996AD7" w:rsidRDefault="00996AD7">
            <w:pPr>
              <w:rPr>
                <w:rFonts w:ascii="宋体"/>
              </w:rPr>
            </w:pPr>
          </w:p>
        </w:tc>
        <w:tc>
          <w:tcPr>
            <w:tcW w:w="24" w:type="pct"/>
            <w:shd w:val="clear" w:color="auto" w:fill="auto"/>
            <w:vAlign w:val="bottom"/>
          </w:tcPr>
          <w:p w14:paraId="39D9951E" w14:textId="77777777" w:rsidR="00996AD7" w:rsidRDefault="00996AD7">
            <w:pPr>
              <w:rPr>
                <w:rFonts w:ascii="宋体"/>
              </w:rPr>
            </w:pPr>
          </w:p>
        </w:tc>
        <w:tc>
          <w:tcPr>
            <w:tcW w:w="5" w:type="pct"/>
            <w:shd w:val="clear" w:color="auto" w:fill="auto"/>
            <w:vAlign w:val="bottom"/>
          </w:tcPr>
          <w:p w14:paraId="39D9951F" w14:textId="77777777" w:rsidR="00996AD7" w:rsidRDefault="00996AD7">
            <w:pPr>
              <w:rPr>
                <w:rFonts w:ascii="宋体"/>
              </w:rPr>
            </w:pPr>
          </w:p>
        </w:tc>
        <w:tc>
          <w:tcPr>
            <w:tcW w:w="50" w:type="pct"/>
            <w:shd w:val="clear" w:color="auto" w:fill="auto"/>
            <w:vAlign w:val="bottom"/>
          </w:tcPr>
          <w:p w14:paraId="39D99520" w14:textId="77777777" w:rsidR="00996AD7" w:rsidRDefault="00996AD7">
            <w:pPr>
              <w:rPr>
                <w:rFonts w:ascii="宋体"/>
              </w:rPr>
            </w:pPr>
          </w:p>
        </w:tc>
        <w:tc>
          <w:tcPr>
            <w:tcW w:w="539" w:type="pct"/>
            <w:shd w:val="clear" w:color="auto" w:fill="auto"/>
            <w:vAlign w:val="bottom"/>
          </w:tcPr>
          <w:p w14:paraId="39D99521" w14:textId="77777777" w:rsidR="00996AD7" w:rsidRDefault="00996AD7">
            <w:pPr>
              <w:rPr>
                <w:rFonts w:ascii="宋体"/>
              </w:rPr>
            </w:pPr>
          </w:p>
        </w:tc>
        <w:tc>
          <w:tcPr>
            <w:tcW w:w="5" w:type="pct"/>
            <w:shd w:val="clear" w:color="auto" w:fill="auto"/>
            <w:vAlign w:val="bottom"/>
          </w:tcPr>
          <w:p w14:paraId="39D99522" w14:textId="77777777" w:rsidR="00996AD7" w:rsidRDefault="00996AD7">
            <w:pPr>
              <w:rPr>
                <w:rFonts w:ascii="宋体"/>
              </w:rPr>
            </w:pPr>
          </w:p>
        </w:tc>
        <w:tc>
          <w:tcPr>
            <w:tcW w:w="5" w:type="pct"/>
            <w:shd w:val="clear" w:color="auto" w:fill="auto"/>
            <w:vAlign w:val="bottom"/>
          </w:tcPr>
          <w:p w14:paraId="39D99523" w14:textId="77777777" w:rsidR="00996AD7" w:rsidRDefault="00996AD7">
            <w:pPr>
              <w:rPr>
                <w:rFonts w:ascii="宋体"/>
              </w:rPr>
            </w:pPr>
          </w:p>
        </w:tc>
        <w:tc>
          <w:tcPr>
            <w:tcW w:w="24" w:type="pct"/>
            <w:shd w:val="clear" w:color="auto" w:fill="auto"/>
            <w:vAlign w:val="bottom"/>
          </w:tcPr>
          <w:p w14:paraId="39D99524" w14:textId="77777777" w:rsidR="00996AD7" w:rsidRDefault="00996AD7">
            <w:pPr>
              <w:rPr>
                <w:rFonts w:ascii="宋体"/>
              </w:rPr>
            </w:pPr>
          </w:p>
        </w:tc>
        <w:tc>
          <w:tcPr>
            <w:tcW w:w="5" w:type="pct"/>
            <w:shd w:val="clear" w:color="auto" w:fill="auto"/>
            <w:vAlign w:val="bottom"/>
          </w:tcPr>
          <w:p w14:paraId="39D99525" w14:textId="77777777" w:rsidR="00996AD7" w:rsidRDefault="00996AD7">
            <w:pPr>
              <w:rPr>
                <w:rFonts w:ascii="宋体"/>
              </w:rPr>
            </w:pPr>
          </w:p>
        </w:tc>
        <w:tc>
          <w:tcPr>
            <w:tcW w:w="50" w:type="pct"/>
            <w:shd w:val="clear" w:color="auto" w:fill="auto"/>
            <w:vAlign w:val="bottom"/>
          </w:tcPr>
          <w:p w14:paraId="39D99526" w14:textId="77777777" w:rsidR="00996AD7" w:rsidRDefault="00996AD7">
            <w:pPr>
              <w:rPr>
                <w:rFonts w:ascii="宋体"/>
              </w:rPr>
            </w:pPr>
          </w:p>
        </w:tc>
        <w:tc>
          <w:tcPr>
            <w:tcW w:w="300" w:type="pct"/>
            <w:shd w:val="clear" w:color="auto" w:fill="auto"/>
            <w:vAlign w:val="bottom"/>
          </w:tcPr>
          <w:p w14:paraId="39D99527" w14:textId="77777777" w:rsidR="00996AD7" w:rsidRDefault="00996AD7">
            <w:pPr>
              <w:rPr>
                <w:rFonts w:ascii="宋体"/>
              </w:rPr>
            </w:pPr>
          </w:p>
        </w:tc>
        <w:tc>
          <w:tcPr>
            <w:tcW w:w="5" w:type="pct"/>
            <w:shd w:val="clear" w:color="auto" w:fill="auto"/>
            <w:vAlign w:val="bottom"/>
          </w:tcPr>
          <w:p w14:paraId="39D99528" w14:textId="77777777" w:rsidR="00996AD7" w:rsidRDefault="00996AD7">
            <w:pPr>
              <w:rPr>
                <w:rFonts w:ascii="宋体"/>
              </w:rPr>
            </w:pPr>
          </w:p>
        </w:tc>
        <w:tc>
          <w:tcPr>
            <w:tcW w:w="50" w:type="pct"/>
            <w:shd w:val="clear" w:color="auto" w:fill="auto"/>
            <w:vAlign w:val="bottom"/>
          </w:tcPr>
          <w:p w14:paraId="39D99529" w14:textId="77777777" w:rsidR="00996AD7" w:rsidRDefault="00996AD7">
            <w:pPr>
              <w:rPr>
                <w:rFonts w:ascii="宋体"/>
              </w:rPr>
            </w:pPr>
          </w:p>
        </w:tc>
        <w:tc>
          <w:tcPr>
            <w:tcW w:w="354" w:type="pct"/>
            <w:shd w:val="clear" w:color="auto" w:fill="auto"/>
            <w:vAlign w:val="bottom"/>
          </w:tcPr>
          <w:p w14:paraId="39D9952A" w14:textId="77777777" w:rsidR="00996AD7" w:rsidRDefault="00996AD7">
            <w:pPr>
              <w:rPr>
                <w:rFonts w:ascii="宋体"/>
              </w:rPr>
            </w:pPr>
          </w:p>
        </w:tc>
        <w:tc>
          <w:tcPr>
            <w:tcW w:w="5" w:type="pct"/>
            <w:shd w:val="clear" w:color="auto" w:fill="auto"/>
            <w:vAlign w:val="bottom"/>
          </w:tcPr>
          <w:p w14:paraId="39D9952B" w14:textId="77777777" w:rsidR="00996AD7" w:rsidRDefault="00996AD7">
            <w:pPr>
              <w:rPr>
                <w:rFonts w:ascii="宋体"/>
              </w:rPr>
            </w:pPr>
          </w:p>
        </w:tc>
        <w:tc>
          <w:tcPr>
            <w:tcW w:w="5" w:type="pct"/>
            <w:shd w:val="clear" w:color="auto" w:fill="auto"/>
            <w:vAlign w:val="bottom"/>
          </w:tcPr>
          <w:p w14:paraId="39D9952C" w14:textId="77777777" w:rsidR="00996AD7" w:rsidRDefault="00996AD7">
            <w:pPr>
              <w:rPr>
                <w:rFonts w:ascii="宋体"/>
              </w:rPr>
            </w:pPr>
          </w:p>
        </w:tc>
        <w:tc>
          <w:tcPr>
            <w:tcW w:w="24" w:type="pct"/>
            <w:shd w:val="clear" w:color="auto" w:fill="auto"/>
            <w:vAlign w:val="bottom"/>
          </w:tcPr>
          <w:p w14:paraId="39D9952D" w14:textId="77777777" w:rsidR="00996AD7" w:rsidRDefault="00996AD7">
            <w:pPr>
              <w:rPr>
                <w:rFonts w:ascii="宋体"/>
              </w:rPr>
            </w:pPr>
          </w:p>
        </w:tc>
        <w:tc>
          <w:tcPr>
            <w:tcW w:w="5" w:type="pct"/>
            <w:shd w:val="clear" w:color="auto" w:fill="auto"/>
            <w:vAlign w:val="bottom"/>
          </w:tcPr>
          <w:p w14:paraId="39D9952E" w14:textId="77777777" w:rsidR="00996AD7" w:rsidRDefault="00996AD7">
            <w:pPr>
              <w:rPr>
                <w:rFonts w:ascii="宋体"/>
              </w:rPr>
            </w:pPr>
          </w:p>
        </w:tc>
        <w:tc>
          <w:tcPr>
            <w:tcW w:w="50" w:type="pct"/>
            <w:shd w:val="clear" w:color="auto" w:fill="auto"/>
            <w:vAlign w:val="bottom"/>
          </w:tcPr>
          <w:p w14:paraId="39D9952F" w14:textId="77777777" w:rsidR="00996AD7" w:rsidRDefault="00996AD7">
            <w:pPr>
              <w:rPr>
                <w:rFonts w:ascii="宋体"/>
              </w:rPr>
            </w:pPr>
          </w:p>
        </w:tc>
        <w:tc>
          <w:tcPr>
            <w:tcW w:w="539" w:type="pct"/>
            <w:shd w:val="clear" w:color="auto" w:fill="auto"/>
            <w:vAlign w:val="bottom"/>
          </w:tcPr>
          <w:p w14:paraId="39D99530" w14:textId="77777777" w:rsidR="00996AD7" w:rsidRDefault="00996AD7">
            <w:pPr>
              <w:rPr>
                <w:rFonts w:ascii="宋体"/>
              </w:rPr>
            </w:pPr>
          </w:p>
        </w:tc>
        <w:tc>
          <w:tcPr>
            <w:tcW w:w="5" w:type="pct"/>
            <w:shd w:val="clear" w:color="auto" w:fill="auto"/>
            <w:vAlign w:val="bottom"/>
          </w:tcPr>
          <w:p w14:paraId="39D99531" w14:textId="77777777" w:rsidR="00996AD7" w:rsidRDefault="00996AD7">
            <w:pPr>
              <w:rPr>
                <w:rFonts w:ascii="宋体"/>
              </w:rPr>
            </w:pPr>
          </w:p>
        </w:tc>
      </w:tr>
      <w:tr w:rsidR="00996AD7" w14:paraId="39D99538" w14:textId="77777777">
        <w:tc>
          <w:tcPr>
            <w:tcW w:w="0" w:type="auto"/>
            <w:gridSpan w:val="3"/>
            <w:shd w:val="clear" w:color="auto" w:fill="auto"/>
            <w:tcMar>
              <w:top w:w="0" w:type="dxa"/>
              <w:left w:w="20" w:type="dxa"/>
              <w:bottom w:w="0" w:type="dxa"/>
              <w:right w:w="20" w:type="dxa"/>
            </w:tcMar>
            <w:vAlign w:val="bottom"/>
          </w:tcPr>
          <w:p w14:paraId="39D9953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534" w14:textId="77777777" w:rsidR="00996AD7" w:rsidRDefault="00996AD7">
            <w:pPr>
              <w:rPr>
                <w:rFonts w:ascii="宋体"/>
              </w:rPr>
            </w:pPr>
          </w:p>
        </w:tc>
        <w:tc>
          <w:tcPr>
            <w:tcW w:w="0" w:type="auto"/>
            <w:gridSpan w:val="12"/>
            <w:shd w:val="clear" w:color="auto" w:fill="auto"/>
            <w:tcMar>
              <w:top w:w="40" w:type="dxa"/>
              <w:left w:w="20" w:type="dxa"/>
              <w:bottom w:w="40" w:type="dxa"/>
              <w:right w:w="20" w:type="dxa"/>
            </w:tcMar>
            <w:vAlign w:val="bottom"/>
          </w:tcPr>
          <w:p w14:paraId="39D99535" w14:textId="77777777" w:rsidR="00996AD7" w:rsidRDefault="00D96458">
            <w:pPr>
              <w:jc w:val="center"/>
              <w:textAlignment w:val="bottom"/>
            </w:pPr>
            <w:r>
              <w:rPr>
                <w:rFonts w:ascii="Arial" w:eastAsia="宋体" w:hAnsi="Arial" w:cs="Arial"/>
                <w:b/>
                <w:bCs/>
                <w:color w:val="262626"/>
                <w:sz w:val="18"/>
                <w:szCs w:val="18"/>
              </w:rPr>
              <w:t>Q3 2021 vs. Q3 2020</w:t>
            </w:r>
          </w:p>
        </w:tc>
        <w:tc>
          <w:tcPr>
            <w:tcW w:w="0" w:type="auto"/>
            <w:gridSpan w:val="3"/>
            <w:shd w:val="clear" w:color="auto" w:fill="auto"/>
            <w:tcMar>
              <w:top w:w="0" w:type="dxa"/>
              <w:left w:w="20" w:type="dxa"/>
              <w:bottom w:w="0" w:type="dxa"/>
              <w:right w:w="20" w:type="dxa"/>
            </w:tcMar>
            <w:vAlign w:val="bottom"/>
          </w:tcPr>
          <w:p w14:paraId="39D99536" w14:textId="77777777" w:rsidR="00996AD7" w:rsidRDefault="00996AD7">
            <w:pPr>
              <w:rPr>
                <w:rFonts w:ascii="宋体"/>
              </w:rPr>
            </w:pPr>
          </w:p>
        </w:tc>
        <w:tc>
          <w:tcPr>
            <w:tcW w:w="0" w:type="auto"/>
            <w:gridSpan w:val="12"/>
            <w:shd w:val="clear" w:color="auto" w:fill="auto"/>
            <w:tcMar>
              <w:top w:w="40" w:type="dxa"/>
              <w:left w:w="20" w:type="dxa"/>
              <w:bottom w:w="40" w:type="dxa"/>
              <w:right w:w="20" w:type="dxa"/>
            </w:tcMar>
            <w:vAlign w:val="bottom"/>
          </w:tcPr>
          <w:p w14:paraId="39D99537" w14:textId="77777777" w:rsidR="00996AD7" w:rsidRDefault="00D96458">
            <w:pPr>
              <w:jc w:val="center"/>
              <w:textAlignment w:val="bottom"/>
            </w:pPr>
            <w:r>
              <w:rPr>
                <w:rFonts w:ascii="Arial" w:eastAsia="宋体" w:hAnsi="Arial" w:cs="Arial"/>
                <w:b/>
                <w:bCs/>
                <w:color w:val="262626"/>
                <w:sz w:val="18"/>
                <w:szCs w:val="18"/>
              </w:rPr>
              <w:t>YTD 2021 vs. YTD 2020</w:t>
            </w:r>
          </w:p>
        </w:tc>
      </w:tr>
      <w:tr w:rsidR="00996AD7" w14:paraId="39D99542" w14:textId="77777777">
        <w:tc>
          <w:tcPr>
            <w:tcW w:w="0" w:type="auto"/>
            <w:gridSpan w:val="3"/>
            <w:shd w:val="clear" w:color="auto" w:fill="auto"/>
            <w:tcMar>
              <w:top w:w="40" w:type="dxa"/>
              <w:left w:w="20" w:type="dxa"/>
              <w:bottom w:w="40" w:type="dxa"/>
              <w:right w:w="20" w:type="dxa"/>
            </w:tcMar>
            <w:vAlign w:val="bottom"/>
          </w:tcPr>
          <w:p w14:paraId="39D99539"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953A" w14:textId="77777777" w:rsidR="00996AD7" w:rsidRDefault="00996AD7">
            <w:pPr>
              <w:rPr>
                <w:rFonts w:ascii="宋体"/>
              </w:rPr>
            </w:pPr>
          </w:p>
        </w:tc>
        <w:tc>
          <w:tcPr>
            <w:tcW w:w="0" w:type="auto"/>
            <w:gridSpan w:val="6"/>
            <w:tcBorders>
              <w:top w:val="single" w:sz="4" w:space="0" w:color="0068B5"/>
            </w:tcBorders>
            <w:shd w:val="clear" w:color="auto" w:fill="auto"/>
            <w:tcMar>
              <w:top w:w="40" w:type="dxa"/>
              <w:left w:w="20" w:type="dxa"/>
              <w:bottom w:w="40" w:type="dxa"/>
              <w:right w:w="20" w:type="dxa"/>
            </w:tcMar>
            <w:vAlign w:val="bottom"/>
          </w:tcPr>
          <w:p w14:paraId="39D9953B" w14:textId="77777777" w:rsidR="00996AD7" w:rsidRDefault="00D96458">
            <w:pPr>
              <w:jc w:val="center"/>
              <w:textAlignment w:val="bottom"/>
            </w:pPr>
            <w:r>
              <w:rPr>
                <w:rFonts w:ascii="Arial" w:eastAsia="宋体" w:hAnsi="Arial" w:cs="Arial"/>
                <w:b/>
                <w:bCs/>
                <w:color w:val="262626"/>
                <w:sz w:val="18"/>
                <w:szCs w:val="18"/>
              </w:rPr>
              <w:t xml:space="preserve">% </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53C"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953D" w14:textId="77777777" w:rsidR="00996AD7" w:rsidRDefault="00D96458">
            <w:pPr>
              <w:jc w:val="center"/>
              <w:textAlignment w:val="bottom"/>
            </w:pPr>
            <w:r>
              <w:rPr>
                <w:rFonts w:ascii="Arial" w:eastAsia="宋体" w:hAnsi="Arial" w:cs="Arial"/>
                <w:b/>
                <w:bCs/>
                <w:color w:val="262626"/>
                <w:sz w:val="18"/>
                <w:szCs w:val="18"/>
              </w:rPr>
              <w:t>$ Impact</w:t>
            </w:r>
          </w:p>
        </w:tc>
        <w:tc>
          <w:tcPr>
            <w:tcW w:w="0" w:type="auto"/>
            <w:gridSpan w:val="3"/>
            <w:shd w:val="clear" w:color="auto" w:fill="auto"/>
            <w:tcMar>
              <w:top w:w="0" w:type="dxa"/>
              <w:left w:w="20" w:type="dxa"/>
              <w:bottom w:w="0" w:type="dxa"/>
              <w:right w:w="20" w:type="dxa"/>
            </w:tcMar>
            <w:vAlign w:val="bottom"/>
          </w:tcPr>
          <w:p w14:paraId="39D9953E" w14:textId="77777777" w:rsidR="00996AD7" w:rsidRDefault="00996AD7">
            <w:pPr>
              <w:rPr>
                <w:rFonts w:ascii="宋体"/>
              </w:rPr>
            </w:pPr>
          </w:p>
        </w:tc>
        <w:tc>
          <w:tcPr>
            <w:tcW w:w="0" w:type="auto"/>
            <w:gridSpan w:val="6"/>
            <w:tcBorders>
              <w:top w:val="single" w:sz="4" w:space="0" w:color="0068B5"/>
            </w:tcBorders>
            <w:shd w:val="clear" w:color="auto" w:fill="auto"/>
            <w:tcMar>
              <w:top w:w="40" w:type="dxa"/>
              <w:left w:w="20" w:type="dxa"/>
              <w:bottom w:w="40" w:type="dxa"/>
              <w:right w:w="20" w:type="dxa"/>
            </w:tcMar>
            <w:vAlign w:val="bottom"/>
          </w:tcPr>
          <w:p w14:paraId="39D9953F" w14:textId="77777777" w:rsidR="00996AD7" w:rsidRDefault="00D96458">
            <w:pPr>
              <w:jc w:val="center"/>
              <w:textAlignment w:val="bottom"/>
            </w:pPr>
            <w:r>
              <w:rPr>
                <w:rFonts w:ascii="Arial" w:eastAsia="宋体" w:hAnsi="Arial" w:cs="Arial"/>
                <w:b/>
                <w:bCs/>
                <w:color w:val="262626"/>
                <w:sz w:val="18"/>
                <w:szCs w:val="18"/>
              </w:rPr>
              <w: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540"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9541" w14:textId="77777777" w:rsidR="00996AD7" w:rsidRDefault="00D96458">
            <w:pPr>
              <w:jc w:val="center"/>
              <w:textAlignment w:val="bottom"/>
            </w:pPr>
            <w:r>
              <w:rPr>
                <w:rFonts w:ascii="Arial" w:eastAsia="宋体" w:hAnsi="Arial" w:cs="Arial"/>
                <w:b/>
                <w:bCs/>
                <w:color w:val="262626"/>
                <w:sz w:val="18"/>
                <w:szCs w:val="18"/>
              </w:rPr>
              <w:t>$ Impact</w:t>
            </w:r>
          </w:p>
        </w:tc>
      </w:tr>
      <w:tr w:rsidR="00996AD7" w14:paraId="39D9954E" w14:textId="77777777">
        <w:trPr>
          <w:hidden/>
        </w:trPr>
        <w:tc>
          <w:tcPr>
            <w:tcW w:w="0" w:type="auto"/>
            <w:gridSpan w:val="3"/>
            <w:shd w:val="clear" w:color="auto" w:fill="auto"/>
            <w:vAlign w:val="bottom"/>
          </w:tcPr>
          <w:p w14:paraId="39D99543" w14:textId="77777777" w:rsidR="00996AD7" w:rsidRDefault="00996AD7">
            <w:pPr>
              <w:rPr>
                <w:rFonts w:ascii="宋体"/>
                <w:vanish/>
              </w:rPr>
            </w:pPr>
          </w:p>
        </w:tc>
        <w:tc>
          <w:tcPr>
            <w:tcW w:w="0" w:type="auto"/>
            <w:gridSpan w:val="3"/>
            <w:shd w:val="clear" w:color="auto" w:fill="auto"/>
            <w:vAlign w:val="bottom"/>
          </w:tcPr>
          <w:p w14:paraId="39D99544" w14:textId="77777777" w:rsidR="00996AD7" w:rsidRDefault="00996AD7">
            <w:pPr>
              <w:rPr>
                <w:rFonts w:ascii="宋体"/>
                <w:vanish/>
              </w:rPr>
            </w:pPr>
          </w:p>
        </w:tc>
        <w:tc>
          <w:tcPr>
            <w:tcW w:w="0" w:type="auto"/>
            <w:gridSpan w:val="3"/>
            <w:shd w:val="clear" w:color="auto" w:fill="auto"/>
            <w:vAlign w:val="bottom"/>
          </w:tcPr>
          <w:p w14:paraId="39D99545" w14:textId="77777777" w:rsidR="00996AD7" w:rsidRDefault="00996AD7">
            <w:pPr>
              <w:rPr>
                <w:rFonts w:ascii="宋体"/>
                <w:vanish/>
              </w:rPr>
            </w:pPr>
          </w:p>
        </w:tc>
        <w:tc>
          <w:tcPr>
            <w:tcW w:w="0" w:type="auto"/>
            <w:gridSpan w:val="3"/>
            <w:shd w:val="clear" w:color="auto" w:fill="auto"/>
            <w:vAlign w:val="bottom"/>
          </w:tcPr>
          <w:p w14:paraId="39D99546" w14:textId="77777777" w:rsidR="00996AD7" w:rsidRDefault="00996AD7">
            <w:pPr>
              <w:rPr>
                <w:rFonts w:ascii="宋体"/>
                <w:vanish/>
              </w:rPr>
            </w:pPr>
          </w:p>
        </w:tc>
        <w:tc>
          <w:tcPr>
            <w:tcW w:w="0" w:type="auto"/>
            <w:gridSpan w:val="3"/>
            <w:shd w:val="clear" w:color="auto" w:fill="auto"/>
            <w:vAlign w:val="bottom"/>
          </w:tcPr>
          <w:p w14:paraId="39D99547" w14:textId="77777777" w:rsidR="00996AD7" w:rsidRDefault="00996AD7">
            <w:pPr>
              <w:rPr>
                <w:rFonts w:ascii="宋体"/>
                <w:vanish/>
              </w:rPr>
            </w:pPr>
          </w:p>
        </w:tc>
        <w:tc>
          <w:tcPr>
            <w:tcW w:w="0" w:type="auto"/>
            <w:gridSpan w:val="3"/>
            <w:shd w:val="clear" w:color="auto" w:fill="auto"/>
            <w:vAlign w:val="bottom"/>
          </w:tcPr>
          <w:p w14:paraId="39D99548" w14:textId="77777777" w:rsidR="00996AD7" w:rsidRDefault="00996AD7">
            <w:pPr>
              <w:rPr>
                <w:rFonts w:ascii="宋体"/>
                <w:vanish/>
              </w:rPr>
            </w:pPr>
          </w:p>
        </w:tc>
        <w:tc>
          <w:tcPr>
            <w:tcW w:w="0" w:type="auto"/>
            <w:gridSpan w:val="3"/>
            <w:shd w:val="clear" w:color="auto" w:fill="auto"/>
            <w:vAlign w:val="bottom"/>
          </w:tcPr>
          <w:p w14:paraId="39D99549" w14:textId="77777777" w:rsidR="00996AD7" w:rsidRDefault="00996AD7">
            <w:pPr>
              <w:rPr>
                <w:rFonts w:ascii="宋体"/>
                <w:vanish/>
              </w:rPr>
            </w:pPr>
          </w:p>
        </w:tc>
        <w:tc>
          <w:tcPr>
            <w:tcW w:w="0" w:type="auto"/>
            <w:gridSpan w:val="3"/>
            <w:shd w:val="clear" w:color="auto" w:fill="auto"/>
            <w:vAlign w:val="bottom"/>
          </w:tcPr>
          <w:p w14:paraId="39D9954A" w14:textId="77777777" w:rsidR="00996AD7" w:rsidRDefault="00996AD7">
            <w:pPr>
              <w:rPr>
                <w:rFonts w:ascii="宋体"/>
                <w:vanish/>
              </w:rPr>
            </w:pPr>
          </w:p>
        </w:tc>
        <w:tc>
          <w:tcPr>
            <w:tcW w:w="0" w:type="auto"/>
            <w:gridSpan w:val="3"/>
            <w:shd w:val="clear" w:color="auto" w:fill="auto"/>
            <w:vAlign w:val="bottom"/>
          </w:tcPr>
          <w:p w14:paraId="39D9954B" w14:textId="77777777" w:rsidR="00996AD7" w:rsidRDefault="00996AD7">
            <w:pPr>
              <w:rPr>
                <w:rFonts w:ascii="宋体"/>
                <w:vanish/>
              </w:rPr>
            </w:pPr>
          </w:p>
        </w:tc>
        <w:tc>
          <w:tcPr>
            <w:tcW w:w="0" w:type="auto"/>
            <w:gridSpan w:val="3"/>
            <w:shd w:val="clear" w:color="auto" w:fill="auto"/>
            <w:vAlign w:val="bottom"/>
          </w:tcPr>
          <w:p w14:paraId="39D9954C" w14:textId="77777777" w:rsidR="00996AD7" w:rsidRDefault="00996AD7">
            <w:pPr>
              <w:rPr>
                <w:rFonts w:ascii="宋体"/>
                <w:vanish/>
              </w:rPr>
            </w:pPr>
          </w:p>
        </w:tc>
        <w:tc>
          <w:tcPr>
            <w:tcW w:w="0" w:type="auto"/>
            <w:gridSpan w:val="3"/>
            <w:shd w:val="clear" w:color="auto" w:fill="auto"/>
            <w:vAlign w:val="bottom"/>
          </w:tcPr>
          <w:p w14:paraId="39D9954D" w14:textId="77777777" w:rsidR="00996AD7" w:rsidRDefault="00996AD7">
            <w:pPr>
              <w:rPr>
                <w:rFonts w:ascii="宋体"/>
                <w:vanish/>
              </w:rPr>
            </w:pPr>
          </w:p>
        </w:tc>
      </w:tr>
      <w:tr w:rsidR="00996AD7" w14:paraId="39D9955E"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39D9954F" w14:textId="77777777" w:rsidR="00996AD7" w:rsidRDefault="00D96458">
            <w:pPr>
              <w:textAlignment w:val="center"/>
            </w:pPr>
            <w:r>
              <w:rPr>
                <w:rFonts w:ascii="Arial" w:eastAsia="宋体" w:hAnsi="Arial" w:cs="Arial"/>
                <w:color w:val="262626"/>
                <w:sz w:val="18"/>
                <w:szCs w:val="18"/>
              </w:rPr>
              <w:t>Platform volume</w:t>
            </w:r>
          </w:p>
        </w:tc>
        <w:tc>
          <w:tcPr>
            <w:tcW w:w="0" w:type="auto"/>
            <w:gridSpan w:val="3"/>
            <w:shd w:val="clear" w:color="auto" w:fill="auto"/>
            <w:tcMar>
              <w:top w:w="0" w:type="dxa"/>
              <w:left w:w="20" w:type="dxa"/>
              <w:bottom w:w="0" w:type="dxa"/>
              <w:right w:w="20" w:type="dxa"/>
            </w:tcMar>
            <w:vAlign w:val="bottom"/>
          </w:tcPr>
          <w:p w14:paraId="39D99550" w14:textId="77777777" w:rsidR="00996AD7" w:rsidRDefault="00996AD7">
            <w:pPr>
              <w:rPr>
                <w:rFonts w:ascii="宋体"/>
              </w:rPr>
            </w:pP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39D99551" w14:textId="77777777" w:rsidR="00996AD7" w:rsidRDefault="00D96458">
            <w:pPr>
              <w:jc w:val="right"/>
              <w:textAlignment w:val="center"/>
            </w:pPr>
            <w:r>
              <w:rPr>
                <w:rFonts w:ascii="Arial" w:eastAsia="宋体" w:hAnsi="Arial" w:cs="Arial"/>
                <w:color w:val="0068B5"/>
                <w:sz w:val="18"/>
                <w:szCs w:val="18"/>
              </w:rPr>
              <w:t>up</w:t>
            </w: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39D99552" w14:textId="77777777" w:rsidR="00996AD7" w:rsidRDefault="00D96458">
            <w:pPr>
              <w:textAlignment w:val="center"/>
            </w:pPr>
            <w:r>
              <w:rPr>
                <w:rFonts w:ascii="Arial" w:eastAsia="宋体" w:hAnsi="Arial" w:cs="Arial"/>
                <w:color w:val="0068B5"/>
                <w:sz w:val="18"/>
                <w:szCs w:val="18"/>
              </w:rPr>
              <w:t>8%</w:t>
            </w:r>
          </w:p>
        </w:tc>
        <w:tc>
          <w:tcPr>
            <w:tcW w:w="0" w:type="auto"/>
            <w:gridSpan w:val="3"/>
            <w:shd w:val="clear" w:color="auto" w:fill="FFFFFF"/>
            <w:tcMar>
              <w:top w:w="0" w:type="dxa"/>
              <w:left w:w="20" w:type="dxa"/>
              <w:bottom w:w="0" w:type="dxa"/>
              <w:right w:w="20" w:type="dxa"/>
            </w:tcMar>
            <w:vAlign w:val="bottom"/>
          </w:tcPr>
          <w:p w14:paraId="39D99553" w14:textId="77777777" w:rsidR="00996AD7" w:rsidRDefault="00996AD7">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center"/>
          </w:tcPr>
          <w:p w14:paraId="39D99554" w14:textId="77777777" w:rsidR="00996AD7" w:rsidRDefault="00D96458">
            <w:pPr>
              <w:textAlignment w:val="center"/>
            </w:pPr>
            <w:r>
              <w:rPr>
                <w:rFonts w:ascii="Arial" w:eastAsia="宋体" w:hAnsi="Arial" w:cs="Arial"/>
                <w:color w:val="0068B5"/>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center"/>
          </w:tcPr>
          <w:p w14:paraId="39D99555" w14:textId="77777777" w:rsidR="00996AD7" w:rsidRDefault="00D96458">
            <w:pPr>
              <w:jc w:val="right"/>
              <w:textAlignment w:val="center"/>
            </w:pPr>
            <w:r>
              <w:rPr>
                <w:rFonts w:ascii="Arial" w:eastAsia="宋体" w:hAnsi="Arial" w:cs="Arial"/>
                <w:color w:val="0068B5"/>
                <w:sz w:val="18"/>
                <w:szCs w:val="18"/>
              </w:rPr>
              <w:t>422 </w:t>
            </w:r>
          </w:p>
        </w:tc>
        <w:tc>
          <w:tcPr>
            <w:tcW w:w="0" w:type="auto"/>
            <w:tcBorders>
              <w:top w:val="single" w:sz="8" w:space="0" w:color="0068B5"/>
            </w:tcBorders>
            <w:shd w:val="clear" w:color="auto" w:fill="FFFFFF"/>
            <w:tcMar>
              <w:top w:w="40" w:type="dxa"/>
              <w:left w:w="0" w:type="dxa"/>
              <w:bottom w:w="40" w:type="dxa"/>
              <w:right w:w="20" w:type="dxa"/>
            </w:tcMar>
            <w:vAlign w:val="center"/>
          </w:tcPr>
          <w:p w14:paraId="39D99556" w14:textId="77777777" w:rsidR="00996AD7" w:rsidRDefault="00996AD7">
            <w:pPr>
              <w:jc w:val="right"/>
              <w:rPr>
                <w:rFonts w:ascii="宋体"/>
              </w:rPr>
            </w:pPr>
          </w:p>
        </w:tc>
        <w:tc>
          <w:tcPr>
            <w:tcW w:w="0" w:type="auto"/>
            <w:gridSpan w:val="3"/>
            <w:shd w:val="clear" w:color="auto" w:fill="FFFFFF"/>
            <w:tcMar>
              <w:top w:w="0" w:type="dxa"/>
              <w:left w:w="20" w:type="dxa"/>
              <w:bottom w:w="0" w:type="dxa"/>
              <w:right w:w="20" w:type="dxa"/>
            </w:tcMar>
            <w:vAlign w:val="bottom"/>
          </w:tcPr>
          <w:p w14:paraId="39D99557" w14:textId="77777777" w:rsidR="00996AD7" w:rsidRDefault="00996AD7">
            <w:pPr>
              <w:rPr>
                <w:rFonts w:ascii="宋体"/>
              </w:rPr>
            </w:pP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39D99558" w14:textId="77777777" w:rsidR="00996AD7" w:rsidRDefault="00D96458">
            <w:pPr>
              <w:jc w:val="right"/>
              <w:textAlignment w:val="center"/>
            </w:pPr>
            <w:r>
              <w:rPr>
                <w:rFonts w:ascii="Arial" w:eastAsia="宋体" w:hAnsi="Arial" w:cs="Arial"/>
                <w:color w:val="0068B5"/>
                <w:sz w:val="18"/>
                <w:szCs w:val="18"/>
              </w:rPr>
              <w:t>down</w:t>
            </w:r>
          </w:p>
        </w:tc>
        <w:tc>
          <w:tcPr>
            <w:tcW w:w="0" w:type="auto"/>
            <w:gridSpan w:val="3"/>
            <w:tcBorders>
              <w:top w:val="single" w:sz="8" w:space="0" w:color="0068B5"/>
            </w:tcBorders>
            <w:shd w:val="clear" w:color="auto" w:fill="FFFFFF"/>
            <w:tcMar>
              <w:top w:w="40" w:type="dxa"/>
              <w:left w:w="20" w:type="dxa"/>
              <w:bottom w:w="40" w:type="dxa"/>
              <w:right w:w="20" w:type="dxa"/>
            </w:tcMar>
            <w:vAlign w:val="center"/>
          </w:tcPr>
          <w:p w14:paraId="39D99559" w14:textId="77777777" w:rsidR="00996AD7" w:rsidRDefault="00D96458">
            <w:pPr>
              <w:textAlignment w:val="center"/>
            </w:pPr>
            <w:r>
              <w:rPr>
                <w:rFonts w:ascii="Arial" w:eastAsia="宋体" w:hAnsi="Arial" w:cs="Arial"/>
                <w:color w:val="0068B5"/>
                <w:sz w:val="18"/>
                <w:szCs w:val="18"/>
              </w:rPr>
              <w:t>(2)%</w:t>
            </w:r>
          </w:p>
        </w:tc>
        <w:tc>
          <w:tcPr>
            <w:tcW w:w="0" w:type="auto"/>
            <w:gridSpan w:val="3"/>
            <w:shd w:val="clear" w:color="auto" w:fill="FFFFFF"/>
            <w:tcMar>
              <w:top w:w="0" w:type="dxa"/>
              <w:left w:w="20" w:type="dxa"/>
              <w:bottom w:w="0" w:type="dxa"/>
              <w:right w:w="20" w:type="dxa"/>
            </w:tcMar>
            <w:vAlign w:val="bottom"/>
          </w:tcPr>
          <w:p w14:paraId="39D9955A" w14:textId="77777777" w:rsidR="00996AD7" w:rsidRDefault="00996AD7">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center"/>
          </w:tcPr>
          <w:p w14:paraId="39D9955B" w14:textId="77777777" w:rsidR="00996AD7" w:rsidRDefault="00D96458">
            <w:pPr>
              <w:textAlignment w:val="center"/>
            </w:pPr>
            <w:r>
              <w:rPr>
                <w:rFonts w:ascii="Arial" w:eastAsia="宋体" w:hAnsi="Arial" w:cs="Arial"/>
                <w:color w:val="0068B5"/>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center"/>
          </w:tcPr>
          <w:p w14:paraId="39D9955C" w14:textId="77777777" w:rsidR="00996AD7" w:rsidRDefault="00D96458">
            <w:pPr>
              <w:jc w:val="right"/>
              <w:textAlignment w:val="center"/>
            </w:pPr>
            <w:r>
              <w:rPr>
                <w:rFonts w:ascii="Arial" w:eastAsia="宋体" w:hAnsi="Arial" w:cs="Arial"/>
                <w:color w:val="0068B5"/>
                <w:sz w:val="18"/>
                <w:szCs w:val="18"/>
              </w:rPr>
              <w:t>(377)</w:t>
            </w:r>
          </w:p>
        </w:tc>
        <w:tc>
          <w:tcPr>
            <w:tcW w:w="0" w:type="auto"/>
            <w:tcBorders>
              <w:top w:val="single" w:sz="8" w:space="0" w:color="0068B5"/>
            </w:tcBorders>
            <w:shd w:val="clear" w:color="auto" w:fill="FFFFFF"/>
            <w:tcMar>
              <w:top w:w="40" w:type="dxa"/>
              <w:left w:w="0" w:type="dxa"/>
              <w:bottom w:w="40" w:type="dxa"/>
              <w:right w:w="20" w:type="dxa"/>
            </w:tcMar>
            <w:vAlign w:val="center"/>
          </w:tcPr>
          <w:p w14:paraId="39D9955D" w14:textId="77777777" w:rsidR="00996AD7" w:rsidRDefault="00996AD7">
            <w:pPr>
              <w:jc w:val="right"/>
              <w:rPr>
                <w:rFonts w:ascii="宋体"/>
              </w:rPr>
            </w:pPr>
          </w:p>
        </w:tc>
      </w:tr>
      <w:tr w:rsidR="00996AD7" w14:paraId="39D9956C" w14:textId="77777777">
        <w:tc>
          <w:tcPr>
            <w:tcW w:w="0" w:type="auto"/>
            <w:gridSpan w:val="3"/>
            <w:shd w:val="clear" w:color="auto" w:fill="auto"/>
            <w:tcMar>
              <w:top w:w="40" w:type="dxa"/>
              <w:left w:w="20" w:type="dxa"/>
              <w:bottom w:w="40" w:type="dxa"/>
              <w:right w:w="20" w:type="dxa"/>
            </w:tcMar>
            <w:vAlign w:val="bottom"/>
          </w:tcPr>
          <w:p w14:paraId="39D9955F" w14:textId="77777777" w:rsidR="00996AD7" w:rsidRDefault="00D96458">
            <w:pPr>
              <w:textAlignment w:val="bottom"/>
            </w:pPr>
            <w:r>
              <w:rPr>
                <w:rFonts w:ascii="Arial" w:eastAsia="宋体" w:hAnsi="Arial" w:cs="Arial"/>
                <w:color w:val="262626"/>
                <w:sz w:val="18"/>
                <w:szCs w:val="18"/>
              </w:rPr>
              <w:t>Platform ASP</w:t>
            </w:r>
          </w:p>
        </w:tc>
        <w:tc>
          <w:tcPr>
            <w:tcW w:w="0" w:type="auto"/>
            <w:gridSpan w:val="3"/>
            <w:shd w:val="clear" w:color="auto" w:fill="auto"/>
            <w:tcMar>
              <w:top w:w="0" w:type="dxa"/>
              <w:left w:w="20" w:type="dxa"/>
              <w:bottom w:w="0" w:type="dxa"/>
              <w:right w:w="20" w:type="dxa"/>
            </w:tcMar>
            <w:vAlign w:val="bottom"/>
          </w:tcPr>
          <w:p w14:paraId="39D99560" w14:textId="77777777" w:rsidR="00996AD7" w:rsidRDefault="00996AD7">
            <w:pPr>
              <w:rPr>
                <w:rFonts w:ascii="宋体"/>
              </w:rPr>
            </w:pPr>
          </w:p>
        </w:tc>
        <w:tc>
          <w:tcPr>
            <w:tcW w:w="0" w:type="auto"/>
            <w:gridSpan w:val="3"/>
            <w:shd w:val="clear" w:color="auto" w:fill="FFFFFF"/>
            <w:tcMar>
              <w:top w:w="40" w:type="dxa"/>
              <w:left w:w="20" w:type="dxa"/>
              <w:bottom w:w="40" w:type="dxa"/>
              <w:right w:w="20" w:type="dxa"/>
            </w:tcMar>
            <w:vAlign w:val="center"/>
          </w:tcPr>
          <w:p w14:paraId="39D99561" w14:textId="77777777" w:rsidR="00996AD7" w:rsidRDefault="00D96458">
            <w:pPr>
              <w:jc w:val="right"/>
              <w:textAlignment w:val="center"/>
            </w:pPr>
            <w:r>
              <w:rPr>
                <w:rFonts w:ascii="Arial" w:eastAsia="宋体" w:hAnsi="Arial" w:cs="Arial"/>
                <w:color w:val="0068B5"/>
                <w:sz w:val="18"/>
                <w:szCs w:val="18"/>
              </w:rPr>
              <w:t>up</w:t>
            </w:r>
          </w:p>
        </w:tc>
        <w:tc>
          <w:tcPr>
            <w:tcW w:w="0" w:type="auto"/>
            <w:gridSpan w:val="3"/>
            <w:shd w:val="clear" w:color="auto" w:fill="FFFFFF"/>
            <w:tcMar>
              <w:top w:w="40" w:type="dxa"/>
              <w:left w:w="20" w:type="dxa"/>
              <w:bottom w:w="40" w:type="dxa"/>
              <w:right w:w="20" w:type="dxa"/>
            </w:tcMar>
            <w:vAlign w:val="center"/>
          </w:tcPr>
          <w:p w14:paraId="39D99562" w14:textId="77777777" w:rsidR="00996AD7" w:rsidRDefault="00D96458">
            <w:pPr>
              <w:textAlignment w:val="center"/>
            </w:pPr>
            <w:r>
              <w:rPr>
                <w:rFonts w:ascii="Arial" w:eastAsia="宋体" w:hAnsi="Arial" w:cs="Arial"/>
                <w:color w:val="0068B5"/>
                <w:sz w:val="18"/>
                <w:szCs w:val="18"/>
              </w:rPr>
              <w:t>3%</w:t>
            </w:r>
          </w:p>
        </w:tc>
        <w:tc>
          <w:tcPr>
            <w:tcW w:w="0" w:type="auto"/>
            <w:gridSpan w:val="3"/>
            <w:shd w:val="clear" w:color="auto" w:fill="FFFFFF"/>
            <w:tcMar>
              <w:top w:w="0" w:type="dxa"/>
              <w:left w:w="20" w:type="dxa"/>
              <w:bottom w:w="0" w:type="dxa"/>
              <w:right w:w="20" w:type="dxa"/>
            </w:tcMar>
            <w:vAlign w:val="bottom"/>
          </w:tcPr>
          <w:p w14:paraId="39D99563" w14:textId="77777777" w:rsidR="00996AD7" w:rsidRDefault="00996AD7">
            <w:pPr>
              <w:rPr>
                <w:rFonts w:ascii="宋体"/>
              </w:rPr>
            </w:pPr>
          </w:p>
        </w:tc>
        <w:tc>
          <w:tcPr>
            <w:tcW w:w="0" w:type="auto"/>
            <w:gridSpan w:val="2"/>
            <w:shd w:val="clear" w:color="auto" w:fill="FFFFFF"/>
            <w:tcMar>
              <w:top w:w="40" w:type="dxa"/>
              <w:left w:w="20" w:type="dxa"/>
              <w:bottom w:w="40" w:type="dxa"/>
              <w:right w:w="0" w:type="dxa"/>
            </w:tcMar>
            <w:vAlign w:val="center"/>
          </w:tcPr>
          <w:p w14:paraId="39D99564" w14:textId="77777777" w:rsidR="00996AD7" w:rsidRDefault="00D96458">
            <w:pPr>
              <w:jc w:val="right"/>
              <w:textAlignment w:val="center"/>
            </w:pPr>
            <w:r>
              <w:rPr>
                <w:rFonts w:ascii="Arial" w:eastAsia="宋体" w:hAnsi="Arial" w:cs="Arial"/>
                <w:color w:val="0068B5"/>
                <w:sz w:val="18"/>
                <w:szCs w:val="18"/>
              </w:rPr>
              <w:t>174 </w:t>
            </w:r>
          </w:p>
        </w:tc>
        <w:tc>
          <w:tcPr>
            <w:tcW w:w="0" w:type="auto"/>
            <w:shd w:val="clear" w:color="auto" w:fill="FFFFFF"/>
            <w:tcMar>
              <w:top w:w="40" w:type="dxa"/>
              <w:left w:w="0" w:type="dxa"/>
              <w:bottom w:w="40" w:type="dxa"/>
              <w:right w:w="20" w:type="dxa"/>
            </w:tcMar>
            <w:vAlign w:val="center"/>
          </w:tcPr>
          <w:p w14:paraId="39D99565" w14:textId="77777777" w:rsidR="00996AD7" w:rsidRDefault="00996AD7">
            <w:pPr>
              <w:jc w:val="right"/>
              <w:rPr>
                <w:rFonts w:ascii="宋体"/>
              </w:rPr>
            </w:pPr>
          </w:p>
        </w:tc>
        <w:tc>
          <w:tcPr>
            <w:tcW w:w="0" w:type="auto"/>
            <w:gridSpan w:val="3"/>
            <w:shd w:val="clear" w:color="auto" w:fill="FFFFFF"/>
            <w:tcMar>
              <w:top w:w="0" w:type="dxa"/>
              <w:left w:w="20" w:type="dxa"/>
              <w:bottom w:w="0" w:type="dxa"/>
              <w:right w:w="20" w:type="dxa"/>
            </w:tcMar>
            <w:vAlign w:val="bottom"/>
          </w:tcPr>
          <w:p w14:paraId="39D99566" w14:textId="77777777" w:rsidR="00996AD7" w:rsidRDefault="00996AD7">
            <w:pPr>
              <w:rPr>
                <w:rFonts w:ascii="宋体"/>
              </w:rPr>
            </w:pPr>
          </w:p>
        </w:tc>
        <w:tc>
          <w:tcPr>
            <w:tcW w:w="0" w:type="auto"/>
            <w:gridSpan w:val="3"/>
            <w:shd w:val="clear" w:color="auto" w:fill="FFFFFF"/>
            <w:tcMar>
              <w:top w:w="40" w:type="dxa"/>
              <w:left w:w="20" w:type="dxa"/>
              <w:bottom w:w="40" w:type="dxa"/>
              <w:right w:w="20" w:type="dxa"/>
            </w:tcMar>
            <w:vAlign w:val="center"/>
          </w:tcPr>
          <w:p w14:paraId="39D99567" w14:textId="77777777" w:rsidR="00996AD7" w:rsidRDefault="00D96458">
            <w:pPr>
              <w:jc w:val="right"/>
              <w:textAlignment w:val="center"/>
            </w:pPr>
            <w:r>
              <w:rPr>
                <w:rFonts w:ascii="Arial" w:eastAsia="宋体" w:hAnsi="Arial" w:cs="Arial"/>
                <w:color w:val="0068B5"/>
                <w:sz w:val="18"/>
                <w:szCs w:val="18"/>
              </w:rPr>
              <w:t>down</w:t>
            </w:r>
          </w:p>
        </w:tc>
        <w:tc>
          <w:tcPr>
            <w:tcW w:w="0" w:type="auto"/>
            <w:gridSpan w:val="3"/>
            <w:shd w:val="clear" w:color="auto" w:fill="FFFFFF"/>
            <w:tcMar>
              <w:top w:w="40" w:type="dxa"/>
              <w:left w:w="20" w:type="dxa"/>
              <w:bottom w:w="40" w:type="dxa"/>
              <w:right w:w="20" w:type="dxa"/>
            </w:tcMar>
            <w:vAlign w:val="center"/>
          </w:tcPr>
          <w:p w14:paraId="39D99568" w14:textId="77777777" w:rsidR="00996AD7" w:rsidRDefault="00D96458">
            <w:pPr>
              <w:textAlignment w:val="center"/>
            </w:pPr>
            <w:r>
              <w:rPr>
                <w:rFonts w:ascii="Arial" w:eastAsia="宋体" w:hAnsi="Arial" w:cs="Arial"/>
                <w:color w:val="0068B5"/>
                <w:sz w:val="18"/>
                <w:szCs w:val="18"/>
              </w:rPr>
              <w:t>(6)%</w:t>
            </w:r>
          </w:p>
        </w:tc>
        <w:tc>
          <w:tcPr>
            <w:tcW w:w="0" w:type="auto"/>
            <w:gridSpan w:val="3"/>
            <w:shd w:val="clear" w:color="auto" w:fill="FFFFFF"/>
            <w:tcMar>
              <w:top w:w="0" w:type="dxa"/>
              <w:left w:w="20" w:type="dxa"/>
              <w:bottom w:w="0" w:type="dxa"/>
              <w:right w:w="20" w:type="dxa"/>
            </w:tcMar>
            <w:vAlign w:val="bottom"/>
          </w:tcPr>
          <w:p w14:paraId="39D99569" w14:textId="77777777" w:rsidR="00996AD7" w:rsidRDefault="00996AD7">
            <w:pPr>
              <w:rPr>
                <w:rFonts w:ascii="宋体"/>
              </w:rPr>
            </w:pPr>
          </w:p>
        </w:tc>
        <w:tc>
          <w:tcPr>
            <w:tcW w:w="0" w:type="auto"/>
            <w:gridSpan w:val="2"/>
            <w:shd w:val="clear" w:color="auto" w:fill="FFFFFF"/>
            <w:tcMar>
              <w:top w:w="40" w:type="dxa"/>
              <w:left w:w="20" w:type="dxa"/>
              <w:bottom w:w="40" w:type="dxa"/>
              <w:right w:w="0" w:type="dxa"/>
            </w:tcMar>
            <w:vAlign w:val="center"/>
          </w:tcPr>
          <w:p w14:paraId="39D9956A" w14:textId="77777777" w:rsidR="00996AD7" w:rsidRDefault="00D96458">
            <w:pPr>
              <w:jc w:val="right"/>
              <w:textAlignment w:val="center"/>
            </w:pPr>
            <w:r>
              <w:rPr>
                <w:rFonts w:ascii="Arial" w:eastAsia="宋体" w:hAnsi="Arial" w:cs="Arial"/>
                <w:color w:val="0068B5"/>
                <w:sz w:val="18"/>
                <w:szCs w:val="18"/>
              </w:rPr>
              <w:t>(1,121)</w:t>
            </w:r>
          </w:p>
        </w:tc>
        <w:tc>
          <w:tcPr>
            <w:tcW w:w="0" w:type="auto"/>
            <w:shd w:val="clear" w:color="auto" w:fill="FFFFFF"/>
            <w:tcMar>
              <w:top w:w="40" w:type="dxa"/>
              <w:left w:w="0" w:type="dxa"/>
              <w:bottom w:w="40" w:type="dxa"/>
              <w:right w:w="20" w:type="dxa"/>
            </w:tcMar>
            <w:vAlign w:val="center"/>
          </w:tcPr>
          <w:p w14:paraId="39D9956B" w14:textId="77777777" w:rsidR="00996AD7" w:rsidRDefault="00996AD7">
            <w:pPr>
              <w:jc w:val="right"/>
              <w:rPr>
                <w:rFonts w:ascii="宋体"/>
              </w:rPr>
            </w:pPr>
          </w:p>
        </w:tc>
      </w:tr>
      <w:tr w:rsidR="00996AD7" w14:paraId="39D9957A" w14:textId="77777777">
        <w:tc>
          <w:tcPr>
            <w:tcW w:w="0" w:type="auto"/>
            <w:gridSpan w:val="3"/>
            <w:shd w:val="clear" w:color="auto" w:fill="auto"/>
            <w:tcMar>
              <w:top w:w="40" w:type="dxa"/>
              <w:left w:w="20" w:type="dxa"/>
              <w:bottom w:w="40" w:type="dxa"/>
              <w:right w:w="20" w:type="dxa"/>
            </w:tcMar>
            <w:vAlign w:val="bottom"/>
          </w:tcPr>
          <w:p w14:paraId="39D9956D" w14:textId="77777777" w:rsidR="00996AD7" w:rsidRDefault="00D96458">
            <w:pPr>
              <w:textAlignment w:val="bottom"/>
            </w:pPr>
            <w:r>
              <w:rPr>
                <w:rFonts w:ascii="Arial" w:eastAsia="宋体" w:hAnsi="Arial" w:cs="Arial"/>
                <w:color w:val="262626"/>
                <w:sz w:val="18"/>
                <w:szCs w:val="18"/>
              </w:rPr>
              <w:t>Adjacent products</w:t>
            </w:r>
          </w:p>
        </w:tc>
        <w:tc>
          <w:tcPr>
            <w:tcW w:w="0" w:type="auto"/>
            <w:gridSpan w:val="3"/>
            <w:shd w:val="clear" w:color="auto" w:fill="auto"/>
            <w:tcMar>
              <w:top w:w="0" w:type="dxa"/>
              <w:left w:w="20" w:type="dxa"/>
              <w:bottom w:w="0" w:type="dxa"/>
              <w:right w:w="20" w:type="dxa"/>
            </w:tcMar>
            <w:vAlign w:val="bottom"/>
          </w:tcPr>
          <w:p w14:paraId="39D9956E" w14:textId="77777777" w:rsidR="00996AD7" w:rsidRDefault="00996AD7">
            <w:pPr>
              <w:rPr>
                <w:rFonts w:ascii="宋体"/>
              </w:rPr>
            </w:pPr>
          </w:p>
        </w:tc>
        <w:tc>
          <w:tcPr>
            <w:tcW w:w="0" w:type="auto"/>
            <w:gridSpan w:val="3"/>
            <w:shd w:val="clear" w:color="auto" w:fill="FFFFFF"/>
            <w:tcMar>
              <w:top w:w="40" w:type="dxa"/>
              <w:left w:w="20" w:type="dxa"/>
              <w:bottom w:w="40" w:type="dxa"/>
              <w:right w:w="20" w:type="dxa"/>
            </w:tcMar>
            <w:vAlign w:val="center"/>
          </w:tcPr>
          <w:p w14:paraId="39D9956F" w14:textId="77777777" w:rsidR="00996AD7" w:rsidRDefault="00D96458">
            <w:pPr>
              <w:jc w:val="right"/>
              <w:textAlignment w:val="center"/>
            </w:pPr>
            <w:r>
              <w:rPr>
                <w:rFonts w:ascii="Arial" w:eastAsia="宋体" w:hAnsi="Arial" w:cs="Arial"/>
                <w:color w:val="0068B5"/>
                <w:sz w:val="18"/>
                <w:szCs w:val="18"/>
              </w:rPr>
              <w:t>down</w:t>
            </w:r>
          </w:p>
        </w:tc>
        <w:tc>
          <w:tcPr>
            <w:tcW w:w="0" w:type="auto"/>
            <w:gridSpan w:val="3"/>
            <w:shd w:val="clear" w:color="auto" w:fill="FFFFFF"/>
            <w:tcMar>
              <w:top w:w="40" w:type="dxa"/>
              <w:left w:w="20" w:type="dxa"/>
              <w:bottom w:w="40" w:type="dxa"/>
              <w:right w:w="20" w:type="dxa"/>
            </w:tcMar>
            <w:vAlign w:val="center"/>
          </w:tcPr>
          <w:p w14:paraId="39D99570" w14:textId="77777777" w:rsidR="00996AD7" w:rsidRDefault="00D96458">
            <w:pPr>
              <w:textAlignment w:val="center"/>
            </w:pPr>
            <w:r>
              <w:rPr>
                <w:rFonts w:ascii="Arial" w:eastAsia="宋体" w:hAnsi="Arial" w:cs="Arial"/>
                <w:color w:val="0068B5"/>
                <w:sz w:val="18"/>
                <w:szCs w:val="18"/>
              </w:rPr>
              <w:t>(1)%</w:t>
            </w:r>
          </w:p>
        </w:tc>
        <w:tc>
          <w:tcPr>
            <w:tcW w:w="0" w:type="auto"/>
            <w:gridSpan w:val="3"/>
            <w:shd w:val="clear" w:color="auto" w:fill="FFFFFF"/>
            <w:tcMar>
              <w:top w:w="0" w:type="dxa"/>
              <w:left w:w="20" w:type="dxa"/>
              <w:bottom w:w="0" w:type="dxa"/>
              <w:right w:w="20" w:type="dxa"/>
            </w:tcMar>
            <w:vAlign w:val="bottom"/>
          </w:tcPr>
          <w:p w14:paraId="39D99571" w14:textId="77777777" w:rsidR="00996AD7" w:rsidRDefault="00996AD7">
            <w:pPr>
              <w:rPr>
                <w:rFonts w:ascii="宋体"/>
              </w:rPr>
            </w:pPr>
          </w:p>
        </w:tc>
        <w:tc>
          <w:tcPr>
            <w:tcW w:w="0" w:type="auto"/>
            <w:gridSpan w:val="2"/>
            <w:shd w:val="clear" w:color="auto" w:fill="FFFFFF"/>
            <w:tcMar>
              <w:top w:w="40" w:type="dxa"/>
              <w:left w:w="20" w:type="dxa"/>
              <w:bottom w:w="40" w:type="dxa"/>
              <w:right w:w="0" w:type="dxa"/>
            </w:tcMar>
            <w:vAlign w:val="center"/>
          </w:tcPr>
          <w:p w14:paraId="39D99572" w14:textId="77777777" w:rsidR="00996AD7" w:rsidRDefault="00D96458">
            <w:pPr>
              <w:jc w:val="right"/>
              <w:textAlignment w:val="center"/>
            </w:pPr>
            <w:r>
              <w:rPr>
                <w:rFonts w:ascii="Arial" w:eastAsia="宋体" w:hAnsi="Arial" w:cs="Arial"/>
                <w:color w:val="0068B5"/>
                <w:sz w:val="18"/>
                <w:szCs w:val="18"/>
              </w:rPr>
              <w:t>(5)</w:t>
            </w:r>
          </w:p>
        </w:tc>
        <w:tc>
          <w:tcPr>
            <w:tcW w:w="0" w:type="auto"/>
            <w:shd w:val="clear" w:color="auto" w:fill="FFFFFF"/>
            <w:tcMar>
              <w:top w:w="40" w:type="dxa"/>
              <w:left w:w="0" w:type="dxa"/>
              <w:bottom w:w="40" w:type="dxa"/>
              <w:right w:w="20" w:type="dxa"/>
            </w:tcMar>
            <w:vAlign w:val="center"/>
          </w:tcPr>
          <w:p w14:paraId="39D99573" w14:textId="77777777" w:rsidR="00996AD7" w:rsidRDefault="00996AD7">
            <w:pPr>
              <w:jc w:val="right"/>
              <w:rPr>
                <w:rFonts w:ascii="宋体"/>
              </w:rPr>
            </w:pPr>
          </w:p>
        </w:tc>
        <w:tc>
          <w:tcPr>
            <w:tcW w:w="0" w:type="auto"/>
            <w:gridSpan w:val="3"/>
            <w:shd w:val="clear" w:color="auto" w:fill="FFFFFF"/>
            <w:tcMar>
              <w:top w:w="0" w:type="dxa"/>
              <w:left w:w="20" w:type="dxa"/>
              <w:bottom w:w="0" w:type="dxa"/>
              <w:right w:w="20" w:type="dxa"/>
            </w:tcMar>
            <w:vAlign w:val="bottom"/>
          </w:tcPr>
          <w:p w14:paraId="39D99574" w14:textId="77777777" w:rsidR="00996AD7" w:rsidRDefault="00996AD7">
            <w:pPr>
              <w:rPr>
                <w:rFonts w:ascii="宋体"/>
              </w:rPr>
            </w:pPr>
          </w:p>
        </w:tc>
        <w:tc>
          <w:tcPr>
            <w:tcW w:w="0" w:type="auto"/>
            <w:gridSpan w:val="3"/>
            <w:shd w:val="clear" w:color="auto" w:fill="FFFFFF"/>
            <w:tcMar>
              <w:top w:w="40" w:type="dxa"/>
              <w:left w:w="20" w:type="dxa"/>
              <w:bottom w:w="40" w:type="dxa"/>
              <w:right w:w="20" w:type="dxa"/>
            </w:tcMar>
            <w:vAlign w:val="center"/>
          </w:tcPr>
          <w:p w14:paraId="39D99575" w14:textId="77777777" w:rsidR="00996AD7" w:rsidRDefault="00D96458">
            <w:pPr>
              <w:jc w:val="right"/>
              <w:textAlignment w:val="center"/>
            </w:pPr>
            <w:r>
              <w:rPr>
                <w:rFonts w:ascii="Arial" w:eastAsia="宋体" w:hAnsi="Arial" w:cs="Arial"/>
                <w:color w:val="0068B5"/>
                <w:sz w:val="18"/>
                <w:szCs w:val="18"/>
              </w:rPr>
              <w:t>down</w:t>
            </w:r>
          </w:p>
        </w:tc>
        <w:tc>
          <w:tcPr>
            <w:tcW w:w="0" w:type="auto"/>
            <w:gridSpan w:val="3"/>
            <w:shd w:val="clear" w:color="auto" w:fill="FFFFFF"/>
            <w:tcMar>
              <w:top w:w="40" w:type="dxa"/>
              <w:left w:w="20" w:type="dxa"/>
              <w:bottom w:w="40" w:type="dxa"/>
              <w:right w:w="20" w:type="dxa"/>
            </w:tcMar>
            <w:vAlign w:val="center"/>
          </w:tcPr>
          <w:p w14:paraId="39D99576" w14:textId="77777777" w:rsidR="00996AD7" w:rsidRDefault="00D96458">
            <w:pPr>
              <w:textAlignment w:val="center"/>
            </w:pPr>
            <w:r>
              <w:rPr>
                <w:rFonts w:ascii="Arial" w:eastAsia="宋体" w:hAnsi="Arial" w:cs="Arial"/>
                <w:color w:val="0068B5"/>
                <w:sz w:val="18"/>
                <w:szCs w:val="18"/>
              </w:rPr>
              <w:t>—%</w:t>
            </w:r>
          </w:p>
        </w:tc>
        <w:tc>
          <w:tcPr>
            <w:tcW w:w="0" w:type="auto"/>
            <w:gridSpan w:val="3"/>
            <w:shd w:val="clear" w:color="auto" w:fill="FFFFFF"/>
            <w:tcMar>
              <w:top w:w="0" w:type="dxa"/>
              <w:left w:w="20" w:type="dxa"/>
              <w:bottom w:w="0" w:type="dxa"/>
              <w:right w:w="20" w:type="dxa"/>
            </w:tcMar>
            <w:vAlign w:val="bottom"/>
          </w:tcPr>
          <w:p w14:paraId="39D99577" w14:textId="77777777" w:rsidR="00996AD7" w:rsidRDefault="00996AD7">
            <w:pPr>
              <w:rPr>
                <w:rFonts w:ascii="宋体"/>
              </w:rPr>
            </w:pPr>
          </w:p>
        </w:tc>
        <w:tc>
          <w:tcPr>
            <w:tcW w:w="0" w:type="auto"/>
            <w:gridSpan w:val="2"/>
            <w:shd w:val="clear" w:color="auto" w:fill="FFFFFF"/>
            <w:tcMar>
              <w:top w:w="40" w:type="dxa"/>
              <w:left w:w="20" w:type="dxa"/>
              <w:bottom w:w="40" w:type="dxa"/>
              <w:right w:w="0" w:type="dxa"/>
            </w:tcMar>
            <w:vAlign w:val="center"/>
          </w:tcPr>
          <w:p w14:paraId="39D99578" w14:textId="77777777" w:rsidR="00996AD7" w:rsidRDefault="00D96458">
            <w:pPr>
              <w:jc w:val="right"/>
              <w:textAlignment w:val="center"/>
            </w:pPr>
            <w:r>
              <w:rPr>
                <w:rFonts w:ascii="Arial" w:eastAsia="宋体" w:hAnsi="Arial" w:cs="Arial"/>
                <w:color w:val="0068B5"/>
                <w:sz w:val="18"/>
                <w:szCs w:val="18"/>
              </w:rPr>
              <w:t>(2)</w:t>
            </w:r>
          </w:p>
        </w:tc>
        <w:tc>
          <w:tcPr>
            <w:tcW w:w="0" w:type="auto"/>
            <w:shd w:val="clear" w:color="auto" w:fill="FFFFFF"/>
            <w:tcMar>
              <w:top w:w="40" w:type="dxa"/>
              <w:left w:w="0" w:type="dxa"/>
              <w:bottom w:w="40" w:type="dxa"/>
              <w:right w:w="20" w:type="dxa"/>
            </w:tcMar>
            <w:vAlign w:val="center"/>
          </w:tcPr>
          <w:p w14:paraId="39D99579" w14:textId="77777777" w:rsidR="00996AD7" w:rsidRDefault="00996AD7">
            <w:pPr>
              <w:jc w:val="right"/>
              <w:rPr>
                <w:rFonts w:ascii="宋体"/>
              </w:rPr>
            </w:pPr>
          </w:p>
        </w:tc>
      </w:tr>
      <w:tr w:rsidR="00996AD7" w14:paraId="39D99586" w14:textId="77777777">
        <w:trPr>
          <w:hidden/>
        </w:trPr>
        <w:tc>
          <w:tcPr>
            <w:tcW w:w="0" w:type="auto"/>
            <w:gridSpan w:val="3"/>
            <w:shd w:val="clear" w:color="auto" w:fill="auto"/>
            <w:vAlign w:val="bottom"/>
          </w:tcPr>
          <w:p w14:paraId="39D9957B" w14:textId="77777777" w:rsidR="00996AD7" w:rsidRDefault="00996AD7">
            <w:pPr>
              <w:rPr>
                <w:rFonts w:ascii="宋体"/>
                <w:vanish/>
              </w:rPr>
            </w:pPr>
          </w:p>
        </w:tc>
        <w:tc>
          <w:tcPr>
            <w:tcW w:w="0" w:type="auto"/>
            <w:gridSpan w:val="3"/>
            <w:shd w:val="clear" w:color="auto" w:fill="auto"/>
            <w:vAlign w:val="bottom"/>
          </w:tcPr>
          <w:p w14:paraId="39D9957C" w14:textId="77777777" w:rsidR="00996AD7" w:rsidRDefault="00996AD7">
            <w:pPr>
              <w:rPr>
                <w:rFonts w:ascii="宋体"/>
                <w:vanish/>
              </w:rPr>
            </w:pPr>
          </w:p>
        </w:tc>
        <w:tc>
          <w:tcPr>
            <w:tcW w:w="0" w:type="auto"/>
            <w:gridSpan w:val="3"/>
            <w:shd w:val="clear" w:color="auto" w:fill="auto"/>
            <w:vAlign w:val="bottom"/>
          </w:tcPr>
          <w:p w14:paraId="39D9957D" w14:textId="77777777" w:rsidR="00996AD7" w:rsidRDefault="00996AD7">
            <w:pPr>
              <w:rPr>
                <w:rFonts w:ascii="宋体"/>
                <w:vanish/>
              </w:rPr>
            </w:pPr>
          </w:p>
        </w:tc>
        <w:tc>
          <w:tcPr>
            <w:tcW w:w="0" w:type="auto"/>
            <w:gridSpan w:val="3"/>
            <w:shd w:val="clear" w:color="auto" w:fill="auto"/>
            <w:vAlign w:val="bottom"/>
          </w:tcPr>
          <w:p w14:paraId="39D9957E" w14:textId="77777777" w:rsidR="00996AD7" w:rsidRDefault="00996AD7">
            <w:pPr>
              <w:rPr>
                <w:rFonts w:ascii="宋体"/>
                <w:vanish/>
              </w:rPr>
            </w:pPr>
          </w:p>
        </w:tc>
        <w:tc>
          <w:tcPr>
            <w:tcW w:w="0" w:type="auto"/>
            <w:gridSpan w:val="3"/>
            <w:shd w:val="clear" w:color="auto" w:fill="auto"/>
            <w:vAlign w:val="bottom"/>
          </w:tcPr>
          <w:p w14:paraId="39D9957F" w14:textId="77777777" w:rsidR="00996AD7" w:rsidRDefault="00996AD7">
            <w:pPr>
              <w:rPr>
                <w:rFonts w:ascii="宋体"/>
                <w:vanish/>
              </w:rPr>
            </w:pPr>
          </w:p>
        </w:tc>
        <w:tc>
          <w:tcPr>
            <w:tcW w:w="0" w:type="auto"/>
            <w:gridSpan w:val="3"/>
            <w:shd w:val="clear" w:color="auto" w:fill="auto"/>
            <w:vAlign w:val="bottom"/>
          </w:tcPr>
          <w:p w14:paraId="39D99580" w14:textId="77777777" w:rsidR="00996AD7" w:rsidRDefault="00996AD7">
            <w:pPr>
              <w:rPr>
                <w:rFonts w:ascii="宋体"/>
                <w:vanish/>
              </w:rPr>
            </w:pPr>
          </w:p>
        </w:tc>
        <w:tc>
          <w:tcPr>
            <w:tcW w:w="0" w:type="auto"/>
            <w:gridSpan w:val="3"/>
            <w:shd w:val="clear" w:color="auto" w:fill="auto"/>
            <w:vAlign w:val="bottom"/>
          </w:tcPr>
          <w:p w14:paraId="39D99581" w14:textId="77777777" w:rsidR="00996AD7" w:rsidRDefault="00996AD7">
            <w:pPr>
              <w:rPr>
                <w:rFonts w:ascii="宋体"/>
                <w:vanish/>
              </w:rPr>
            </w:pPr>
          </w:p>
        </w:tc>
        <w:tc>
          <w:tcPr>
            <w:tcW w:w="0" w:type="auto"/>
            <w:gridSpan w:val="3"/>
            <w:shd w:val="clear" w:color="auto" w:fill="auto"/>
            <w:vAlign w:val="bottom"/>
          </w:tcPr>
          <w:p w14:paraId="39D99582" w14:textId="77777777" w:rsidR="00996AD7" w:rsidRDefault="00996AD7">
            <w:pPr>
              <w:rPr>
                <w:rFonts w:ascii="宋体"/>
                <w:vanish/>
              </w:rPr>
            </w:pPr>
          </w:p>
        </w:tc>
        <w:tc>
          <w:tcPr>
            <w:tcW w:w="0" w:type="auto"/>
            <w:gridSpan w:val="3"/>
            <w:shd w:val="clear" w:color="auto" w:fill="auto"/>
            <w:vAlign w:val="bottom"/>
          </w:tcPr>
          <w:p w14:paraId="39D99583" w14:textId="77777777" w:rsidR="00996AD7" w:rsidRDefault="00996AD7">
            <w:pPr>
              <w:rPr>
                <w:rFonts w:ascii="宋体"/>
                <w:vanish/>
              </w:rPr>
            </w:pPr>
          </w:p>
        </w:tc>
        <w:tc>
          <w:tcPr>
            <w:tcW w:w="0" w:type="auto"/>
            <w:gridSpan w:val="3"/>
            <w:shd w:val="clear" w:color="auto" w:fill="auto"/>
            <w:vAlign w:val="bottom"/>
          </w:tcPr>
          <w:p w14:paraId="39D99584" w14:textId="77777777" w:rsidR="00996AD7" w:rsidRDefault="00996AD7">
            <w:pPr>
              <w:rPr>
                <w:rFonts w:ascii="宋体"/>
                <w:vanish/>
              </w:rPr>
            </w:pPr>
          </w:p>
        </w:tc>
        <w:tc>
          <w:tcPr>
            <w:tcW w:w="0" w:type="auto"/>
            <w:gridSpan w:val="3"/>
            <w:shd w:val="clear" w:color="auto" w:fill="auto"/>
            <w:vAlign w:val="bottom"/>
          </w:tcPr>
          <w:p w14:paraId="39D99585" w14:textId="77777777" w:rsidR="00996AD7" w:rsidRDefault="00996AD7">
            <w:pPr>
              <w:rPr>
                <w:rFonts w:ascii="宋体"/>
                <w:vanish/>
              </w:rPr>
            </w:pPr>
          </w:p>
        </w:tc>
      </w:tr>
      <w:tr w:rsidR="00996AD7" w14:paraId="39D99596" w14:textId="77777777">
        <w:tc>
          <w:tcPr>
            <w:tcW w:w="0" w:type="auto"/>
            <w:gridSpan w:val="3"/>
            <w:shd w:val="clear" w:color="auto" w:fill="auto"/>
            <w:tcMar>
              <w:top w:w="40" w:type="dxa"/>
              <w:left w:w="20" w:type="dxa"/>
              <w:bottom w:w="40" w:type="dxa"/>
              <w:right w:w="20" w:type="dxa"/>
            </w:tcMar>
            <w:vAlign w:val="bottom"/>
          </w:tcPr>
          <w:p w14:paraId="39D99587" w14:textId="77777777" w:rsidR="00996AD7" w:rsidRDefault="00D96458">
            <w:pPr>
              <w:textAlignment w:val="bottom"/>
            </w:pPr>
            <w:r>
              <w:rPr>
                <w:rFonts w:ascii="Arial" w:eastAsia="宋体" w:hAnsi="Arial" w:cs="Arial"/>
                <w:b/>
                <w:bCs/>
                <w:color w:val="262626"/>
                <w:sz w:val="18"/>
                <w:szCs w:val="18"/>
              </w:rPr>
              <w:t>Total change in revenue</w:t>
            </w:r>
          </w:p>
        </w:tc>
        <w:tc>
          <w:tcPr>
            <w:tcW w:w="0" w:type="auto"/>
            <w:gridSpan w:val="3"/>
            <w:shd w:val="clear" w:color="auto" w:fill="auto"/>
            <w:tcMar>
              <w:top w:w="0" w:type="dxa"/>
              <w:left w:w="20" w:type="dxa"/>
              <w:bottom w:w="0" w:type="dxa"/>
              <w:right w:w="20" w:type="dxa"/>
            </w:tcMar>
            <w:vAlign w:val="bottom"/>
          </w:tcPr>
          <w:p w14:paraId="39D99588"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589"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58A"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58B" w14:textId="77777777" w:rsidR="00996AD7" w:rsidRDefault="00996AD7">
            <w:pPr>
              <w:rPr>
                <w:rFonts w:ascii="宋体"/>
              </w:rPr>
            </w:pPr>
          </w:p>
        </w:tc>
        <w:tc>
          <w:tcPr>
            <w:tcW w:w="0" w:type="auto"/>
            <w:tcBorders>
              <w:top w:val="single" w:sz="4" w:space="0" w:color="262626"/>
              <w:bottom w:val="double" w:sz="6" w:space="0" w:color="262626"/>
            </w:tcBorders>
            <w:shd w:val="clear" w:color="auto" w:fill="FFFFFF"/>
            <w:tcMar>
              <w:top w:w="40" w:type="dxa"/>
              <w:left w:w="20" w:type="dxa"/>
              <w:bottom w:w="40" w:type="dxa"/>
              <w:right w:w="0" w:type="dxa"/>
            </w:tcMar>
            <w:vAlign w:val="bottom"/>
          </w:tcPr>
          <w:p w14:paraId="39D9958C"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FFFFFF"/>
            <w:tcMar>
              <w:top w:w="40" w:type="dxa"/>
              <w:left w:w="0" w:type="dxa"/>
              <w:bottom w:w="40" w:type="dxa"/>
              <w:right w:w="0" w:type="dxa"/>
            </w:tcMar>
            <w:vAlign w:val="bottom"/>
          </w:tcPr>
          <w:p w14:paraId="39D9958D" w14:textId="77777777" w:rsidR="00996AD7" w:rsidRDefault="00D96458">
            <w:pPr>
              <w:jc w:val="right"/>
              <w:textAlignment w:val="bottom"/>
            </w:pPr>
            <w:r>
              <w:rPr>
                <w:rFonts w:ascii="Arial" w:eastAsia="宋体" w:hAnsi="Arial" w:cs="Arial"/>
                <w:b/>
                <w:bCs/>
                <w:color w:val="0068B5"/>
                <w:sz w:val="18"/>
                <w:szCs w:val="18"/>
              </w:rPr>
              <w:t>591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FFFFFF"/>
            <w:tcMar>
              <w:top w:w="40" w:type="dxa"/>
              <w:left w:w="0" w:type="dxa"/>
              <w:bottom w:w="40" w:type="dxa"/>
              <w:right w:w="20" w:type="dxa"/>
            </w:tcMar>
            <w:vAlign w:val="bottom"/>
          </w:tcPr>
          <w:p w14:paraId="39D9958E" w14:textId="77777777" w:rsidR="00996AD7" w:rsidRDefault="00996AD7">
            <w:pPr>
              <w:jc w:val="right"/>
              <w:rPr>
                <w:rFonts w:ascii="宋体"/>
              </w:rPr>
            </w:pPr>
          </w:p>
        </w:tc>
        <w:tc>
          <w:tcPr>
            <w:tcW w:w="0" w:type="auto"/>
            <w:gridSpan w:val="3"/>
            <w:shd w:val="clear" w:color="auto" w:fill="FFFFFF"/>
            <w:tcMar>
              <w:top w:w="0" w:type="dxa"/>
              <w:left w:w="20" w:type="dxa"/>
              <w:bottom w:w="0" w:type="dxa"/>
              <w:right w:w="20" w:type="dxa"/>
            </w:tcMar>
            <w:vAlign w:val="bottom"/>
          </w:tcPr>
          <w:p w14:paraId="39D9958F"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590"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591" w14:textId="77777777" w:rsidR="00996AD7" w:rsidRDefault="00996AD7">
            <w:pPr>
              <w:rPr>
                <w:rFonts w:ascii="宋体"/>
              </w:rPr>
            </w:pPr>
          </w:p>
        </w:tc>
        <w:tc>
          <w:tcPr>
            <w:tcW w:w="0" w:type="auto"/>
            <w:gridSpan w:val="3"/>
            <w:shd w:val="clear" w:color="auto" w:fill="FFFFFF"/>
            <w:tcMar>
              <w:top w:w="0" w:type="dxa"/>
              <w:left w:w="20" w:type="dxa"/>
              <w:bottom w:w="0" w:type="dxa"/>
              <w:right w:w="20" w:type="dxa"/>
            </w:tcMar>
            <w:vAlign w:val="bottom"/>
          </w:tcPr>
          <w:p w14:paraId="39D99592" w14:textId="77777777" w:rsidR="00996AD7" w:rsidRDefault="00996AD7">
            <w:pPr>
              <w:rPr>
                <w:rFonts w:ascii="宋体"/>
              </w:rPr>
            </w:pPr>
          </w:p>
        </w:tc>
        <w:tc>
          <w:tcPr>
            <w:tcW w:w="0" w:type="auto"/>
            <w:tcBorders>
              <w:top w:val="single" w:sz="4" w:space="0" w:color="262626"/>
              <w:bottom w:val="double" w:sz="6" w:space="0" w:color="262626"/>
            </w:tcBorders>
            <w:shd w:val="clear" w:color="auto" w:fill="FFFFFF"/>
            <w:tcMar>
              <w:top w:w="40" w:type="dxa"/>
              <w:left w:w="20" w:type="dxa"/>
              <w:bottom w:w="40" w:type="dxa"/>
              <w:right w:w="0" w:type="dxa"/>
            </w:tcMar>
            <w:vAlign w:val="bottom"/>
          </w:tcPr>
          <w:p w14:paraId="39D99593"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FFFFFF"/>
            <w:tcMar>
              <w:top w:w="40" w:type="dxa"/>
              <w:left w:w="0" w:type="dxa"/>
              <w:bottom w:w="40" w:type="dxa"/>
              <w:right w:w="0" w:type="dxa"/>
            </w:tcMar>
            <w:vAlign w:val="bottom"/>
          </w:tcPr>
          <w:p w14:paraId="39D99594" w14:textId="77777777" w:rsidR="00996AD7" w:rsidRDefault="00D96458">
            <w:pPr>
              <w:jc w:val="right"/>
              <w:textAlignment w:val="bottom"/>
            </w:pPr>
            <w:r>
              <w:rPr>
                <w:rFonts w:ascii="Arial" w:eastAsia="宋体" w:hAnsi="Arial" w:cs="Arial"/>
                <w:b/>
                <w:bCs/>
                <w:color w:val="0068B5"/>
                <w:sz w:val="18"/>
                <w:szCs w:val="18"/>
              </w:rPr>
              <w:t>(1,500)</w:t>
            </w:r>
          </w:p>
        </w:tc>
        <w:tc>
          <w:tcPr>
            <w:tcW w:w="0" w:type="auto"/>
            <w:tcBorders>
              <w:top w:val="single" w:sz="4" w:space="0" w:color="262626"/>
              <w:bottom w:val="double" w:sz="6" w:space="0" w:color="262626"/>
            </w:tcBorders>
            <w:shd w:val="clear" w:color="auto" w:fill="FFFFFF"/>
            <w:tcMar>
              <w:top w:w="40" w:type="dxa"/>
              <w:left w:w="0" w:type="dxa"/>
              <w:bottom w:w="40" w:type="dxa"/>
              <w:right w:w="20" w:type="dxa"/>
            </w:tcMar>
            <w:vAlign w:val="bottom"/>
          </w:tcPr>
          <w:p w14:paraId="39D99595" w14:textId="77777777" w:rsidR="00996AD7" w:rsidRDefault="00996AD7">
            <w:pPr>
              <w:jc w:val="right"/>
              <w:rPr>
                <w:rFonts w:ascii="宋体"/>
              </w:rPr>
            </w:pPr>
          </w:p>
        </w:tc>
      </w:tr>
      <w:tr w:rsidR="00996AD7" w14:paraId="39D995A2" w14:textId="77777777">
        <w:trPr>
          <w:hidden/>
        </w:trPr>
        <w:tc>
          <w:tcPr>
            <w:tcW w:w="0" w:type="auto"/>
            <w:gridSpan w:val="3"/>
            <w:shd w:val="clear" w:color="auto" w:fill="auto"/>
            <w:vAlign w:val="bottom"/>
          </w:tcPr>
          <w:p w14:paraId="39D99597" w14:textId="77777777" w:rsidR="00996AD7" w:rsidRDefault="00996AD7">
            <w:pPr>
              <w:rPr>
                <w:rFonts w:ascii="宋体"/>
                <w:vanish/>
              </w:rPr>
            </w:pPr>
          </w:p>
        </w:tc>
        <w:tc>
          <w:tcPr>
            <w:tcW w:w="0" w:type="auto"/>
            <w:gridSpan w:val="3"/>
            <w:shd w:val="clear" w:color="auto" w:fill="auto"/>
            <w:vAlign w:val="bottom"/>
          </w:tcPr>
          <w:p w14:paraId="39D99598" w14:textId="77777777" w:rsidR="00996AD7" w:rsidRDefault="00996AD7">
            <w:pPr>
              <w:rPr>
                <w:rFonts w:ascii="宋体"/>
                <w:vanish/>
              </w:rPr>
            </w:pPr>
          </w:p>
        </w:tc>
        <w:tc>
          <w:tcPr>
            <w:tcW w:w="0" w:type="auto"/>
            <w:gridSpan w:val="3"/>
            <w:shd w:val="clear" w:color="auto" w:fill="auto"/>
            <w:vAlign w:val="bottom"/>
          </w:tcPr>
          <w:p w14:paraId="39D99599" w14:textId="77777777" w:rsidR="00996AD7" w:rsidRDefault="00996AD7">
            <w:pPr>
              <w:rPr>
                <w:rFonts w:ascii="宋体"/>
                <w:vanish/>
              </w:rPr>
            </w:pPr>
          </w:p>
        </w:tc>
        <w:tc>
          <w:tcPr>
            <w:tcW w:w="0" w:type="auto"/>
            <w:gridSpan w:val="3"/>
            <w:shd w:val="clear" w:color="auto" w:fill="auto"/>
            <w:vAlign w:val="bottom"/>
          </w:tcPr>
          <w:p w14:paraId="39D9959A" w14:textId="77777777" w:rsidR="00996AD7" w:rsidRDefault="00996AD7">
            <w:pPr>
              <w:rPr>
                <w:rFonts w:ascii="宋体"/>
                <w:vanish/>
              </w:rPr>
            </w:pPr>
          </w:p>
        </w:tc>
        <w:tc>
          <w:tcPr>
            <w:tcW w:w="0" w:type="auto"/>
            <w:gridSpan w:val="3"/>
            <w:shd w:val="clear" w:color="auto" w:fill="auto"/>
            <w:vAlign w:val="bottom"/>
          </w:tcPr>
          <w:p w14:paraId="39D9959B" w14:textId="77777777" w:rsidR="00996AD7" w:rsidRDefault="00996AD7">
            <w:pPr>
              <w:rPr>
                <w:rFonts w:ascii="宋体"/>
                <w:vanish/>
              </w:rPr>
            </w:pPr>
          </w:p>
        </w:tc>
        <w:tc>
          <w:tcPr>
            <w:tcW w:w="0" w:type="auto"/>
            <w:gridSpan w:val="3"/>
            <w:shd w:val="clear" w:color="auto" w:fill="auto"/>
            <w:vAlign w:val="bottom"/>
          </w:tcPr>
          <w:p w14:paraId="39D9959C" w14:textId="77777777" w:rsidR="00996AD7" w:rsidRDefault="00996AD7">
            <w:pPr>
              <w:rPr>
                <w:rFonts w:ascii="宋体"/>
                <w:vanish/>
              </w:rPr>
            </w:pPr>
          </w:p>
        </w:tc>
        <w:tc>
          <w:tcPr>
            <w:tcW w:w="0" w:type="auto"/>
            <w:gridSpan w:val="3"/>
            <w:shd w:val="clear" w:color="auto" w:fill="auto"/>
            <w:vAlign w:val="bottom"/>
          </w:tcPr>
          <w:p w14:paraId="39D9959D" w14:textId="77777777" w:rsidR="00996AD7" w:rsidRDefault="00996AD7">
            <w:pPr>
              <w:rPr>
                <w:rFonts w:ascii="宋体"/>
                <w:vanish/>
              </w:rPr>
            </w:pPr>
          </w:p>
        </w:tc>
        <w:tc>
          <w:tcPr>
            <w:tcW w:w="0" w:type="auto"/>
            <w:gridSpan w:val="3"/>
            <w:shd w:val="clear" w:color="auto" w:fill="auto"/>
            <w:vAlign w:val="bottom"/>
          </w:tcPr>
          <w:p w14:paraId="39D9959E" w14:textId="77777777" w:rsidR="00996AD7" w:rsidRDefault="00996AD7">
            <w:pPr>
              <w:rPr>
                <w:rFonts w:ascii="宋体"/>
                <w:vanish/>
              </w:rPr>
            </w:pPr>
          </w:p>
        </w:tc>
        <w:tc>
          <w:tcPr>
            <w:tcW w:w="0" w:type="auto"/>
            <w:gridSpan w:val="3"/>
            <w:shd w:val="clear" w:color="auto" w:fill="auto"/>
            <w:vAlign w:val="bottom"/>
          </w:tcPr>
          <w:p w14:paraId="39D9959F" w14:textId="77777777" w:rsidR="00996AD7" w:rsidRDefault="00996AD7">
            <w:pPr>
              <w:rPr>
                <w:rFonts w:ascii="宋体"/>
                <w:vanish/>
              </w:rPr>
            </w:pPr>
          </w:p>
        </w:tc>
        <w:tc>
          <w:tcPr>
            <w:tcW w:w="0" w:type="auto"/>
            <w:gridSpan w:val="3"/>
            <w:shd w:val="clear" w:color="auto" w:fill="auto"/>
            <w:vAlign w:val="bottom"/>
          </w:tcPr>
          <w:p w14:paraId="39D995A0" w14:textId="77777777" w:rsidR="00996AD7" w:rsidRDefault="00996AD7">
            <w:pPr>
              <w:rPr>
                <w:rFonts w:ascii="宋体"/>
                <w:vanish/>
              </w:rPr>
            </w:pPr>
          </w:p>
        </w:tc>
        <w:tc>
          <w:tcPr>
            <w:tcW w:w="0" w:type="auto"/>
            <w:gridSpan w:val="3"/>
            <w:shd w:val="clear" w:color="auto" w:fill="auto"/>
            <w:vAlign w:val="bottom"/>
          </w:tcPr>
          <w:p w14:paraId="39D995A1" w14:textId="77777777" w:rsidR="00996AD7" w:rsidRDefault="00996AD7">
            <w:pPr>
              <w:rPr>
                <w:rFonts w:ascii="宋体"/>
                <w:vanish/>
              </w:rPr>
            </w:pPr>
          </w:p>
        </w:tc>
      </w:tr>
      <w:tr w:rsidR="00996AD7" w14:paraId="39D995AE" w14:textId="77777777">
        <w:trPr>
          <w:hidden/>
        </w:trPr>
        <w:tc>
          <w:tcPr>
            <w:tcW w:w="0" w:type="auto"/>
            <w:gridSpan w:val="3"/>
            <w:shd w:val="clear" w:color="auto" w:fill="auto"/>
            <w:vAlign w:val="bottom"/>
          </w:tcPr>
          <w:p w14:paraId="39D995A3" w14:textId="77777777" w:rsidR="00996AD7" w:rsidRDefault="00996AD7">
            <w:pPr>
              <w:rPr>
                <w:rFonts w:ascii="宋体"/>
                <w:vanish/>
              </w:rPr>
            </w:pPr>
          </w:p>
        </w:tc>
        <w:tc>
          <w:tcPr>
            <w:tcW w:w="0" w:type="auto"/>
            <w:gridSpan w:val="3"/>
            <w:shd w:val="clear" w:color="auto" w:fill="auto"/>
            <w:vAlign w:val="bottom"/>
          </w:tcPr>
          <w:p w14:paraId="39D995A4" w14:textId="77777777" w:rsidR="00996AD7" w:rsidRDefault="00996AD7">
            <w:pPr>
              <w:rPr>
                <w:rFonts w:ascii="宋体"/>
                <w:vanish/>
              </w:rPr>
            </w:pPr>
          </w:p>
        </w:tc>
        <w:tc>
          <w:tcPr>
            <w:tcW w:w="0" w:type="auto"/>
            <w:gridSpan w:val="3"/>
            <w:shd w:val="clear" w:color="auto" w:fill="auto"/>
            <w:vAlign w:val="bottom"/>
          </w:tcPr>
          <w:p w14:paraId="39D995A5" w14:textId="77777777" w:rsidR="00996AD7" w:rsidRDefault="00996AD7">
            <w:pPr>
              <w:rPr>
                <w:rFonts w:ascii="宋体"/>
                <w:vanish/>
              </w:rPr>
            </w:pPr>
          </w:p>
        </w:tc>
        <w:tc>
          <w:tcPr>
            <w:tcW w:w="0" w:type="auto"/>
            <w:gridSpan w:val="3"/>
            <w:shd w:val="clear" w:color="auto" w:fill="auto"/>
            <w:vAlign w:val="bottom"/>
          </w:tcPr>
          <w:p w14:paraId="39D995A6" w14:textId="77777777" w:rsidR="00996AD7" w:rsidRDefault="00996AD7">
            <w:pPr>
              <w:rPr>
                <w:rFonts w:ascii="宋体"/>
                <w:vanish/>
              </w:rPr>
            </w:pPr>
          </w:p>
        </w:tc>
        <w:tc>
          <w:tcPr>
            <w:tcW w:w="0" w:type="auto"/>
            <w:gridSpan w:val="3"/>
            <w:shd w:val="clear" w:color="auto" w:fill="auto"/>
            <w:vAlign w:val="bottom"/>
          </w:tcPr>
          <w:p w14:paraId="39D995A7" w14:textId="77777777" w:rsidR="00996AD7" w:rsidRDefault="00996AD7">
            <w:pPr>
              <w:rPr>
                <w:rFonts w:ascii="宋体"/>
                <w:vanish/>
              </w:rPr>
            </w:pPr>
          </w:p>
        </w:tc>
        <w:tc>
          <w:tcPr>
            <w:tcW w:w="0" w:type="auto"/>
            <w:gridSpan w:val="3"/>
            <w:shd w:val="clear" w:color="auto" w:fill="auto"/>
            <w:vAlign w:val="bottom"/>
          </w:tcPr>
          <w:p w14:paraId="39D995A8" w14:textId="77777777" w:rsidR="00996AD7" w:rsidRDefault="00996AD7">
            <w:pPr>
              <w:rPr>
                <w:rFonts w:ascii="宋体"/>
                <w:vanish/>
              </w:rPr>
            </w:pPr>
          </w:p>
        </w:tc>
        <w:tc>
          <w:tcPr>
            <w:tcW w:w="0" w:type="auto"/>
            <w:gridSpan w:val="3"/>
            <w:shd w:val="clear" w:color="auto" w:fill="auto"/>
            <w:vAlign w:val="bottom"/>
          </w:tcPr>
          <w:p w14:paraId="39D995A9" w14:textId="77777777" w:rsidR="00996AD7" w:rsidRDefault="00996AD7">
            <w:pPr>
              <w:rPr>
                <w:rFonts w:ascii="宋体"/>
                <w:vanish/>
              </w:rPr>
            </w:pPr>
          </w:p>
        </w:tc>
        <w:tc>
          <w:tcPr>
            <w:tcW w:w="0" w:type="auto"/>
            <w:gridSpan w:val="3"/>
            <w:shd w:val="clear" w:color="auto" w:fill="auto"/>
            <w:vAlign w:val="bottom"/>
          </w:tcPr>
          <w:p w14:paraId="39D995AA" w14:textId="77777777" w:rsidR="00996AD7" w:rsidRDefault="00996AD7">
            <w:pPr>
              <w:rPr>
                <w:rFonts w:ascii="宋体"/>
                <w:vanish/>
              </w:rPr>
            </w:pPr>
          </w:p>
        </w:tc>
        <w:tc>
          <w:tcPr>
            <w:tcW w:w="0" w:type="auto"/>
            <w:gridSpan w:val="3"/>
            <w:shd w:val="clear" w:color="auto" w:fill="auto"/>
            <w:vAlign w:val="bottom"/>
          </w:tcPr>
          <w:p w14:paraId="39D995AB" w14:textId="77777777" w:rsidR="00996AD7" w:rsidRDefault="00996AD7">
            <w:pPr>
              <w:rPr>
                <w:rFonts w:ascii="宋体"/>
                <w:vanish/>
              </w:rPr>
            </w:pPr>
          </w:p>
        </w:tc>
        <w:tc>
          <w:tcPr>
            <w:tcW w:w="0" w:type="auto"/>
            <w:gridSpan w:val="3"/>
            <w:shd w:val="clear" w:color="auto" w:fill="auto"/>
            <w:vAlign w:val="bottom"/>
          </w:tcPr>
          <w:p w14:paraId="39D995AC" w14:textId="77777777" w:rsidR="00996AD7" w:rsidRDefault="00996AD7">
            <w:pPr>
              <w:rPr>
                <w:rFonts w:ascii="宋体"/>
                <w:vanish/>
              </w:rPr>
            </w:pPr>
          </w:p>
        </w:tc>
        <w:tc>
          <w:tcPr>
            <w:tcW w:w="0" w:type="auto"/>
            <w:gridSpan w:val="3"/>
            <w:shd w:val="clear" w:color="auto" w:fill="auto"/>
            <w:vAlign w:val="bottom"/>
          </w:tcPr>
          <w:p w14:paraId="39D995AD" w14:textId="77777777" w:rsidR="00996AD7" w:rsidRDefault="00996AD7">
            <w:pPr>
              <w:rPr>
                <w:rFonts w:ascii="宋体"/>
                <w:vanish/>
              </w:rPr>
            </w:pPr>
          </w:p>
        </w:tc>
      </w:tr>
      <w:tr w:rsidR="00996AD7" w14:paraId="39D995BA" w14:textId="77777777">
        <w:trPr>
          <w:hidden/>
        </w:trPr>
        <w:tc>
          <w:tcPr>
            <w:tcW w:w="0" w:type="auto"/>
            <w:gridSpan w:val="3"/>
            <w:shd w:val="clear" w:color="auto" w:fill="auto"/>
            <w:vAlign w:val="bottom"/>
          </w:tcPr>
          <w:p w14:paraId="39D995AF" w14:textId="77777777" w:rsidR="00996AD7" w:rsidRDefault="00996AD7">
            <w:pPr>
              <w:rPr>
                <w:rFonts w:ascii="宋体"/>
                <w:vanish/>
              </w:rPr>
            </w:pPr>
          </w:p>
        </w:tc>
        <w:tc>
          <w:tcPr>
            <w:tcW w:w="0" w:type="auto"/>
            <w:gridSpan w:val="3"/>
            <w:shd w:val="clear" w:color="auto" w:fill="auto"/>
            <w:vAlign w:val="bottom"/>
          </w:tcPr>
          <w:p w14:paraId="39D995B0" w14:textId="77777777" w:rsidR="00996AD7" w:rsidRDefault="00996AD7">
            <w:pPr>
              <w:rPr>
                <w:rFonts w:ascii="宋体"/>
                <w:vanish/>
              </w:rPr>
            </w:pPr>
          </w:p>
        </w:tc>
        <w:tc>
          <w:tcPr>
            <w:tcW w:w="0" w:type="auto"/>
            <w:gridSpan w:val="3"/>
            <w:shd w:val="clear" w:color="auto" w:fill="auto"/>
            <w:vAlign w:val="bottom"/>
          </w:tcPr>
          <w:p w14:paraId="39D995B1" w14:textId="77777777" w:rsidR="00996AD7" w:rsidRDefault="00996AD7">
            <w:pPr>
              <w:rPr>
                <w:rFonts w:ascii="宋体"/>
                <w:vanish/>
              </w:rPr>
            </w:pPr>
          </w:p>
        </w:tc>
        <w:tc>
          <w:tcPr>
            <w:tcW w:w="0" w:type="auto"/>
            <w:gridSpan w:val="3"/>
            <w:shd w:val="clear" w:color="auto" w:fill="auto"/>
            <w:vAlign w:val="bottom"/>
          </w:tcPr>
          <w:p w14:paraId="39D995B2" w14:textId="77777777" w:rsidR="00996AD7" w:rsidRDefault="00996AD7">
            <w:pPr>
              <w:rPr>
                <w:rFonts w:ascii="宋体"/>
                <w:vanish/>
              </w:rPr>
            </w:pPr>
          </w:p>
        </w:tc>
        <w:tc>
          <w:tcPr>
            <w:tcW w:w="0" w:type="auto"/>
            <w:gridSpan w:val="3"/>
            <w:shd w:val="clear" w:color="auto" w:fill="auto"/>
            <w:vAlign w:val="bottom"/>
          </w:tcPr>
          <w:p w14:paraId="39D995B3" w14:textId="77777777" w:rsidR="00996AD7" w:rsidRDefault="00996AD7">
            <w:pPr>
              <w:rPr>
                <w:rFonts w:ascii="宋体"/>
                <w:vanish/>
              </w:rPr>
            </w:pPr>
          </w:p>
        </w:tc>
        <w:tc>
          <w:tcPr>
            <w:tcW w:w="0" w:type="auto"/>
            <w:gridSpan w:val="3"/>
            <w:shd w:val="clear" w:color="auto" w:fill="auto"/>
            <w:vAlign w:val="bottom"/>
          </w:tcPr>
          <w:p w14:paraId="39D995B4" w14:textId="77777777" w:rsidR="00996AD7" w:rsidRDefault="00996AD7">
            <w:pPr>
              <w:rPr>
                <w:rFonts w:ascii="宋体"/>
                <w:vanish/>
              </w:rPr>
            </w:pPr>
          </w:p>
        </w:tc>
        <w:tc>
          <w:tcPr>
            <w:tcW w:w="0" w:type="auto"/>
            <w:gridSpan w:val="3"/>
            <w:shd w:val="clear" w:color="auto" w:fill="auto"/>
            <w:vAlign w:val="bottom"/>
          </w:tcPr>
          <w:p w14:paraId="39D995B5" w14:textId="77777777" w:rsidR="00996AD7" w:rsidRDefault="00996AD7">
            <w:pPr>
              <w:rPr>
                <w:rFonts w:ascii="宋体"/>
                <w:vanish/>
              </w:rPr>
            </w:pPr>
          </w:p>
        </w:tc>
        <w:tc>
          <w:tcPr>
            <w:tcW w:w="0" w:type="auto"/>
            <w:gridSpan w:val="3"/>
            <w:shd w:val="clear" w:color="auto" w:fill="auto"/>
            <w:vAlign w:val="bottom"/>
          </w:tcPr>
          <w:p w14:paraId="39D995B6" w14:textId="77777777" w:rsidR="00996AD7" w:rsidRDefault="00996AD7">
            <w:pPr>
              <w:rPr>
                <w:rFonts w:ascii="宋体"/>
                <w:vanish/>
              </w:rPr>
            </w:pPr>
          </w:p>
        </w:tc>
        <w:tc>
          <w:tcPr>
            <w:tcW w:w="0" w:type="auto"/>
            <w:gridSpan w:val="3"/>
            <w:shd w:val="clear" w:color="auto" w:fill="auto"/>
            <w:vAlign w:val="bottom"/>
          </w:tcPr>
          <w:p w14:paraId="39D995B7" w14:textId="77777777" w:rsidR="00996AD7" w:rsidRDefault="00996AD7">
            <w:pPr>
              <w:rPr>
                <w:rFonts w:ascii="宋体"/>
                <w:vanish/>
              </w:rPr>
            </w:pPr>
          </w:p>
        </w:tc>
        <w:tc>
          <w:tcPr>
            <w:tcW w:w="0" w:type="auto"/>
            <w:gridSpan w:val="3"/>
            <w:shd w:val="clear" w:color="auto" w:fill="auto"/>
            <w:vAlign w:val="bottom"/>
          </w:tcPr>
          <w:p w14:paraId="39D995B8" w14:textId="77777777" w:rsidR="00996AD7" w:rsidRDefault="00996AD7">
            <w:pPr>
              <w:rPr>
                <w:rFonts w:ascii="宋体"/>
                <w:vanish/>
              </w:rPr>
            </w:pPr>
          </w:p>
        </w:tc>
        <w:tc>
          <w:tcPr>
            <w:tcW w:w="0" w:type="auto"/>
            <w:gridSpan w:val="3"/>
            <w:shd w:val="clear" w:color="auto" w:fill="auto"/>
            <w:vAlign w:val="bottom"/>
          </w:tcPr>
          <w:p w14:paraId="39D995B9" w14:textId="77777777" w:rsidR="00996AD7" w:rsidRDefault="00996AD7">
            <w:pPr>
              <w:rPr>
                <w:rFonts w:ascii="宋体"/>
                <w:vanish/>
              </w:rPr>
            </w:pPr>
          </w:p>
        </w:tc>
      </w:tr>
      <w:tr w:rsidR="00996AD7" w14:paraId="39D995C6" w14:textId="77777777">
        <w:trPr>
          <w:hidden/>
        </w:trPr>
        <w:tc>
          <w:tcPr>
            <w:tcW w:w="0" w:type="auto"/>
            <w:gridSpan w:val="3"/>
            <w:shd w:val="clear" w:color="auto" w:fill="auto"/>
            <w:vAlign w:val="bottom"/>
          </w:tcPr>
          <w:p w14:paraId="39D995BB" w14:textId="77777777" w:rsidR="00996AD7" w:rsidRDefault="00996AD7">
            <w:pPr>
              <w:rPr>
                <w:rFonts w:ascii="宋体"/>
                <w:vanish/>
              </w:rPr>
            </w:pPr>
          </w:p>
        </w:tc>
        <w:tc>
          <w:tcPr>
            <w:tcW w:w="0" w:type="auto"/>
            <w:gridSpan w:val="3"/>
            <w:shd w:val="clear" w:color="auto" w:fill="auto"/>
            <w:vAlign w:val="bottom"/>
          </w:tcPr>
          <w:p w14:paraId="39D995BC" w14:textId="77777777" w:rsidR="00996AD7" w:rsidRDefault="00996AD7">
            <w:pPr>
              <w:rPr>
                <w:rFonts w:ascii="宋体"/>
                <w:vanish/>
              </w:rPr>
            </w:pPr>
          </w:p>
        </w:tc>
        <w:tc>
          <w:tcPr>
            <w:tcW w:w="0" w:type="auto"/>
            <w:gridSpan w:val="3"/>
            <w:shd w:val="clear" w:color="auto" w:fill="auto"/>
            <w:vAlign w:val="bottom"/>
          </w:tcPr>
          <w:p w14:paraId="39D995BD" w14:textId="77777777" w:rsidR="00996AD7" w:rsidRDefault="00996AD7">
            <w:pPr>
              <w:rPr>
                <w:rFonts w:ascii="宋体"/>
                <w:vanish/>
              </w:rPr>
            </w:pPr>
          </w:p>
        </w:tc>
        <w:tc>
          <w:tcPr>
            <w:tcW w:w="0" w:type="auto"/>
            <w:gridSpan w:val="3"/>
            <w:shd w:val="clear" w:color="auto" w:fill="auto"/>
            <w:vAlign w:val="bottom"/>
          </w:tcPr>
          <w:p w14:paraId="39D995BE" w14:textId="77777777" w:rsidR="00996AD7" w:rsidRDefault="00996AD7">
            <w:pPr>
              <w:rPr>
                <w:rFonts w:ascii="宋体"/>
                <w:vanish/>
              </w:rPr>
            </w:pPr>
          </w:p>
        </w:tc>
        <w:tc>
          <w:tcPr>
            <w:tcW w:w="0" w:type="auto"/>
            <w:gridSpan w:val="3"/>
            <w:shd w:val="clear" w:color="auto" w:fill="auto"/>
            <w:vAlign w:val="bottom"/>
          </w:tcPr>
          <w:p w14:paraId="39D995BF" w14:textId="77777777" w:rsidR="00996AD7" w:rsidRDefault="00996AD7">
            <w:pPr>
              <w:rPr>
                <w:rFonts w:ascii="宋体"/>
                <w:vanish/>
              </w:rPr>
            </w:pPr>
          </w:p>
        </w:tc>
        <w:tc>
          <w:tcPr>
            <w:tcW w:w="0" w:type="auto"/>
            <w:gridSpan w:val="3"/>
            <w:shd w:val="clear" w:color="auto" w:fill="auto"/>
            <w:vAlign w:val="bottom"/>
          </w:tcPr>
          <w:p w14:paraId="39D995C0" w14:textId="77777777" w:rsidR="00996AD7" w:rsidRDefault="00996AD7">
            <w:pPr>
              <w:rPr>
                <w:rFonts w:ascii="宋体"/>
                <w:vanish/>
              </w:rPr>
            </w:pPr>
          </w:p>
        </w:tc>
        <w:tc>
          <w:tcPr>
            <w:tcW w:w="0" w:type="auto"/>
            <w:gridSpan w:val="3"/>
            <w:shd w:val="clear" w:color="auto" w:fill="auto"/>
            <w:vAlign w:val="bottom"/>
          </w:tcPr>
          <w:p w14:paraId="39D995C1" w14:textId="77777777" w:rsidR="00996AD7" w:rsidRDefault="00996AD7">
            <w:pPr>
              <w:rPr>
                <w:rFonts w:ascii="宋体"/>
                <w:vanish/>
              </w:rPr>
            </w:pPr>
          </w:p>
        </w:tc>
        <w:tc>
          <w:tcPr>
            <w:tcW w:w="0" w:type="auto"/>
            <w:gridSpan w:val="3"/>
            <w:shd w:val="clear" w:color="auto" w:fill="auto"/>
            <w:vAlign w:val="bottom"/>
          </w:tcPr>
          <w:p w14:paraId="39D995C2" w14:textId="77777777" w:rsidR="00996AD7" w:rsidRDefault="00996AD7">
            <w:pPr>
              <w:rPr>
                <w:rFonts w:ascii="宋体"/>
                <w:vanish/>
              </w:rPr>
            </w:pPr>
          </w:p>
        </w:tc>
        <w:tc>
          <w:tcPr>
            <w:tcW w:w="0" w:type="auto"/>
            <w:gridSpan w:val="3"/>
            <w:shd w:val="clear" w:color="auto" w:fill="auto"/>
            <w:vAlign w:val="bottom"/>
          </w:tcPr>
          <w:p w14:paraId="39D995C3" w14:textId="77777777" w:rsidR="00996AD7" w:rsidRDefault="00996AD7">
            <w:pPr>
              <w:rPr>
                <w:rFonts w:ascii="宋体"/>
                <w:vanish/>
              </w:rPr>
            </w:pPr>
          </w:p>
        </w:tc>
        <w:tc>
          <w:tcPr>
            <w:tcW w:w="0" w:type="auto"/>
            <w:gridSpan w:val="3"/>
            <w:shd w:val="clear" w:color="auto" w:fill="auto"/>
            <w:vAlign w:val="bottom"/>
          </w:tcPr>
          <w:p w14:paraId="39D995C4" w14:textId="77777777" w:rsidR="00996AD7" w:rsidRDefault="00996AD7">
            <w:pPr>
              <w:rPr>
                <w:rFonts w:ascii="宋体"/>
                <w:vanish/>
              </w:rPr>
            </w:pPr>
          </w:p>
        </w:tc>
        <w:tc>
          <w:tcPr>
            <w:tcW w:w="0" w:type="auto"/>
            <w:gridSpan w:val="3"/>
            <w:shd w:val="clear" w:color="auto" w:fill="auto"/>
            <w:vAlign w:val="bottom"/>
          </w:tcPr>
          <w:p w14:paraId="39D995C5" w14:textId="77777777" w:rsidR="00996AD7" w:rsidRDefault="00996AD7">
            <w:pPr>
              <w:rPr>
                <w:rFonts w:ascii="宋体"/>
                <w:vanish/>
              </w:rPr>
            </w:pPr>
          </w:p>
        </w:tc>
      </w:tr>
      <w:tr w:rsidR="00996AD7" w14:paraId="39D995D2" w14:textId="77777777">
        <w:trPr>
          <w:hidden/>
        </w:trPr>
        <w:tc>
          <w:tcPr>
            <w:tcW w:w="0" w:type="auto"/>
            <w:gridSpan w:val="3"/>
            <w:shd w:val="clear" w:color="auto" w:fill="auto"/>
            <w:vAlign w:val="bottom"/>
          </w:tcPr>
          <w:p w14:paraId="39D995C7" w14:textId="77777777" w:rsidR="00996AD7" w:rsidRDefault="00996AD7">
            <w:pPr>
              <w:rPr>
                <w:rFonts w:ascii="宋体"/>
                <w:vanish/>
              </w:rPr>
            </w:pPr>
          </w:p>
        </w:tc>
        <w:tc>
          <w:tcPr>
            <w:tcW w:w="0" w:type="auto"/>
            <w:gridSpan w:val="3"/>
            <w:shd w:val="clear" w:color="auto" w:fill="auto"/>
            <w:vAlign w:val="bottom"/>
          </w:tcPr>
          <w:p w14:paraId="39D995C8" w14:textId="77777777" w:rsidR="00996AD7" w:rsidRDefault="00996AD7">
            <w:pPr>
              <w:rPr>
                <w:rFonts w:ascii="宋体"/>
                <w:vanish/>
              </w:rPr>
            </w:pPr>
          </w:p>
        </w:tc>
        <w:tc>
          <w:tcPr>
            <w:tcW w:w="0" w:type="auto"/>
            <w:gridSpan w:val="3"/>
            <w:shd w:val="clear" w:color="auto" w:fill="auto"/>
            <w:vAlign w:val="bottom"/>
          </w:tcPr>
          <w:p w14:paraId="39D995C9" w14:textId="77777777" w:rsidR="00996AD7" w:rsidRDefault="00996AD7">
            <w:pPr>
              <w:rPr>
                <w:rFonts w:ascii="宋体"/>
                <w:vanish/>
              </w:rPr>
            </w:pPr>
          </w:p>
        </w:tc>
        <w:tc>
          <w:tcPr>
            <w:tcW w:w="0" w:type="auto"/>
            <w:gridSpan w:val="3"/>
            <w:shd w:val="clear" w:color="auto" w:fill="auto"/>
            <w:vAlign w:val="bottom"/>
          </w:tcPr>
          <w:p w14:paraId="39D995CA" w14:textId="77777777" w:rsidR="00996AD7" w:rsidRDefault="00996AD7">
            <w:pPr>
              <w:rPr>
                <w:rFonts w:ascii="宋体"/>
                <w:vanish/>
              </w:rPr>
            </w:pPr>
          </w:p>
        </w:tc>
        <w:tc>
          <w:tcPr>
            <w:tcW w:w="0" w:type="auto"/>
            <w:gridSpan w:val="3"/>
            <w:shd w:val="clear" w:color="auto" w:fill="auto"/>
            <w:vAlign w:val="bottom"/>
          </w:tcPr>
          <w:p w14:paraId="39D995CB" w14:textId="77777777" w:rsidR="00996AD7" w:rsidRDefault="00996AD7">
            <w:pPr>
              <w:rPr>
                <w:rFonts w:ascii="宋体"/>
                <w:vanish/>
              </w:rPr>
            </w:pPr>
          </w:p>
        </w:tc>
        <w:tc>
          <w:tcPr>
            <w:tcW w:w="0" w:type="auto"/>
            <w:gridSpan w:val="3"/>
            <w:shd w:val="clear" w:color="auto" w:fill="auto"/>
            <w:vAlign w:val="bottom"/>
          </w:tcPr>
          <w:p w14:paraId="39D995CC" w14:textId="77777777" w:rsidR="00996AD7" w:rsidRDefault="00996AD7">
            <w:pPr>
              <w:rPr>
                <w:rFonts w:ascii="宋体"/>
                <w:vanish/>
              </w:rPr>
            </w:pPr>
          </w:p>
        </w:tc>
        <w:tc>
          <w:tcPr>
            <w:tcW w:w="0" w:type="auto"/>
            <w:gridSpan w:val="3"/>
            <w:shd w:val="clear" w:color="auto" w:fill="auto"/>
            <w:vAlign w:val="bottom"/>
          </w:tcPr>
          <w:p w14:paraId="39D995CD" w14:textId="77777777" w:rsidR="00996AD7" w:rsidRDefault="00996AD7">
            <w:pPr>
              <w:rPr>
                <w:rFonts w:ascii="宋体"/>
                <w:vanish/>
              </w:rPr>
            </w:pPr>
          </w:p>
        </w:tc>
        <w:tc>
          <w:tcPr>
            <w:tcW w:w="0" w:type="auto"/>
            <w:gridSpan w:val="3"/>
            <w:shd w:val="clear" w:color="auto" w:fill="auto"/>
            <w:vAlign w:val="bottom"/>
          </w:tcPr>
          <w:p w14:paraId="39D995CE" w14:textId="77777777" w:rsidR="00996AD7" w:rsidRDefault="00996AD7">
            <w:pPr>
              <w:rPr>
                <w:rFonts w:ascii="宋体"/>
                <w:vanish/>
              </w:rPr>
            </w:pPr>
          </w:p>
        </w:tc>
        <w:tc>
          <w:tcPr>
            <w:tcW w:w="0" w:type="auto"/>
            <w:gridSpan w:val="3"/>
            <w:shd w:val="clear" w:color="auto" w:fill="auto"/>
            <w:vAlign w:val="bottom"/>
          </w:tcPr>
          <w:p w14:paraId="39D995CF" w14:textId="77777777" w:rsidR="00996AD7" w:rsidRDefault="00996AD7">
            <w:pPr>
              <w:rPr>
                <w:rFonts w:ascii="宋体"/>
                <w:vanish/>
              </w:rPr>
            </w:pPr>
          </w:p>
        </w:tc>
        <w:tc>
          <w:tcPr>
            <w:tcW w:w="0" w:type="auto"/>
            <w:gridSpan w:val="3"/>
            <w:shd w:val="clear" w:color="auto" w:fill="auto"/>
            <w:vAlign w:val="bottom"/>
          </w:tcPr>
          <w:p w14:paraId="39D995D0" w14:textId="77777777" w:rsidR="00996AD7" w:rsidRDefault="00996AD7">
            <w:pPr>
              <w:rPr>
                <w:rFonts w:ascii="宋体"/>
                <w:vanish/>
              </w:rPr>
            </w:pPr>
          </w:p>
        </w:tc>
        <w:tc>
          <w:tcPr>
            <w:tcW w:w="0" w:type="auto"/>
            <w:gridSpan w:val="3"/>
            <w:shd w:val="clear" w:color="auto" w:fill="auto"/>
            <w:vAlign w:val="bottom"/>
          </w:tcPr>
          <w:p w14:paraId="39D995D1" w14:textId="77777777" w:rsidR="00996AD7" w:rsidRDefault="00996AD7">
            <w:pPr>
              <w:rPr>
                <w:rFonts w:ascii="宋体"/>
                <w:vanish/>
              </w:rPr>
            </w:pPr>
          </w:p>
        </w:tc>
      </w:tr>
      <w:tr w:rsidR="00996AD7" w14:paraId="39D995EE" w14:textId="77777777">
        <w:trPr>
          <w:hidden/>
        </w:trPr>
        <w:tc>
          <w:tcPr>
            <w:tcW w:w="0" w:type="auto"/>
            <w:gridSpan w:val="3"/>
            <w:shd w:val="clear" w:color="auto" w:fill="auto"/>
            <w:vAlign w:val="bottom"/>
          </w:tcPr>
          <w:p w14:paraId="39D995D3" w14:textId="77777777" w:rsidR="00996AD7" w:rsidRDefault="00996AD7">
            <w:pPr>
              <w:rPr>
                <w:rFonts w:ascii="宋体"/>
                <w:vanish/>
              </w:rPr>
            </w:pPr>
          </w:p>
        </w:tc>
        <w:tc>
          <w:tcPr>
            <w:tcW w:w="0" w:type="auto"/>
            <w:gridSpan w:val="3"/>
            <w:shd w:val="clear" w:color="auto" w:fill="auto"/>
            <w:vAlign w:val="bottom"/>
          </w:tcPr>
          <w:p w14:paraId="39D995D4" w14:textId="77777777" w:rsidR="00996AD7" w:rsidRDefault="00996AD7">
            <w:pPr>
              <w:rPr>
                <w:rFonts w:ascii="宋体"/>
                <w:vanish/>
              </w:rPr>
            </w:pPr>
          </w:p>
        </w:tc>
        <w:tc>
          <w:tcPr>
            <w:tcW w:w="0" w:type="auto"/>
            <w:gridSpan w:val="3"/>
            <w:shd w:val="clear" w:color="auto" w:fill="auto"/>
            <w:vAlign w:val="bottom"/>
          </w:tcPr>
          <w:p w14:paraId="39D995D5" w14:textId="77777777" w:rsidR="00996AD7" w:rsidRDefault="00996AD7">
            <w:pPr>
              <w:rPr>
                <w:rFonts w:ascii="宋体"/>
                <w:vanish/>
              </w:rPr>
            </w:pPr>
          </w:p>
        </w:tc>
        <w:tc>
          <w:tcPr>
            <w:tcW w:w="0" w:type="auto"/>
            <w:shd w:val="clear" w:color="auto" w:fill="auto"/>
            <w:vAlign w:val="bottom"/>
          </w:tcPr>
          <w:p w14:paraId="39D995D6" w14:textId="77777777" w:rsidR="00996AD7" w:rsidRDefault="00996AD7">
            <w:pPr>
              <w:rPr>
                <w:rFonts w:ascii="宋体"/>
              </w:rPr>
            </w:pPr>
          </w:p>
        </w:tc>
        <w:tc>
          <w:tcPr>
            <w:tcW w:w="0" w:type="auto"/>
            <w:shd w:val="clear" w:color="auto" w:fill="auto"/>
            <w:vAlign w:val="bottom"/>
          </w:tcPr>
          <w:p w14:paraId="39D995D7" w14:textId="77777777" w:rsidR="00996AD7" w:rsidRDefault="00996AD7">
            <w:pPr>
              <w:rPr>
                <w:rFonts w:ascii="宋体"/>
              </w:rPr>
            </w:pPr>
          </w:p>
        </w:tc>
        <w:tc>
          <w:tcPr>
            <w:tcW w:w="0" w:type="auto"/>
            <w:shd w:val="clear" w:color="auto" w:fill="auto"/>
            <w:vAlign w:val="bottom"/>
          </w:tcPr>
          <w:p w14:paraId="39D995D8" w14:textId="77777777" w:rsidR="00996AD7" w:rsidRDefault="00996AD7">
            <w:pPr>
              <w:rPr>
                <w:rFonts w:ascii="宋体"/>
              </w:rPr>
            </w:pPr>
          </w:p>
        </w:tc>
        <w:tc>
          <w:tcPr>
            <w:tcW w:w="0" w:type="auto"/>
            <w:shd w:val="clear" w:color="auto" w:fill="auto"/>
            <w:vAlign w:val="bottom"/>
          </w:tcPr>
          <w:p w14:paraId="39D995D9" w14:textId="77777777" w:rsidR="00996AD7" w:rsidRDefault="00996AD7">
            <w:pPr>
              <w:rPr>
                <w:rFonts w:ascii="宋体"/>
              </w:rPr>
            </w:pPr>
          </w:p>
        </w:tc>
        <w:tc>
          <w:tcPr>
            <w:tcW w:w="0" w:type="auto"/>
            <w:shd w:val="clear" w:color="auto" w:fill="auto"/>
            <w:vAlign w:val="bottom"/>
          </w:tcPr>
          <w:p w14:paraId="39D995DA" w14:textId="77777777" w:rsidR="00996AD7" w:rsidRDefault="00996AD7">
            <w:pPr>
              <w:rPr>
                <w:rFonts w:ascii="宋体"/>
              </w:rPr>
            </w:pPr>
          </w:p>
        </w:tc>
        <w:tc>
          <w:tcPr>
            <w:tcW w:w="0" w:type="auto"/>
            <w:shd w:val="clear" w:color="auto" w:fill="auto"/>
            <w:vAlign w:val="bottom"/>
          </w:tcPr>
          <w:p w14:paraId="39D995DB" w14:textId="77777777" w:rsidR="00996AD7" w:rsidRDefault="00996AD7">
            <w:pPr>
              <w:rPr>
                <w:rFonts w:ascii="宋体"/>
              </w:rPr>
            </w:pPr>
          </w:p>
        </w:tc>
        <w:tc>
          <w:tcPr>
            <w:tcW w:w="0" w:type="auto"/>
            <w:shd w:val="clear" w:color="auto" w:fill="auto"/>
            <w:vAlign w:val="bottom"/>
          </w:tcPr>
          <w:p w14:paraId="39D995DC" w14:textId="77777777" w:rsidR="00996AD7" w:rsidRDefault="00996AD7">
            <w:pPr>
              <w:rPr>
                <w:rFonts w:ascii="宋体"/>
              </w:rPr>
            </w:pPr>
          </w:p>
        </w:tc>
        <w:tc>
          <w:tcPr>
            <w:tcW w:w="0" w:type="auto"/>
            <w:shd w:val="clear" w:color="auto" w:fill="auto"/>
            <w:vAlign w:val="bottom"/>
          </w:tcPr>
          <w:p w14:paraId="39D995DD" w14:textId="77777777" w:rsidR="00996AD7" w:rsidRDefault="00996AD7">
            <w:pPr>
              <w:rPr>
                <w:rFonts w:ascii="宋体"/>
              </w:rPr>
            </w:pPr>
          </w:p>
        </w:tc>
        <w:tc>
          <w:tcPr>
            <w:tcW w:w="0" w:type="auto"/>
            <w:shd w:val="clear" w:color="auto" w:fill="auto"/>
            <w:vAlign w:val="bottom"/>
          </w:tcPr>
          <w:p w14:paraId="39D995DE" w14:textId="77777777" w:rsidR="00996AD7" w:rsidRDefault="00996AD7">
            <w:pPr>
              <w:rPr>
                <w:rFonts w:ascii="宋体"/>
              </w:rPr>
            </w:pPr>
          </w:p>
        </w:tc>
        <w:tc>
          <w:tcPr>
            <w:tcW w:w="0" w:type="auto"/>
            <w:shd w:val="clear" w:color="auto" w:fill="auto"/>
            <w:vAlign w:val="bottom"/>
          </w:tcPr>
          <w:p w14:paraId="39D995DF" w14:textId="77777777" w:rsidR="00996AD7" w:rsidRDefault="00996AD7">
            <w:pPr>
              <w:rPr>
                <w:rFonts w:ascii="宋体"/>
              </w:rPr>
            </w:pPr>
          </w:p>
        </w:tc>
        <w:tc>
          <w:tcPr>
            <w:tcW w:w="0" w:type="auto"/>
            <w:shd w:val="clear" w:color="auto" w:fill="auto"/>
            <w:vAlign w:val="bottom"/>
          </w:tcPr>
          <w:p w14:paraId="39D995E0" w14:textId="77777777" w:rsidR="00996AD7" w:rsidRDefault="00996AD7">
            <w:pPr>
              <w:rPr>
                <w:rFonts w:ascii="宋体"/>
              </w:rPr>
            </w:pPr>
          </w:p>
        </w:tc>
        <w:tc>
          <w:tcPr>
            <w:tcW w:w="0" w:type="auto"/>
            <w:shd w:val="clear" w:color="auto" w:fill="auto"/>
            <w:vAlign w:val="bottom"/>
          </w:tcPr>
          <w:p w14:paraId="39D995E1" w14:textId="77777777" w:rsidR="00996AD7" w:rsidRDefault="00996AD7">
            <w:pPr>
              <w:rPr>
                <w:rFonts w:ascii="宋体"/>
              </w:rPr>
            </w:pPr>
          </w:p>
        </w:tc>
        <w:tc>
          <w:tcPr>
            <w:tcW w:w="0" w:type="auto"/>
            <w:shd w:val="clear" w:color="auto" w:fill="auto"/>
            <w:vAlign w:val="bottom"/>
          </w:tcPr>
          <w:p w14:paraId="39D995E2" w14:textId="77777777" w:rsidR="00996AD7" w:rsidRDefault="00996AD7">
            <w:pPr>
              <w:rPr>
                <w:rFonts w:ascii="宋体"/>
              </w:rPr>
            </w:pPr>
          </w:p>
        </w:tc>
        <w:tc>
          <w:tcPr>
            <w:tcW w:w="0" w:type="auto"/>
            <w:shd w:val="clear" w:color="auto" w:fill="auto"/>
            <w:vAlign w:val="bottom"/>
          </w:tcPr>
          <w:p w14:paraId="39D995E3" w14:textId="77777777" w:rsidR="00996AD7" w:rsidRDefault="00996AD7">
            <w:pPr>
              <w:rPr>
                <w:rFonts w:ascii="宋体"/>
              </w:rPr>
            </w:pPr>
          </w:p>
        </w:tc>
        <w:tc>
          <w:tcPr>
            <w:tcW w:w="0" w:type="auto"/>
            <w:shd w:val="clear" w:color="auto" w:fill="auto"/>
            <w:vAlign w:val="bottom"/>
          </w:tcPr>
          <w:p w14:paraId="39D995E4" w14:textId="77777777" w:rsidR="00996AD7" w:rsidRDefault="00996AD7">
            <w:pPr>
              <w:rPr>
                <w:rFonts w:ascii="宋体"/>
              </w:rPr>
            </w:pPr>
          </w:p>
        </w:tc>
        <w:tc>
          <w:tcPr>
            <w:tcW w:w="0" w:type="auto"/>
            <w:shd w:val="clear" w:color="auto" w:fill="auto"/>
            <w:vAlign w:val="bottom"/>
          </w:tcPr>
          <w:p w14:paraId="39D995E5" w14:textId="77777777" w:rsidR="00996AD7" w:rsidRDefault="00996AD7">
            <w:pPr>
              <w:rPr>
                <w:rFonts w:ascii="宋体"/>
              </w:rPr>
            </w:pPr>
          </w:p>
        </w:tc>
        <w:tc>
          <w:tcPr>
            <w:tcW w:w="0" w:type="auto"/>
            <w:shd w:val="clear" w:color="auto" w:fill="auto"/>
            <w:vAlign w:val="bottom"/>
          </w:tcPr>
          <w:p w14:paraId="39D995E6" w14:textId="77777777" w:rsidR="00996AD7" w:rsidRDefault="00996AD7">
            <w:pPr>
              <w:rPr>
                <w:rFonts w:ascii="宋体"/>
              </w:rPr>
            </w:pPr>
          </w:p>
        </w:tc>
        <w:tc>
          <w:tcPr>
            <w:tcW w:w="0" w:type="auto"/>
            <w:shd w:val="clear" w:color="auto" w:fill="auto"/>
            <w:vAlign w:val="bottom"/>
          </w:tcPr>
          <w:p w14:paraId="39D995E7" w14:textId="77777777" w:rsidR="00996AD7" w:rsidRDefault="00996AD7">
            <w:pPr>
              <w:rPr>
                <w:rFonts w:ascii="宋体"/>
              </w:rPr>
            </w:pPr>
          </w:p>
        </w:tc>
        <w:tc>
          <w:tcPr>
            <w:tcW w:w="0" w:type="auto"/>
            <w:shd w:val="clear" w:color="auto" w:fill="auto"/>
            <w:vAlign w:val="bottom"/>
          </w:tcPr>
          <w:p w14:paraId="39D995E8" w14:textId="77777777" w:rsidR="00996AD7" w:rsidRDefault="00996AD7">
            <w:pPr>
              <w:rPr>
                <w:rFonts w:ascii="宋体"/>
              </w:rPr>
            </w:pPr>
          </w:p>
        </w:tc>
        <w:tc>
          <w:tcPr>
            <w:tcW w:w="0" w:type="auto"/>
            <w:shd w:val="clear" w:color="auto" w:fill="auto"/>
            <w:vAlign w:val="bottom"/>
          </w:tcPr>
          <w:p w14:paraId="39D995E9" w14:textId="77777777" w:rsidR="00996AD7" w:rsidRDefault="00996AD7">
            <w:pPr>
              <w:rPr>
                <w:rFonts w:ascii="宋体"/>
              </w:rPr>
            </w:pPr>
          </w:p>
        </w:tc>
        <w:tc>
          <w:tcPr>
            <w:tcW w:w="0" w:type="auto"/>
            <w:shd w:val="clear" w:color="auto" w:fill="auto"/>
            <w:vAlign w:val="bottom"/>
          </w:tcPr>
          <w:p w14:paraId="39D995EA" w14:textId="77777777" w:rsidR="00996AD7" w:rsidRDefault="00996AD7">
            <w:pPr>
              <w:rPr>
                <w:rFonts w:ascii="宋体"/>
              </w:rPr>
            </w:pPr>
          </w:p>
        </w:tc>
        <w:tc>
          <w:tcPr>
            <w:tcW w:w="0" w:type="auto"/>
            <w:shd w:val="clear" w:color="auto" w:fill="auto"/>
            <w:vAlign w:val="bottom"/>
          </w:tcPr>
          <w:p w14:paraId="39D995EB" w14:textId="77777777" w:rsidR="00996AD7" w:rsidRDefault="00996AD7">
            <w:pPr>
              <w:rPr>
                <w:rFonts w:ascii="宋体"/>
              </w:rPr>
            </w:pPr>
          </w:p>
        </w:tc>
        <w:tc>
          <w:tcPr>
            <w:tcW w:w="0" w:type="auto"/>
            <w:shd w:val="clear" w:color="auto" w:fill="auto"/>
            <w:vAlign w:val="bottom"/>
          </w:tcPr>
          <w:p w14:paraId="39D995EC" w14:textId="77777777" w:rsidR="00996AD7" w:rsidRDefault="00996AD7">
            <w:pPr>
              <w:rPr>
                <w:rFonts w:ascii="宋体"/>
              </w:rPr>
            </w:pPr>
          </w:p>
        </w:tc>
        <w:tc>
          <w:tcPr>
            <w:tcW w:w="0" w:type="auto"/>
            <w:shd w:val="clear" w:color="auto" w:fill="auto"/>
            <w:vAlign w:val="bottom"/>
          </w:tcPr>
          <w:p w14:paraId="39D995ED" w14:textId="77777777" w:rsidR="00996AD7" w:rsidRDefault="00996AD7">
            <w:pPr>
              <w:rPr>
                <w:rFonts w:ascii="宋体"/>
              </w:rPr>
            </w:pPr>
          </w:p>
        </w:tc>
      </w:tr>
    </w:tbl>
    <w:p w14:paraId="39D995EF"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996AD7" w14:paraId="39D995F9" w14:textId="77777777">
        <w:tc>
          <w:tcPr>
            <w:tcW w:w="50" w:type="pct"/>
            <w:shd w:val="clear" w:color="auto" w:fill="auto"/>
            <w:vAlign w:val="bottom"/>
          </w:tcPr>
          <w:p w14:paraId="39D995F0" w14:textId="77777777" w:rsidR="00996AD7" w:rsidRDefault="00996AD7">
            <w:pPr>
              <w:rPr>
                <w:rFonts w:ascii="宋体"/>
              </w:rPr>
            </w:pPr>
          </w:p>
        </w:tc>
        <w:tc>
          <w:tcPr>
            <w:tcW w:w="220" w:type="pct"/>
            <w:shd w:val="clear" w:color="auto" w:fill="auto"/>
            <w:vAlign w:val="bottom"/>
          </w:tcPr>
          <w:p w14:paraId="39D995F1" w14:textId="77777777" w:rsidR="00996AD7" w:rsidRDefault="00996AD7">
            <w:pPr>
              <w:rPr>
                <w:rFonts w:ascii="宋体"/>
              </w:rPr>
            </w:pPr>
          </w:p>
        </w:tc>
        <w:tc>
          <w:tcPr>
            <w:tcW w:w="5" w:type="pct"/>
            <w:shd w:val="clear" w:color="auto" w:fill="auto"/>
            <w:vAlign w:val="bottom"/>
          </w:tcPr>
          <w:p w14:paraId="39D995F2" w14:textId="77777777" w:rsidR="00996AD7" w:rsidRDefault="00996AD7">
            <w:pPr>
              <w:rPr>
                <w:rFonts w:ascii="宋体"/>
              </w:rPr>
            </w:pPr>
          </w:p>
        </w:tc>
        <w:tc>
          <w:tcPr>
            <w:tcW w:w="50" w:type="pct"/>
            <w:shd w:val="clear" w:color="auto" w:fill="auto"/>
            <w:vAlign w:val="bottom"/>
          </w:tcPr>
          <w:p w14:paraId="39D995F3" w14:textId="77777777" w:rsidR="00996AD7" w:rsidRDefault="00996AD7">
            <w:pPr>
              <w:rPr>
                <w:rFonts w:ascii="宋体"/>
              </w:rPr>
            </w:pPr>
          </w:p>
        </w:tc>
        <w:tc>
          <w:tcPr>
            <w:tcW w:w="2572" w:type="pct"/>
            <w:shd w:val="clear" w:color="auto" w:fill="auto"/>
            <w:vAlign w:val="bottom"/>
          </w:tcPr>
          <w:p w14:paraId="39D995F4" w14:textId="77777777" w:rsidR="00996AD7" w:rsidRDefault="00996AD7">
            <w:pPr>
              <w:rPr>
                <w:rFonts w:ascii="宋体"/>
              </w:rPr>
            </w:pPr>
          </w:p>
        </w:tc>
        <w:tc>
          <w:tcPr>
            <w:tcW w:w="5" w:type="pct"/>
            <w:shd w:val="clear" w:color="auto" w:fill="auto"/>
            <w:vAlign w:val="bottom"/>
          </w:tcPr>
          <w:p w14:paraId="39D995F5" w14:textId="77777777" w:rsidR="00996AD7" w:rsidRDefault="00996AD7">
            <w:pPr>
              <w:rPr>
                <w:rFonts w:ascii="宋体"/>
              </w:rPr>
            </w:pPr>
          </w:p>
        </w:tc>
        <w:tc>
          <w:tcPr>
            <w:tcW w:w="50" w:type="pct"/>
            <w:shd w:val="clear" w:color="auto" w:fill="auto"/>
            <w:vAlign w:val="bottom"/>
          </w:tcPr>
          <w:p w14:paraId="39D995F6" w14:textId="77777777" w:rsidR="00996AD7" w:rsidRDefault="00996AD7">
            <w:pPr>
              <w:rPr>
                <w:rFonts w:ascii="宋体"/>
              </w:rPr>
            </w:pPr>
          </w:p>
        </w:tc>
        <w:tc>
          <w:tcPr>
            <w:tcW w:w="2042" w:type="pct"/>
            <w:shd w:val="clear" w:color="auto" w:fill="auto"/>
            <w:vAlign w:val="bottom"/>
          </w:tcPr>
          <w:p w14:paraId="39D995F7" w14:textId="77777777" w:rsidR="00996AD7" w:rsidRDefault="00996AD7">
            <w:pPr>
              <w:rPr>
                <w:rFonts w:ascii="宋体"/>
              </w:rPr>
            </w:pPr>
          </w:p>
        </w:tc>
        <w:tc>
          <w:tcPr>
            <w:tcW w:w="5" w:type="pct"/>
            <w:shd w:val="clear" w:color="auto" w:fill="auto"/>
            <w:vAlign w:val="bottom"/>
          </w:tcPr>
          <w:p w14:paraId="39D995F8" w14:textId="77777777" w:rsidR="00996AD7" w:rsidRDefault="00996AD7">
            <w:pPr>
              <w:rPr>
                <w:rFonts w:ascii="宋体"/>
              </w:rPr>
            </w:pPr>
          </w:p>
        </w:tc>
      </w:tr>
      <w:tr w:rsidR="00996AD7" w14:paraId="39D995F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5FA"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EC" wp14:editId="39D9A3ED">
                  <wp:extent cx="304800" cy="304800"/>
                  <wp:effectExtent l="0" t="0" r="0" b="0"/>
                  <wp:docPr id="93" name="图片 9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7"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5FB"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5FC" w14:textId="77777777" w:rsidR="00996AD7" w:rsidRDefault="00D96458">
            <w:pPr>
              <w:jc w:val="right"/>
              <w:textAlignment w:val="center"/>
            </w:pPr>
            <w:r>
              <w:rPr>
                <w:rFonts w:ascii="Arial" w:eastAsia="宋体" w:hAnsi="Arial" w:cs="Arial"/>
                <w:color w:val="262626"/>
                <w:sz w:val="16"/>
                <w:szCs w:val="16"/>
              </w:rPr>
              <w:t>27</w:t>
            </w:r>
          </w:p>
        </w:tc>
      </w:tr>
    </w:tbl>
    <w:p w14:paraId="39D995FE" w14:textId="77777777" w:rsidR="00996AD7" w:rsidRDefault="00D96458">
      <w:r>
        <w:pict w14:anchorId="39D9A3EE">
          <v:rect id="_x0000_i1053" style="width:415.3pt;height:1.5pt" o:hralign="center" o:hrstd="t" o:hr="t" fillcolor="#a0a0a0" stroked="f"/>
        </w:pict>
      </w:r>
    </w:p>
    <w:p w14:paraId="39D995FF" w14:textId="77777777" w:rsidR="00996AD7" w:rsidRDefault="00D96458">
      <w:pPr>
        <w:spacing w:after="180"/>
        <w:jc w:val="right"/>
      </w:pPr>
      <w:hyperlink r:id="rId54" w:anchor="i94e6cc3aa83643b8b968bd5bab038338_7" w:history="1">
        <w:r>
          <w:rPr>
            <w:rStyle w:val="a5"/>
            <w:rFonts w:ascii="Arial" w:eastAsia="宋体" w:hAnsi="Arial" w:cs="Arial"/>
            <w:b/>
            <w:bCs/>
            <w:color w:val="0068B5"/>
            <w:sz w:val="16"/>
            <w:szCs w:val="16"/>
          </w:rPr>
          <w:t>Table of Contents</w:t>
        </w:r>
      </w:hyperlink>
    </w:p>
    <w:p w14:paraId="39D99600"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604" w14:textId="77777777">
        <w:tc>
          <w:tcPr>
            <w:tcW w:w="50" w:type="pct"/>
            <w:shd w:val="clear" w:color="auto" w:fill="auto"/>
            <w:vAlign w:val="bottom"/>
          </w:tcPr>
          <w:p w14:paraId="39D99601" w14:textId="77777777" w:rsidR="00996AD7" w:rsidRDefault="00996AD7">
            <w:pPr>
              <w:rPr>
                <w:rFonts w:ascii="宋体"/>
              </w:rPr>
            </w:pPr>
          </w:p>
        </w:tc>
        <w:tc>
          <w:tcPr>
            <w:tcW w:w="4945" w:type="pct"/>
            <w:shd w:val="clear" w:color="auto" w:fill="auto"/>
            <w:vAlign w:val="bottom"/>
          </w:tcPr>
          <w:p w14:paraId="39D99602" w14:textId="77777777" w:rsidR="00996AD7" w:rsidRDefault="00996AD7">
            <w:pPr>
              <w:rPr>
                <w:rFonts w:ascii="宋体"/>
              </w:rPr>
            </w:pPr>
          </w:p>
        </w:tc>
        <w:tc>
          <w:tcPr>
            <w:tcW w:w="5" w:type="pct"/>
            <w:shd w:val="clear" w:color="auto" w:fill="auto"/>
            <w:vAlign w:val="bottom"/>
          </w:tcPr>
          <w:p w14:paraId="39D99603" w14:textId="77777777" w:rsidR="00996AD7" w:rsidRDefault="00996AD7">
            <w:pPr>
              <w:rPr>
                <w:rFonts w:ascii="宋体"/>
              </w:rPr>
            </w:pPr>
          </w:p>
        </w:tc>
      </w:tr>
      <w:tr w:rsidR="00996AD7" w14:paraId="39D99606"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605" w14:textId="77777777" w:rsidR="00996AD7" w:rsidRDefault="00D96458">
            <w:pPr>
              <w:textAlignment w:val="bottom"/>
            </w:pPr>
            <w:r>
              <w:rPr>
                <w:rFonts w:ascii="Arial" w:eastAsia="宋体" w:hAnsi="Arial" w:cs="Arial"/>
                <w:color w:val="0068B5"/>
                <w:sz w:val="20"/>
                <w:szCs w:val="20"/>
              </w:rPr>
              <w:t>Operating Income Summary</w:t>
            </w:r>
          </w:p>
        </w:tc>
      </w:tr>
    </w:tbl>
    <w:p w14:paraId="39D99607" w14:textId="77777777" w:rsidR="00996AD7" w:rsidRDefault="00D96458">
      <w:pPr>
        <w:spacing w:after="180"/>
      </w:pPr>
      <w:r>
        <w:rPr>
          <w:rFonts w:ascii="Arial" w:eastAsia="宋体" w:hAnsi="Arial" w:cs="Arial"/>
          <w:color w:val="262626"/>
          <w:sz w:val="18"/>
          <w:szCs w:val="18"/>
        </w:rPr>
        <w:t xml:space="preserve">Operating income in Q3 2021 increased 8% from Q3 </w:t>
      </w:r>
      <w:r>
        <w:rPr>
          <w:rFonts w:ascii="Arial" w:eastAsia="宋体" w:hAnsi="Arial" w:cs="Arial"/>
          <w:color w:val="262626"/>
          <w:sz w:val="18"/>
          <w:szCs w:val="18"/>
        </w:rPr>
        <w:t>2020, with an operating margin of 32%. Operating income YTD 2021 decreased 38%, with an operating margin of 28%.</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8"/>
        <w:gridCol w:w="7134"/>
        <w:gridCol w:w="37"/>
      </w:tblGrid>
      <w:tr w:rsidR="00996AD7" w14:paraId="39D99611" w14:textId="77777777">
        <w:tc>
          <w:tcPr>
            <w:tcW w:w="50" w:type="pct"/>
            <w:shd w:val="clear" w:color="auto" w:fill="auto"/>
            <w:vAlign w:val="bottom"/>
          </w:tcPr>
          <w:p w14:paraId="39D99608" w14:textId="77777777" w:rsidR="00996AD7" w:rsidRDefault="00996AD7">
            <w:pPr>
              <w:rPr>
                <w:rFonts w:ascii="宋体"/>
              </w:rPr>
            </w:pPr>
          </w:p>
        </w:tc>
        <w:tc>
          <w:tcPr>
            <w:tcW w:w="539" w:type="pct"/>
            <w:shd w:val="clear" w:color="auto" w:fill="auto"/>
            <w:vAlign w:val="bottom"/>
          </w:tcPr>
          <w:p w14:paraId="39D99609" w14:textId="77777777" w:rsidR="00996AD7" w:rsidRDefault="00996AD7">
            <w:pPr>
              <w:rPr>
                <w:rFonts w:ascii="宋体"/>
              </w:rPr>
            </w:pPr>
          </w:p>
        </w:tc>
        <w:tc>
          <w:tcPr>
            <w:tcW w:w="5" w:type="pct"/>
            <w:shd w:val="clear" w:color="auto" w:fill="auto"/>
            <w:vAlign w:val="bottom"/>
          </w:tcPr>
          <w:p w14:paraId="39D9960A" w14:textId="77777777" w:rsidR="00996AD7" w:rsidRDefault="00996AD7">
            <w:pPr>
              <w:rPr>
                <w:rFonts w:ascii="宋体"/>
              </w:rPr>
            </w:pPr>
          </w:p>
        </w:tc>
        <w:tc>
          <w:tcPr>
            <w:tcW w:w="5" w:type="pct"/>
            <w:shd w:val="clear" w:color="auto" w:fill="auto"/>
            <w:vAlign w:val="bottom"/>
          </w:tcPr>
          <w:p w14:paraId="39D9960B" w14:textId="77777777" w:rsidR="00996AD7" w:rsidRDefault="00996AD7">
            <w:pPr>
              <w:rPr>
                <w:rFonts w:ascii="宋体"/>
              </w:rPr>
            </w:pPr>
          </w:p>
        </w:tc>
        <w:tc>
          <w:tcPr>
            <w:tcW w:w="24" w:type="pct"/>
            <w:shd w:val="clear" w:color="auto" w:fill="auto"/>
            <w:vAlign w:val="bottom"/>
          </w:tcPr>
          <w:p w14:paraId="39D9960C" w14:textId="77777777" w:rsidR="00996AD7" w:rsidRDefault="00996AD7">
            <w:pPr>
              <w:rPr>
                <w:rFonts w:ascii="宋体"/>
              </w:rPr>
            </w:pPr>
          </w:p>
        </w:tc>
        <w:tc>
          <w:tcPr>
            <w:tcW w:w="5" w:type="pct"/>
            <w:shd w:val="clear" w:color="auto" w:fill="auto"/>
            <w:vAlign w:val="bottom"/>
          </w:tcPr>
          <w:p w14:paraId="39D9960D" w14:textId="77777777" w:rsidR="00996AD7" w:rsidRDefault="00996AD7">
            <w:pPr>
              <w:rPr>
                <w:rFonts w:ascii="宋体"/>
              </w:rPr>
            </w:pPr>
          </w:p>
        </w:tc>
        <w:tc>
          <w:tcPr>
            <w:tcW w:w="50" w:type="pct"/>
            <w:shd w:val="clear" w:color="auto" w:fill="auto"/>
            <w:vAlign w:val="bottom"/>
          </w:tcPr>
          <w:p w14:paraId="39D9960E" w14:textId="77777777" w:rsidR="00996AD7" w:rsidRDefault="00996AD7">
            <w:pPr>
              <w:rPr>
                <w:rFonts w:ascii="宋体"/>
              </w:rPr>
            </w:pPr>
          </w:p>
        </w:tc>
        <w:tc>
          <w:tcPr>
            <w:tcW w:w="4316" w:type="pct"/>
            <w:shd w:val="clear" w:color="auto" w:fill="auto"/>
            <w:vAlign w:val="bottom"/>
          </w:tcPr>
          <w:p w14:paraId="39D9960F" w14:textId="77777777" w:rsidR="00996AD7" w:rsidRDefault="00996AD7">
            <w:pPr>
              <w:rPr>
                <w:rFonts w:ascii="宋体"/>
              </w:rPr>
            </w:pPr>
          </w:p>
        </w:tc>
        <w:tc>
          <w:tcPr>
            <w:tcW w:w="5" w:type="pct"/>
            <w:shd w:val="clear" w:color="auto" w:fill="auto"/>
            <w:vAlign w:val="bottom"/>
          </w:tcPr>
          <w:p w14:paraId="39D99610" w14:textId="77777777" w:rsidR="00996AD7" w:rsidRDefault="00996AD7">
            <w:pPr>
              <w:rPr>
                <w:rFonts w:ascii="宋体"/>
              </w:rPr>
            </w:pPr>
          </w:p>
        </w:tc>
      </w:tr>
      <w:tr w:rsidR="00996AD7" w14:paraId="39D99615" w14:textId="77777777">
        <w:tc>
          <w:tcPr>
            <w:tcW w:w="0" w:type="auto"/>
            <w:gridSpan w:val="3"/>
            <w:shd w:val="clear" w:color="auto" w:fill="auto"/>
            <w:tcMar>
              <w:top w:w="40" w:type="dxa"/>
              <w:left w:w="20" w:type="dxa"/>
              <w:bottom w:w="40" w:type="dxa"/>
              <w:right w:w="20" w:type="dxa"/>
            </w:tcMar>
            <w:vAlign w:val="bottom"/>
          </w:tcPr>
          <w:p w14:paraId="39D99612"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961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614" w14:textId="77777777" w:rsidR="00996AD7" w:rsidRDefault="00996AD7">
            <w:pPr>
              <w:rPr>
                <w:rFonts w:ascii="宋体"/>
              </w:rPr>
            </w:pPr>
          </w:p>
        </w:tc>
      </w:tr>
      <w:tr w:rsidR="00996AD7" w14:paraId="39D9961B"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39D99616"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617" w14:textId="77777777" w:rsidR="00996AD7" w:rsidRDefault="00D96458">
            <w:pPr>
              <w:jc w:val="right"/>
              <w:textAlignment w:val="bottom"/>
            </w:pPr>
            <w:r>
              <w:rPr>
                <w:rFonts w:ascii="Arial" w:eastAsia="宋体" w:hAnsi="Arial" w:cs="Arial"/>
                <w:b/>
                <w:bCs/>
                <w:color w:val="0068B5"/>
                <w:sz w:val="18"/>
                <w:szCs w:val="18"/>
              </w:rPr>
              <w:t>2,057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61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19"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961A" w14:textId="77777777" w:rsidR="00996AD7" w:rsidRDefault="00D96458">
            <w:pPr>
              <w:textAlignment w:val="bottom"/>
            </w:pPr>
            <w:r>
              <w:rPr>
                <w:rFonts w:ascii="Arial" w:eastAsia="宋体" w:hAnsi="Arial" w:cs="Arial"/>
                <w:b/>
                <w:bCs/>
                <w:color w:val="262626"/>
                <w:sz w:val="18"/>
                <w:szCs w:val="18"/>
              </w:rPr>
              <w:t>Q3 2021 DCG Operating Income</w:t>
            </w:r>
          </w:p>
        </w:tc>
      </w:tr>
      <w:tr w:rsidR="00996AD7" w14:paraId="39D99620" w14:textId="77777777">
        <w:tc>
          <w:tcPr>
            <w:tcW w:w="0" w:type="auto"/>
            <w:gridSpan w:val="2"/>
            <w:tcBorders>
              <w:top w:val="single" w:sz="4" w:space="0" w:color="262626"/>
            </w:tcBorders>
            <w:shd w:val="clear" w:color="auto" w:fill="auto"/>
            <w:tcMar>
              <w:top w:w="40" w:type="dxa"/>
              <w:left w:w="20" w:type="dxa"/>
              <w:bottom w:w="40" w:type="dxa"/>
              <w:right w:w="0" w:type="dxa"/>
            </w:tcMar>
          </w:tcPr>
          <w:p w14:paraId="39D9961C" w14:textId="77777777" w:rsidR="00996AD7" w:rsidRDefault="00D96458">
            <w:pPr>
              <w:jc w:val="right"/>
              <w:textAlignment w:val="top"/>
            </w:pPr>
            <w:r>
              <w:rPr>
                <w:rFonts w:ascii="Arial" w:eastAsia="宋体" w:hAnsi="Arial" w:cs="Arial"/>
                <w:color w:val="0068B5"/>
                <w:sz w:val="18"/>
                <w:szCs w:val="18"/>
              </w:rPr>
              <w:t>530 </w:t>
            </w:r>
          </w:p>
        </w:tc>
        <w:tc>
          <w:tcPr>
            <w:tcW w:w="0" w:type="auto"/>
            <w:tcBorders>
              <w:top w:val="single" w:sz="4" w:space="0" w:color="262626"/>
            </w:tcBorders>
            <w:shd w:val="clear" w:color="auto" w:fill="auto"/>
            <w:tcMar>
              <w:top w:w="40" w:type="dxa"/>
              <w:left w:w="0" w:type="dxa"/>
              <w:bottom w:w="40" w:type="dxa"/>
              <w:right w:w="20" w:type="dxa"/>
            </w:tcMar>
          </w:tcPr>
          <w:p w14:paraId="39D9961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1E"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39D9961F" w14:textId="77777777" w:rsidR="00996AD7" w:rsidRDefault="00D96458">
            <w:pPr>
              <w:textAlignment w:val="top"/>
            </w:pPr>
            <w:r>
              <w:rPr>
                <w:rFonts w:ascii="Arial" w:eastAsia="宋体" w:hAnsi="Arial" w:cs="Arial"/>
                <w:color w:val="0068B5"/>
                <w:sz w:val="18"/>
                <w:szCs w:val="18"/>
              </w:rPr>
              <w:t>Higher gross margin from platform revenue</w:t>
            </w:r>
          </w:p>
        </w:tc>
      </w:tr>
      <w:tr w:rsidR="00996AD7" w14:paraId="39D99625" w14:textId="77777777">
        <w:tc>
          <w:tcPr>
            <w:tcW w:w="0" w:type="auto"/>
            <w:gridSpan w:val="2"/>
            <w:shd w:val="clear" w:color="auto" w:fill="auto"/>
            <w:tcMar>
              <w:top w:w="40" w:type="dxa"/>
              <w:left w:w="20" w:type="dxa"/>
              <w:bottom w:w="40" w:type="dxa"/>
              <w:right w:w="0" w:type="dxa"/>
            </w:tcMar>
          </w:tcPr>
          <w:p w14:paraId="39D99621" w14:textId="77777777" w:rsidR="00996AD7" w:rsidRDefault="00D96458">
            <w:pPr>
              <w:jc w:val="right"/>
              <w:textAlignment w:val="top"/>
            </w:pPr>
            <w:r>
              <w:rPr>
                <w:rFonts w:ascii="Arial" w:eastAsia="宋体" w:hAnsi="Arial" w:cs="Arial"/>
                <w:color w:val="0068B5"/>
                <w:sz w:val="18"/>
                <w:szCs w:val="18"/>
              </w:rPr>
              <w:t>285 </w:t>
            </w:r>
          </w:p>
        </w:tc>
        <w:tc>
          <w:tcPr>
            <w:tcW w:w="0" w:type="auto"/>
            <w:shd w:val="clear" w:color="auto" w:fill="auto"/>
            <w:tcMar>
              <w:top w:w="40" w:type="dxa"/>
              <w:left w:w="0" w:type="dxa"/>
              <w:bottom w:w="40" w:type="dxa"/>
              <w:right w:w="20" w:type="dxa"/>
            </w:tcMar>
          </w:tcPr>
          <w:p w14:paraId="39D9962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23"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24" w14:textId="77777777" w:rsidR="00996AD7" w:rsidRDefault="00D96458">
            <w:pPr>
              <w:textAlignment w:val="top"/>
            </w:pPr>
            <w:r>
              <w:rPr>
                <w:rFonts w:ascii="Arial" w:eastAsia="宋体" w:hAnsi="Arial" w:cs="Arial"/>
                <w:color w:val="0068B5"/>
                <w:sz w:val="18"/>
                <w:szCs w:val="18"/>
              </w:rPr>
              <w:t xml:space="preserve">Higher </w:t>
            </w:r>
            <w:r>
              <w:rPr>
                <w:rFonts w:ascii="Arial" w:eastAsia="宋体" w:hAnsi="Arial" w:cs="Arial"/>
                <w:color w:val="0068B5"/>
                <w:sz w:val="18"/>
                <w:szCs w:val="18"/>
              </w:rPr>
              <w:t>adjacent gross margin</w:t>
            </w:r>
          </w:p>
        </w:tc>
      </w:tr>
      <w:tr w:rsidR="00996AD7" w14:paraId="39D9962A" w14:textId="77777777">
        <w:tc>
          <w:tcPr>
            <w:tcW w:w="0" w:type="auto"/>
            <w:gridSpan w:val="2"/>
            <w:shd w:val="clear" w:color="auto" w:fill="auto"/>
            <w:tcMar>
              <w:top w:w="40" w:type="dxa"/>
              <w:left w:w="20" w:type="dxa"/>
              <w:bottom w:w="40" w:type="dxa"/>
              <w:right w:w="0" w:type="dxa"/>
            </w:tcMar>
          </w:tcPr>
          <w:p w14:paraId="39D99626" w14:textId="77777777" w:rsidR="00996AD7" w:rsidRDefault="00D96458">
            <w:pPr>
              <w:jc w:val="right"/>
              <w:textAlignment w:val="top"/>
            </w:pPr>
            <w:r>
              <w:rPr>
                <w:rFonts w:ascii="Arial" w:eastAsia="宋体" w:hAnsi="Arial" w:cs="Arial"/>
                <w:color w:val="0068B5"/>
                <w:sz w:val="18"/>
                <w:szCs w:val="18"/>
              </w:rPr>
              <w:t>100 </w:t>
            </w:r>
          </w:p>
        </w:tc>
        <w:tc>
          <w:tcPr>
            <w:tcW w:w="0" w:type="auto"/>
            <w:shd w:val="clear" w:color="auto" w:fill="auto"/>
            <w:tcMar>
              <w:top w:w="40" w:type="dxa"/>
              <w:left w:w="0" w:type="dxa"/>
              <w:bottom w:w="40" w:type="dxa"/>
              <w:right w:w="20" w:type="dxa"/>
            </w:tcMar>
          </w:tcPr>
          <w:p w14:paraId="39D9962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2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29" w14:textId="77777777" w:rsidR="00996AD7" w:rsidRDefault="00D96458">
            <w:pPr>
              <w:textAlignment w:val="top"/>
            </w:pPr>
            <w:r>
              <w:rPr>
                <w:rFonts w:ascii="Arial" w:eastAsia="宋体" w:hAnsi="Arial" w:cs="Arial"/>
                <w:color w:val="0068B5"/>
                <w:sz w:val="18"/>
                <w:szCs w:val="18"/>
              </w:rPr>
              <w:t>Lower period charges driven by absence of reserves, including reserves taken on non-qualified platform products in 2020, and by sell-through of other reserves in 2021</w:t>
            </w:r>
          </w:p>
        </w:tc>
      </w:tr>
      <w:tr w:rsidR="00996AD7" w14:paraId="39D9962F" w14:textId="77777777">
        <w:tc>
          <w:tcPr>
            <w:tcW w:w="0" w:type="auto"/>
            <w:gridSpan w:val="2"/>
            <w:shd w:val="clear" w:color="auto" w:fill="auto"/>
            <w:tcMar>
              <w:top w:w="40" w:type="dxa"/>
              <w:left w:w="20" w:type="dxa"/>
              <w:bottom w:w="40" w:type="dxa"/>
              <w:right w:w="0" w:type="dxa"/>
            </w:tcMar>
          </w:tcPr>
          <w:p w14:paraId="39D9962B" w14:textId="77777777" w:rsidR="00996AD7" w:rsidRDefault="00D96458">
            <w:pPr>
              <w:jc w:val="right"/>
              <w:textAlignment w:val="top"/>
            </w:pPr>
            <w:r>
              <w:rPr>
                <w:rFonts w:ascii="Arial" w:eastAsia="宋体" w:hAnsi="Arial" w:cs="Arial"/>
                <w:color w:val="0068B5"/>
                <w:sz w:val="18"/>
                <w:szCs w:val="18"/>
              </w:rPr>
              <w:t>(285)</w:t>
            </w:r>
          </w:p>
        </w:tc>
        <w:tc>
          <w:tcPr>
            <w:tcW w:w="0" w:type="auto"/>
            <w:shd w:val="clear" w:color="auto" w:fill="auto"/>
            <w:tcMar>
              <w:top w:w="40" w:type="dxa"/>
              <w:left w:w="0" w:type="dxa"/>
              <w:bottom w:w="40" w:type="dxa"/>
              <w:right w:w="20" w:type="dxa"/>
            </w:tcMar>
          </w:tcPr>
          <w:p w14:paraId="39D9962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2D"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2E" w14:textId="77777777" w:rsidR="00996AD7" w:rsidRDefault="00D96458">
            <w:pPr>
              <w:textAlignment w:val="top"/>
            </w:pPr>
            <w:r>
              <w:rPr>
                <w:rFonts w:ascii="Arial" w:eastAsia="宋体" w:hAnsi="Arial" w:cs="Arial"/>
                <w:color w:val="0068B5"/>
                <w:sz w:val="18"/>
                <w:szCs w:val="18"/>
              </w:rPr>
              <w:t xml:space="preserve">Higher operating expenses driven by </w:t>
            </w:r>
            <w:r>
              <w:rPr>
                <w:rFonts w:ascii="Arial" w:eastAsia="宋体" w:hAnsi="Arial" w:cs="Arial"/>
                <w:color w:val="0068B5"/>
                <w:sz w:val="18"/>
                <w:szCs w:val="18"/>
              </w:rPr>
              <w:t>increased investment in leadership products</w:t>
            </w:r>
          </w:p>
        </w:tc>
      </w:tr>
      <w:tr w:rsidR="00996AD7" w14:paraId="39D99634" w14:textId="77777777">
        <w:tc>
          <w:tcPr>
            <w:tcW w:w="0" w:type="auto"/>
            <w:gridSpan w:val="2"/>
            <w:shd w:val="clear" w:color="auto" w:fill="auto"/>
            <w:tcMar>
              <w:top w:w="40" w:type="dxa"/>
              <w:left w:w="20" w:type="dxa"/>
              <w:bottom w:w="40" w:type="dxa"/>
              <w:right w:w="0" w:type="dxa"/>
            </w:tcMar>
          </w:tcPr>
          <w:p w14:paraId="39D99630" w14:textId="77777777" w:rsidR="00996AD7" w:rsidRDefault="00D96458">
            <w:pPr>
              <w:jc w:val="right"/>
              <w:textAlignment w:val="top"/>
            </w:pPr>
            <w:r>
              <w:rPr>
                <w:rFonts w:ascii="Arial" w:eastAsia="宋体" w:hAnsi="Arial" w:cs="Arial"/>
                <w:color w:val="0068B5"/>
                <w:sz w:val="18"/>
                <w:szCs w:val="18"/>
              </w:rPr>
              <w:t>(225)</w:t>
            </w:r>
          </w:p>
        </w:tc>
        <w:tc>
          <w:tcPr>
            <w:tcW w:w="0" w:type="auto"/>
            <w:shd w:val="clear" w:color="auto" w:fill="auto"/>
            <w:tcMar>
              <w:top w:w="40" w:type="dxa"/>
              <w:left w:w="0" w:type="dxa"/>
              <w:bottom w:w="40" w:type="dxa"/>
              <w:right w:w="20" w:type="dxa"/>
            </w:tcMar>
          </w:tcPr>
          <w:p w14:paraId="39D9963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3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33" w14:textId="77777777" w:rsidR="00996AD7" w:rsidRDefault="00D96458">
            <w:pPr>
              <w:textAlignment w:val="top"/>
            </w:pPr>
            <w:r>
              <w:rPr>
                <w:rFonts w:ascii="Arial" w:eastAsia="宋体" w:hAnsi="Arial" w:cs="Arial"/>
                <w:color w:val="0068B5"/>
                <w:sz w:val="18"/>
                <w:szCs w:val="18"/>
              </w:rPr>
              <w:t>Higher period charges primarily associated with the ramp up of Intel 4</w:t>
            </w:r>
          </w:p>
        </w:tc>
      </w:tr>
      <w:tr w:rsidR="00996AD7" w14:paraId="39D99639" w14:textId="77777777">
        <w:tc>
          <w:tcPr>
            <w:tcW w:w="0" w:type="auto"/>
            <w:gridSpan w:val="2"/>
            <w:shd w:val="clear" w:color="auto" w:fill="auto"/>
            <w:tcMar>
              <w:top w:w="40" w:type="dxa"/>
              <w:left w:w="20" w:type="dxa"/>
              <w:bottom w:w="40" w:type="dxa"/>
              <w:right w:w="0" w:type="dxa"/>
            </w:tcMar>
          </w:tcPr>
          <w:p w14:paraId="39D99635" w14:textId="77777777" w:rsidR="00996AD7" w:rsidRDefault="00D96458">
            <w:pPr>
              <w:jc w:val="right"/>
              <w:textAlignment w:val="top"/>
            </w:pPr>
            <w:r>
              <w:rPr>
                <w:rFonts w:ascii="Arial" w:eastAsia="宋体" w:hAnsi="Arial" w:cs="Arial"/>
                <w:color w:val="0068B5"/>
                <w:sz w:val="18"/>
                <w:szCs w:val="18"/>
              </w:rPr>
              <w:t>(170)</w:t>
            </w:r>
          </w:p>
        </w:tc>
        <w:tc>
          <w:tcPr>
            <w:tcW w:w="0" w:type="auto"/>
            <w:shd w:val="clear" w:color="auto" w:fill="auto"/>
            <w:tcMar>
              <w:top w:w="40" w:type="dxa"/>
              <w:left w:w="0" w:type="dxa"/>
              <w:bottom w:w="40" w:type="dxa"/>
              <w:right w:w="20" w:type="dxa"/>
            </w:tcMar>
          </w:tcPr>
          <w:p w14:paraId="39D9963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37"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38" w14:textId="77777777" w:rsidR="00996AD7" w:rsidRDefault="00D96458">
            <w:pPr>
              <w:textAlignment w:val="top"/>
            </w:pPr>
            <w:r>
              <w:rPr>
                <w:rFonts w:ascii="Arial" w:eastAsia="宋体" w:hAnsi="Arial" w:cs="Arial"/>
                <w:color w:val="0068B5"/>
                <w:sz w:val="18"/>
                <w:szCs w:val="18"/>
              </w:rPr>
              <w:t>Higher platform unit cost primarily from increased mix of 10nm SuperFin products</w:t>
            </w:r>
          </w:p>
        </w:tc>
      </w:tr>
      <w:tr w:rsidR="00996AD7" w14:paraId="39D9963E" w14:textId="77777777">
        <w:tc>
          <w:tcPr>
            <w:tcW w:w="0" w:type="auto"/>
            <w:gridSpan w:val="2"/>
            <w:shd w:val="clear" w:color="auto" w:fill="auto"/>
            <w:tcMar>
              <w:top w:w="40" w:type="dxa"/>
              <w:left w:w="20" w:type="dxa"/>
              <w:bottom w:w="40" w:type="dxa"/>
              <w:right w:w="0" w:type="dxa"/>
            </w:tcMar>
          </w:tcPr>
          <w:p w14:paraId="39D9963A" w14:textId="77777777" w:rsidR="00996AD7" w:rsidRDefault="00D96458">
            <w:pPr>
              <w:jc w:val="right"/>
              <w:textAlignment w:val="top"/>
            </w:pPr>
            <w:r>
              <w:rPr>
                <w:rFonts w:ascii="Arial" w:eastAsia="宋体" w:hAnsi="Arial" w:cs="Arial"/>
                <w:color w:val="0068B5"/>
                <w:sz w:val="18"/>
                <w:szCs w:val="18"/>
              </w:rPr>
              <w:t>(75)</w:t>
            </w:r>
          </w:p>
        </w:tc>
        <w:tc>
          <w:tcPr>
            <w:tcW w:w="0" w:type="auto"/>
            <w:shd w:val="clear" w:color="auto" w:fill="auto"/>
            <w:tcMar>
              <w:top w:w="40" w:type="dxa"/>
              <w:left w:w="0" w:type="dxa"/>
              <w:bottom w:w="40" w:type="dxa"/>
              <w:right w:w="20" w:type="dxa"/>
            </w:tcMar>
          </w:tcPr>
          <w:p w14:paraId="39D9963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3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3D" w14:textId="77777777" w:rsidR="00996AD7" w:rsidRDefault="00D96458">
            <w:pPr>
              <w:textAlignment w:val="top"/>
            </w:pPr>
            <w:r>
              <w:rPr>
                <w:rFonts w:ascii="Arial" w:eastAsia="宋体" w:hAnsi="Arial" w:cs="Arial"/>
                <w:color w:val="0068B5"/>
                <w:sz w:val="18"/>
                <w:szCs w:val="18"/>
              </w:rPr>
              <w:t xml:space="preserve">Higher period charges </w:t>
            </w:r>
            <w:r>
              <w:rPr>
                <w:rFonts w:ascii="Arial" w:eastAsia="宋体" w:hAnsi="Arial" w:cs="Arial"/>
                <w:color w:val="0068B5"/>
                <w:sz w:val="18"/>
                <w:szCs w:val="18"/>
              </w:rPr>
              <w:t>primarily associated with the ramp down of 14nm</w:t>
            </w:r>
          </w:p>
        </w:tc>
      </w:tr>
      <w:tr w:rsidR="00996AD7" w14:paraId="39D99642" w14:textId="77777777">
        <w:trPr>
          <w:hidden/>
        </w:trPr>
        <w:tc>
          <w:tcPr>
            <w:tcW w:w="0" w:type="auto"/>
            <w:gridSpan w:val="3"/>
            <w:shd w:val="clear" w:color="auto" w:fill="auto"/>
            <w:vAlign w:val="bottom"/>
          </w:tcPr>
          <w:p w14:paraId="39D9963F" w14:textId="77777777" w:rsidR="00996AD7" w:rsidRDefault="00996AD7">
            <w:pPr>
              <w:rPr>
                <w:rFonts w:ascii="宋体"/>
                <w:vanish/>
              </w:rPr>
            </w:pPr>
          </w:p>
        </w:tc>
        <w:tc>
          <w:tcPr>
            <w:tcW w:w="0" w:type="auto"/>
            <w:gridSpan w:val="3"/>
            <w:shd w:val="clear" w:color="auto" w:fill="auto"/>
            <w:vAlign w:val="bottom"/>
          </w:tcPr>
          <w:p w14:paraId="39D99640" w14:textId="77777777" w:rsidR="00996AD7" w:rsidRDefault="00996AD7">
            <w:pPr>
              <w:rPr>
                <w:rFonts w:ascii="宋体"/>
                <w:vanish/>
              </w:rPr>
            </w:pPr>
          </w:p>
        </w:tc>
        <w:tc>
          <w:tcPr>
            <w:tcW w:w="0" w:type="auto"/>
            <w:gridSpan w:val="3"/>
            <w:shd w:val="clear" w:color="auto" w:fill="auto"/>
            <w:vAlign w:val="bottom"/>
          </w:tcPr>
          <w:p w14:paraId="39D99641" w14:textId="77777777" w:rsidR="00996AD7" w:rsidRDefault="00996AD7">
            <w:pPr>
              <w:rPr>
                <w:rFonts w:ascii="宋体"/>
                <w:vanish/>
              </w:rPr>
            </w:pPr>
          </w:p>
        </w:tc>
      </w:tr>
      <w:tr w:rsidR="00996AD7" w14:paraId="39D99647" w14:textId="77777777">
        <w:tc>
          <w:tcPr>
            <w:tcW w:w="0" w:type="auto"/>
            <w:gridSpan w:val="2"/>
            <w:shd w:val="clear" w:color="auto" w:fill="auto"/>
            <w:tcMar>
              <w:top w:w="40" w:type="dxa"/>
              <w:left w:w="20" w:type="dxa"/>
              <w:bottom w:w="40" w:type="dxa"/>
              <w:right w:w="0" w:type="dxa"/>
            </w:tcMar>
          </w:tcPr>
          <w:p w14:paraId="39D99643" w14:textId="77777777" w:rsidR="00996AD7" w:rsidRDefault="00D96458">
            <w:pPr>
              <w:jc w:val="right"/>
              <w:textAlignment w:val="top"/>
            </w:pPr>
            <w:r>
              <w:rPr>
                <w:rFonts w:ascii="Arial" w:eastAsia="宋体" w:hAnsi="Arial" w:cs="Arial"/>
                <w:color w:val="0068B5"/>
                <w:sz w:val="18"/>
                <w:szCs w:val="18"/>
              </w:rPr>
              <w:t>(6)</w:t>
            </w:r>
          </w:p>
        </w:tc>
        <w:tc>
          <w:tcPr>
            <w:tcW w:w="0" w:type="auto"/>
            <w:shd w:val="clear" w:color="auto" w:fill="auto"/>
            <w:tcMar>
              <w:top w:w="40" w:type="dxa"/>
              <w:left w:w="0" w:type="dxa"/>
              <w:bottom w:w="40" w:type="dxa"/>
              <w:right w:w="20" w:type="dxa"/>
            </w:tcMar>
          </w:tcPr>
          <w:p w14:paraId="39D9964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45"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46" w14:textId="77777777" w:rsidR="00996AD7" w:rsidRDefault="00D96458">
            <w:pPr>
              <w:textAlignment w:val="top"/>
            </w:pPr>
            <w:r>
              <w:rPr>
                <w:rFonts w:ascii="Arial" w:eastAsia="宋体" w:hAnsi="Arial" w:cs="Arial"/>
                <w:color w:val="0068B5"/>
                <w:sz w:val="18"/>
                <w:szCs w:val="18"/>
              </w:rPr>
              <w:t>Other</w:t>
            </w:r>
          </w:p>
        </w:tc>
      </w:tr>
      <w:tr w:rsidR="00996AD7" w14:paraId="39D9964D"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39D99648"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649" w14:textId="77777777" w:rsidR="00996AD7" w:rsidRDefault="00D96458">
            <w:pPr>
              <w:jc w:val="right"/>
              <w:textAlignment w:val="bottom"/>
            </w:pPr>
            <w:r>
              <w:rPr>
                <w:rFonts w:ascii="Arial" w:eastAsia="宋体" w:hAnsi="Arial" w:cs="Arial"/>
                <w:b/>
                <w:bCs/>
                <w:color w:val="262626"/>
                <w:sz w:val="18"/>
                <w:szCs w:val="18"/>
              </w:rPr>
              <w:t>1,903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64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4B"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39D9964C" w14:textId="77777777" w:rsidR="00996AD7" w:rsidRDefault="00D96458">
            <w:pPr>
              <w:textAlignment w:val="bottom"/>
            </w:pPr>
            <w:r>
              <w:rPr>
                <w:rFonts w:ascii="Arial" w:eastAsia="宋体" w:hAnsi="Arial" w:cs="Arial"/>
                <w:b/>
                <w:bCs/>
                <w:color w:val="262626"/>
                <w:sz w:val="18"/>
                <w:szCs w:val="18"/>
              </w:rPr>
              <w:t>Q3 2020 DCG Operating Income</w:t>
            </w:r>
          </w:p>
        </w:tc>
      </w:tr>
      <w:tr w:rsidR="00996AD7" w14:paraId="39D99651" w14:textId="77777777">
        <w:trPr>
          <w:trHeight w:val="10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964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64F"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9650" w14:textId="77777777" w:rsidR="00996AD7" w:rsidRDefault="00996AD7">
            <w:pPr>
              <w:rPr>
                <w:rFonts w:ascii="宋体"/>
              </w:rPr>
            </w:pPr>
          </w:p>
        </w:tc>
      </w:tr>
      <w:tr w:rsidR="00996AD7" w14:paraId="39D99657"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39D99652"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653" w14:textId="77777777" w:rsidR="00996AD7" w:rsidRDefault="00D96458">
            <w:pPr>
              <w:jc w:val="right"/>
              <w:textAlignment w:val="bottom"/>
            </w:pPr>
            <w:r>
              <w:rPr>
                <w:rFonts w:ascii="Arial" w:eastAsia="宋体" w:hAnsi="Arial" w:cs="Arial"/>
                <w:b/>
                <w:bCs/>
                <w:color w:val="0068B5"/>
                <w:sz w:val="18"/>
                <w:szCs w:val="18"/>
              </w:rPr>
              <w:t>5,271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65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55"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39D99656" w14:textId="77777777" w:rsidR="00996AD7" w:rsidRDefault="00D96458">
            <w:pPr>
              <w:textAlignment w:val="bottom"/>
            </w:pPr>
            <w:r>
              <w:rPr>
                <w:rFonts w:ascii="Arial" w:eastAsia="宋体" w:hAnsi="Arial" w:cs="Arial"/>
                <w:b/>
                <w:bCs/>
                <w:color w:val="262626"/>
                <w:sz w:val="18"/>
                <w:szCs w:val="18"/>
              </w:rPr>
              <w:t>YTD 2021 DCG Operating Income</w:t>
            </w:r>
          </w:p>
        </w:tc>
      </w:tr>
      <w:tr w:rsidR="00996AD7" w14:paraId="39D9965C" w14:textId="77777777">
        <w:tc>
          <w:tcPr>
            <w:tcW w:w="0" w:type="auto"/>
            <w:gridSpan w:val="2"/>
            <w:tcBorders>
              <w:top w:val="single" w:sz="4" w:space="0" w:color="262626"/>
            </w:tcBorders>
            <w:shd w:val="clear" w:color="auto" w:fill="auto"/>
            <w:tcMar>
              <w:top w:w="40" w:type="dxa"/>
              <w:left w:w="20" w:type="dxa"/>
              <w:bottom w:w="40" w:type="dxa"/>
              <w:right w:w="0" w:type="dxa"/>
            </w:tcMar>
          </w:tcPr>
          <w:p w14:paraId="39D99658" w14:textId="77777777" w:rsidR="00996AD7" w:rsidRDefault="00D96458">
            <w:pPr>
              <w:jc w:val="right"/>
              <w:textAlignment w:val="top"/>
            </w:pPr>
            <w:r>
              <w:rPr>
                <w:rFonts w:ascii="Arial" w:eastAsia="宋体" w:hAnsi="Arial" w:cs="Arial"/>
                <w:color w:val="0068B5"/>
                <w:sz w:val="18"/>
                <w:szCs w:val="18"/>
              </w:rPr>
              <w:t>(1,445)</w:t>
            </w:r>
          </w:p>
        </w:tc>
        <w:tc>
          <w:tcPr>
            <w:tcW w:w="0" w:type="auto"/>
            <w:tcBorders>
              <w:top w:val="single" w:sz="4" w:space="0" w:color="262626"/>
            </w:tcBorders>
            <w:shd w:val="clear" w:color="auto" w:fill="auto"/>
            <w:tcMar>
              <w:top w:w="40" w:type="dxa"/>
              <w:left w:w="0" w:type="dxa"/>
              <w:bottom w:w="40" w:type="dxa"/>
              <w:right w:w="20" w:type="dxa"/>
            </w:tcMar>
          </w:tcPr>
          <w:p w14:paraId="39D9965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5A"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39D9965B" w14:textId="77777777" w:rsidR="00996AD7" w:rsidRDefault="00D96458">
            <w:pPr>
              <w:textAlignment w:val="top"/>
            </w:pPr>
            <w:r>
              <w:rPr>
                <w:rFonts w:ascii="Arial" w:eastAsia="宋体" w:hAnsi="Arial" w:cs="Arial"/>
                <w:color w:val="0068B5"/>
                <w:sz w:val="18"/>
                <w:szCs w:val="18"/>
              </w:rPr>
              <w:t>Lower gross margin from platform revenue</w:t>
            </w:r>
          </w:p>
        </w:tc>
      </w:tr>
      <w:tr w:rsidR="00996AD7" w14:paraId="39D99661" w14:textId="77777777">
        <w:tc>
          <w:tcPr>
            <w:tcW w:w="0" w:type="auto"/>
            <w:gridSpan w:val="2"/>
            <w:shd w:val="clear" w:color="auto" w:fill="auto"/>
            <w:tcMar>
              <w:top w:w="40" w:type="dxa"/>
              <w:left w:w="20" w:type="dxa"/>
              <w:bottom w:w="40" w:type="dxa"/>
              <w:right w:w="0" w:type="dxa"/>
            </w:tcMar>
          </w:tcPr>
          <w:p w14:paraId="39D9965D" w14:textId="77777777" w:rsidR="00996AD7" w:rsidRDefault="00D96458">
            <w:pPr>
              <w:jc w:val="right"/>
              <w:textAlignment w:val="top"/>
            </w:pPr>
            <w:r>
              <w:rPr>
                <w:rFonts w:ascii="Arial" w:eastAsia="宋体" w:hAnsi="Arial" w:cs="Arial"/>
                <w:color w:val="0068B5"/>
                <w:sz w:val="18"/>
                <w:szCs w:val="18"/>
              </w:rPr>
              <w:t>(900)</w:t>
            </w:r>
          </w:p>
        </w:tc>
        <w:tc>
          <w:tcPr>
            <w:tcW w:w="0" w:type="auto"/>
            <w:shd w:val="clear" w:color="auto" w:fill="auto"/>
            <w:tcMar>
              <w:top w:w="40" w:type="dxa"/>
              <w:left w:w="0" w:type="dxa"/>
              <w:bottom w:w="40" w:type="dxa"/>
              <w:right w:w="20" w:type="dxa"/>
            </w:tcMar>
          </w:tcPr>
          <w:p w14:paraId="39D9965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5F"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60" w14:textId="77777777" w:rsidR="00996AD7" w:rsidRDefault="00D96458">
            <w:pPr>
              <w:textAlignment w:val="top"/>
            </w:pPr>
            <w:r>
              <w:rPr>
                <w:rFonts w:ascii="Arial" w:eastAsia="宋体" w:hAnsi="Arial" w:cs="Arial"/>
                <w:color w:val="0068B5"/>
                <w:sz w:val="18"/>
                <w:szCs w:val="18"/>
              </w:rPr>
              <w:t xml:space="preserve">Higher operating expenses driven by </w:t>
            </w:r>
            <w:r>
              <w:rPr>
                <w:rFonts w:ascii="Arial" w:eastAsia="宋体" w:hAnsi="Arial" w:cs="Arial"/>
                <w:color w:val="0068B5"/>
                <w:sz w:val="18"/>
                <w:szCs w:val="18"/>
              </w:rPr>
              <w:t>increased investment in leadership products</w:t>
            </w:r>
          </w:p>
        </w:tc>
      </w:tr>
      <w:tr w:rsidR="00996AD7" w14:paraId="39D99666" w14:textId="77777777">
        <w:tc>
          <w:tcPr>
            <w:tcW w:w="0" w:type="auto"/>
            <w:gridSpan w:val="2"/>
            <w:shd w:val="clear" w:color="auto" w:fill="auto"/>
            <w:tcMar>
              <w:top w:w="40" w:type="dxa"/>
              <w:left w:w="20" w:type="dxa"/>
              <w:bottom w:w="40" w:type="dxa"/>
              <w:right w:w="0" w:type="dxa"/>
            </w:tcMar>
          </w:tcPr>
          <w:p w14:paraId="39D99662" w14:textId="77777777" w:rsidR="00996AD7" w:rsidRDefault="00D96458">
            <w:pPr>
              <w:jc w:val="right"/>
              <w:textAlignment w:val="top"/>
            </w:pPr>
            <w:r>
              <w:rPr>
                <w:rFonts w:ascii="Arial" w:eastAsia="宋体" w:hAnsi="Arial" w:cs="Arial"/>
                <w:color w:val="0068B5"/>
                <w:sz w:val="18"/>
                <w:szCs w:val="18"/>
              </w:rPr>
              <w:t>(530)</w:t>
            </w:r>
          </w:p>
        </w:tc>
        <w:tc>
          <w:tcPr>
            <w:tcW w:w="0" w:type="auto"/>
            <w:shd w:val="clear" w:color="auto" w:fill="auto"/>
            <w:tcMar>
              <w:top w:w="40" w:type="dxa"/>
              <w:left w:w="0" w:type="dxa"/>
              <w:bottom w:w="40" w:type="dxa"/>
              <w:right w:w="20" w:type="dxa"/>
            </w:tcMar>
          </w:tcPr>
          <w:p w14:paraId="39D9966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64"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65" w14:textId="77777777" w:rsidR="00996AD7" w:rsidRDefault="00D96458">
            <w:pPr>
              <w:textAlignment w:val="top"/>
            </w:pPr>
            <w:r>
              <w:rPr>
                <w:rFonts w:ascii="Arial" w:eastAsia="宋体" w:hAnsi="Arial" w:cs="Arial"/>
                <w:color w:val="0068B5"/>
                <w:sz w:val="18"/>
                <w:szCs w:val="18"/>
              </w:rPr>
              <w:t>Higher platform unit cost primarily from increased mix of 10nm SuperFin products</w:t>
            </w:r>
          </w:p>
        </w:tc>
      </w:tr>
      <w:tr w:rsidR="00996AD7" w14:paraId="39D9966B" w14:textId="77777777">
        <w:tc>
          <w:tcPr>
            <w:tcW w:w="0" w:type="auto"/>
            <w:gridSpan w:val="2"/>
            <w:shd w:val="clear" w:color="auto" w:fill="auto"/>
            <w:tcMar>
              <w:top w:w="40" w:type="dxa"/>
              <w:left w:w="20" w:type="dxa"/>
              <w:bottom w:w="40" w:type="dxa"/>
              <w:right w:w="0" w:type="dxa"/>
            </w:tcMar>
          </w:tcPr>
          <w:p w14:paraId="39D99667" w14:textId="77777777" w:rsidR="00996AD7" w:rsidRDefault="00D96458">
            <w:pPr>
              <w:jc w:val="right"/>
              <w:textAlignment w:val="top"/>
            </w:pPr>
            <w:r>
              <w:rPr>
                <w:rFonts w:ascii="Arial" w:eastAsia="宋体" w:hAnsi="Arial" w:cs="Arial"/>
                <w:color w:val="0068B5"/>
                <w:sz w:val="18"/>
                <w:szCs w:val="18"/>
              </w:rPr>
              <w:t>(390)</w:t>
            </w:r>
          </w:p>
        </w:tc>
        <w:tc>
          <w:tcPr>
            <w:tcW w:w="0" w:type="auto"/>
            <w:shd w:val="clear" w:color="auto" w:fill="auto"/>
            <w:tcMar>
              <w:top w:w="40" w:type="dxa"/>
              <w:left w:w="0" w:type="dxa"/>
              <w:bottom w:w="40" w:type="dxa"/>
              <w:right w:w="20" w:type="dxa"/>
            </w:tcMar>
          </w:tcPr>
          <w:p w14:paraId="39D9966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69"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6A" w14:textId="77777777" w:rsidR="00996AD7" w:rsidRDefault="00D96458">
            <w:pPr>
              <w:textAlignment w:val="top"/>
            </w:pPr>
            <w:r>
              <w:rPr>
                <w:rFonts w:ascii="Arial" w:eastAsia="宋体" w:hAnsi="Arial" w:cs="Arial"/>
                <w:color w:val="0068B5"/>
                <w:sz w:val="18"/>
                <w:szCs w:val="18"/>
              </w:rPr>
              <w:t>Higher period charges primarily associated with the ramp up of Intel 4</w:t>
            </w:r>
          </w:p>
        </w:tc>
      </w:tr>
      <w:tr w:rsidR="00996AD7" w14:paraId="39D99670" w14:textId="77777777">
        <w:tc>
          <w:tcPr>
            <w:tcW w:w="0" w:type="auto"/>
            <w:gridSpan w:val="2"/>
            <w:shd w:val="clear" w:color="auto" w:fill="auto"/>
            <w:tcMar>
              <w:top w:w="40" w:type="dxa"/>
              <w:left w:w="20" w:type="dxa"/>
              <w:bottom w:w="40" w:type="dxa"/>
              <w:right w:w="0" w:type="dxa"/>
            </w:tcMar>
          </w:tcPr>
          <w:p w14:paraId="39D9966C" w14:textId="77777777" w:rsidR="00996AD7" w:rsidRDefault="00D96458">
            <w:pPr>
              <w:jc w:val="right"/>
              <w:textAlignment w:val="top"/>
            </w:pPr>
            <w:r>
              <w:rPr>
                <w:rFonts w:ascii="Arial" w:eastAsia="宋体" w:hAnsi="Arial" w:cs="Arial"/>
                <w:color w:val="0068B5"/>
                <w:sz w:val="18"/>
                <w:szCs w:val="18"/>
              </w:rPr>
              <w:t>(260)</w:t>
            </w:r>
          </w:p>
        </w:tc>
        <w:tc>
          <w:tcPr>
            <w:tcW w:w="0" w:type="auto"/>
            <w:shd w:val="clear" w:color="auto" w:fill="auto"/>
            <w:tcMar>
              <w:top w:w="40" w:type="dxa"/>
              <w:left w:w="0" w:type="dxa"/>
              <w:bottom w:w="40" w:type="dxa"/>
              <w:right w:w="20" w:type="dxa"/>
            </w:tcMar>
          </w:tcPr>
          <w:p w14:paraId="39D9966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6E"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6F" w14:textId="77777777" w:rsidR="00996AD7" w:rsidRDefault="00D96458">
            <w:pPr>
              <w:textAlignment w:val="top"/>
            </w:pPr>
            <w:r>
              <w:rPr>
                <w:rFonts w:ascii="Arial" w:eastAsia="宋体" w:hAnsi="Arial" w:cs="Arial"/>
                <w:color w:val="0068B5"/>
                <w:sz w:val="18"/>
                <w:szCs w:val="18"/>
              </w:rPr>
              <w:t xml:space="preserve">Higher period charges </w:t>
            </w:r>
            <w:r>
              <w:rPr>
                <w:rFonts w:ascii="Arial" w:eastAsia="宋体" w:hAnsi="Arial" w:cs="Arial"/>
                <w:color w:val="0068B5"/>
                <w:sz w:val="18"/>
                <w:szCs w:val="18"/>
              </w:rPr>
              <w:t>primarily associated with the ramp down of 14nm</w:t>
            </w:r>
          </w:p>
        </w:tc>
      </w:tr>
      <w:tr w:rsidR="00996AD7" w14:paraId="39D99675" w14:textId="77777777">
        <w:tc>
          <w:tcPr>
            <w:tcW w:w="0" w:type="auto"/>
            <w:gridSpan w:val="2"/>
            <w:shd w:val="clear" w:color="auto" w:fill="auto"/>
            <w:tcMar>
              <w:top w:w="40" w:type="dxa"/>
              <w:left w:w="20" w:type="dxa"/>
              <w:bottom w:w="40" w:type="dxa"/>
              <w:right w:w="0" w:type="dxa"/>
            </w:tcMar>
          </w:tcPr>
          <w:p w14:paraId="39D99671" w14:textId="77777777" w:rsidR="00996AD7" w:rsidRDefault="00D96458">
            <w:pPr>
              <w:jc w:val="right"/>
              <w:textAlignment w:val="top"/>
            </w:pPr>
            <w:r>
              <w:rPr>
                <w:rFonts w:ascii="Arial" w:eastAsia="宋体" w:hAnsi="Arial" w:cs="Arial"/>
                <w:color w:val="0068B5"/>
                <w:sz w:val="18"/>
                <w:szCs w:val="18"/>
              </w:rPr>
              <w:t>285 </w:t>
            </w:r>
          </w:p>
        </w:tc>
        <w:tc>
          <w:tcPr>
            <w:tcW w:w="0" w:type="auto"/>
            <w:shd w:val="clear" w:color="auto" w:fill="auto"/>
            <w:tcMar>
              <w:top w:w="40" w:type="dxa"/>
              <w:left w:w="0" w:type="dxa"/>
              <w:bottom w:w="40" w:type="dxa"/>
              <w:right w:w="20" w:type="dxa"/>
            </w:tcMar>
          </w:tcPr>
          <w:p w14:paraId="39D9967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73"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74" w14:textId="77777777" w:rsidR="00996AD7" w:rsidRDefault="00D96458">
            <w:pPr>
              <w:textAlignment w:val="top"/>
            </w:pPr>
            <w:r>
              <w:rPr>
                <w:rFonts w:ascii="Arial" w:eastAsia="宋体" w:hAnsi="Arial" w:cs="Arial"/>
                <w:color w:val="0068B5"/>
                <w:sz w:val="18"/>
                <w:szCs w:val="18"/>
              </w:rPr>
              <w:t>Higher adjacent product margin</w:t>
            </w:r>
          </w:p>
        </w:tc>
      </w:tr>
      <w:tr w:rsidR="00996AD7" w14:paraId="39D9967A" w14:textId="77777777">
        <w:tc>
          <w:tcPr>
            <w:tcW w:w="0" w:type="auto"/>
            <w:gridSpan w:val="2"/>
            <w:shd w:val="clear" w:color="auto" w:fill="auto"/>
            <w:tcMar>
              <w:top w:w="40" w:type="dxa"/>
              <w:left w:w="20" w:type="dxa"/>
              <w:bottom w:w="40" w:type="dxa"/>
              <w:right w:w="0" w:type="dxa"/>
            </w:tcMar>
          </w:tcPr>
          <w:p w14:paraId="39D99676" w14:textId="77777777" w:rsidR="00996AD7" w:rsidRDefault="00D96458">
            <w:pPr>
              <w:jc w:val="right"/>
              <w:textAlignment w:val="top"/>
            </w:pPr>
            <w:r>
              <w:rPr>
                <w:rFonts w:ascii="Arial" w:eastAsia="宋体" w:hAnsi="Arial" w:cs="Arial"/>
                <w:color w:val="0068B5"/>
                <w:sz w:val="18"/>
                <w:szCs w:val="18"/>
              </w:rPr>
              <w:t>25 </w:t>
            </w:r>
          </w:p>
        </w:tc>
        <w:tc>
          <w:tcPr>
            <w:tcW w:w="0" w:type="auto"/>
            <w:shd w:val="clear" w:color="auto" w:fill="auto"/>
            <w:tcMar>
              <w:top w:w="40" w:type="dxa"/>
              <w:left w:w="0" w:type="dxa"/>
              <w:bottom w:w="40" w:type="dxa"/>
              <w:right w:w="20" w:type="dxa"/>
            </w:tcMar>
          </w:tcPr>
          <w:p w14:paraId="39D9967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7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79" w14:textId="77777777" w:rsidR="00996AD7" w:rsidRDefault="00D96458">
            <w:pPr>
              <w:textAlignment w:val="top"/>
            </w:pPr>
            <w:r>
              <w:rPr>
                <w:rFonts w:ascii="Arial" w:eastAsia="宋体" w:hAnsi="Arial" w:cs="Arial"/>
                <w:color w:val="0068B5"/>
                <w:sz w:val="18"/>
                <w:szCs w:val="18"/>
              </w:rPr>
              <w:t xml:space="preserve">Lower period charges driven by an absence of reserves, including reserves taken on non-qualified platform products in 2020, partially offset by other </w:t>
            </w:r>
            <w:r>
              <w:rPr>
                <w:rFonts w:ascii="Arial" w:eastAsia="宋体" w:hAnsi="Arial" w:cs="Arial"/>
                <w:color w:val="0068B5"/>
                <w:sz w:val="18"/>
                <w:szCs w:val="18"/>
              </w:rPr>
              <w:t>reserves recorded in 2021</w:t>
            </w:r>
          </w:p>
        </w:tc>
      </w:tr>
      <w:tr w:rsidR="00996AD7" w14:paraId="39D9967E" w14:textId="77777777">
        <w:trPr>
          <w:hidden/>
        </w:trPr>
        <w:tc>
          <w:tcPr>
            <w:tcW w:w="0" w:type="auto"/>
            <w:gridSpan w:val="3"/>
            <w:shd w:val="clear" w:color="auto" w:fill="auto"/>
            <w:vAlign w:val="bottom"/>
          </w:tcPr>
          <w:p w14:paraId="39D9967B" w14:textId="77777777" w:rsidR="00996AD7" w:rsidRDefault="00996AD7">
            <w:pPr>
              <w:rPr>
                <w:rFonts w:ascii="宋体"/>
                <w:vanish/>
              </w:rPr>
            </w:pPr>
          </w:p>
        </w:tc>
        <w:tc>
          <w:tcPr>
            <w:tcW w:w="0" w:type="auto"/>
            <w:gridSpan w:val="3"/>
            <w:shd w:val="clear" w:color="auto" w:fill="auto"/>
            <w:vAlign w:val="bottom"/>
          </w:tcPr>
          <w:p w14:paraId="39D9967C" w14:textId="77777777" w:rsidR="00996AD7" w:rsidRDefault="00996AD7">
            <w:pPr>
              <w:rPr>
                <w:rFonts w:ascii="宋体"/>
                <w:vanish/>
              </w:rPr>
            </w:pPr>
          </w:p>
        </w:tc>
        <w:tc>
          <w:tcPr>
            <w:tcW w:w="0" w:type="auto"/>
            <w:gridSpan w:val="3"/>
            <w:shd w:val="clear" w:color="auto" w:fill="auto"/>
            <w:vAlign w:val="bottom"/>
          </w:tcPr>
          <w:p w14:paraId="39D9967D" w14:textId="77777777" w:rsidR="00996AD7" w:rsidRDefault="00996AD7">
            <w:pPr>
              <w:rPr>
                <w:rFonts w:ascii="宋体"/>
                <w:vanish/>
              </w:rPr>
            </w:pPr>
          </w:p>
        </w:tc>
      </w:tr>
      <w:tr w:rsidR="00996AD7" w14:paraId="39D99683" w14:textId="77777777">
        <w:tc>
          <w:tcPr>
            <w:tcW w:w="0" w:type="auto"/>
            <w:gridSpan w:val="2"/>
            <w:shd w:val="clear" w:color="auto" w:fill="auto"/>
            <w:tcMar>
              <w:top w:w="40" w:type="dxa"/>
              <w:left w:w="20" w:type="dxa"/>
              <w:bottom w:w="40" w:type="dxa"/>
              <w:right w:w="0" w:type="dxa"/>
            </w:tcMar>
          </w:tcPr>
          <w:p w14:paraId="39D9967F" w14:textId="77777777" w:rsidR="00996AD7" w:rsidRDefault="00D96458">
            <w:pPr>
              <w:jc w:val="right"/>
              <w:textAlignment w:val="top"/>
            </w:pPr>
            <w:r>
              <w:rPr>
                <w:rFonts w:ascii="Arial" w:eastAsia="宋体" w:hAnsi="Arial" w:cs="Arial"/>
                <w:color w:val="0068B5"/>
                <w:sz w:val="18"/>
                <w:szCs w:val="18"/>
              </w:rPr>
              <w:t>(8)</w:t>
            </w:r>
          </w:p>
        </w:tc>
        <w:tc>
          <w:tcPr>
            <w:tcW w:w="0" w:type="auto"/>
            <w:shd w:val="clear" w:color="auto" w:fill="auto"/>
            <w:tcMar>
              <w:top w:w="40" w:type="dxa"/>
              <w:left w:w="0" w:type="dxa"/>
              <w:bottom w:w="40" w:type="dxa"/>
              <w:right w:w="20" w:type="dxa"/>
            </w:tcMar>
          </w:tcPr>
          <w:p w14:paraId="39D9968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81"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682" w14:textId="77777777" w:rsidR="00996AD7" w:rsidRDefault="00D96458">
            <w:pPr>
              <w:textAlignment w:val="top"/>
            </w:pPr>
            <w:r>
              <w:rPr>
                <w:rFonts w:ascii="Arial" w:eastAsia="宋体" w:hAnsi="Arial" w:cs="Arial"/>
                <w:color w:val="0068B5"/>
                <w:sz w:val="18"/>
                <w:szCs w:val="18"/>
              </w:rPr>
              <w:t>Other</w:t>
            </w:r>
          </w:p>
        </w:tc>
      </w:tr>
      <w:tr w:rsidR="00996AD7" w14:paraId="39D99689"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39D99684"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39D99685" w14:textId="77777777" w:rsidR="00996AD7" w:rsidRDefault="00D96458">
            <w:pPr>
              <w:jc w:val="right"/>
              <w:textAlignment w:val="bottom"/>
            </w:pPr>
            <w:r>
              <w:rPr>
                <w:rFonts w:ascii="Arial" w:eastAsia="宋体" w:hAnsi="Arial" w:cs="Arial"/>
                <w:b/>
                <w:bCs/>
                <w:color w:val="262626"/>
                <w:sz w:val="18"/>
                <w:szCs w:val="18"/>
              </w:rPr>
              <w:t>8,494</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39D9968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687" w14:textId="77777777" w:rsidR="00996AD7" w:rsidRDefault="00996AD7">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39D99688" w14:textId="77777777" w:rsidR="00996AD7" w:rsidRDefault="00D96458">
            <w:pPr>
              <w:textAlignment w:val="bottom"/>
            </w:pPr>
            <w:r>
              <w:rPr>
                <w:rFonts w:ascii="Arial" w:eastAsia="宋体" w:hAnsi="Arial" w:cs="Arial"/>
                <w:b/>
                <w:bCs/>
                <w:color w:val="262626"/>
                <w:sz w:val="18"/>
                <w:szCs w:val="18"/>
              </w:rPr>
              <w:t>YTD 2020 DCG Operating Income</w:t>
            </w:r>
          </w:p>
        </w:tc>
      </w:tr>
    </w:tbl>
    <w:p w14:paraId="39D9968A"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996AD7" w14:paraId="39D99694" w14:textId="77777777">
        <w:tc>
          <w:tcPr>
            <w:tcW w:w="50" w:type="pct"/>
            <w:shd w:val="clear" w:color="auto" w:fill="auto"/>
            <w:vAlign w:val="bottom"/>
          </w:tcPr>
          <w:p w14:paraId="39D9968B" w14:textId="77777777" w:rsidR="00996AD7" w:rsidRDefault="00996AD7">
            <w:pPr>
              <w:rPr>
                <w:rFonts w:ascii="宋体"/>
              </w:rPr>
            </w:pPr>
          </w:p>
        </w:tc>
        <w:tc>
          <w:tcPr>
            <w:tcW w:w="220" w:type="pct"/>
            <w:shd w:val="clear" w:color="auto" w:fill="auto"/>
            <w:vAlign w:val="bottom"/>
          </w:tcPr>
          <w:p w14:paraId="39D9968C" w14:textId="77777777" w:rsidR="00996AD7" w:rsidRDefault="00996AD7">
            <w:pPr>
              <w:rPr>
                <w:rFonts w:ascii="宋体"/>
              </w:rPr>
            </w:pPr>
          </w:p>
        </w:tc>
        <w:tc>
          <w:tcPr>
            <w:tcW w:w="5" w:type="pct"/>
            <w:shd w:val="clear" w:color="auto" w:fill="auto"/>
            <w:vAlign w:val="bottom"/>
          </w:tcPr>
          <w:p w14:paraId="39D9968D" w14:textId="77777777" w:rsidR="00996AD7" w:rsidRDefault="00996AD7">
            <w:pPr>
              <w:rPr>
                <w:rFonts w:ascii="宋体"/>
              </w:rPr>
            </w:pPr>
          </w:p>
        </w:tc>
        <w:tc>
          <w:tcPr>
            <w:tcW w:w="50" w:type="pct"/>
            <w:shd w:val="clear" w:color="auto" w:fill="auto"/>
            <w:vAlign w:val="bottom"/>
          </w:tcPr>
          <w:p w14:paraId="39D9968E" w14:textId="77777777" w:rsidR="00996AD7" w:rsidRDefault="00996AD7">
            <w:pPr>
              <w:rPr>
                <w:rFonts w:ascii="宋体"/>
              </w:rPr>
            </w:pPr>
          </w:p>
        </w:tc>
        <w:tc>
          <w:tcPr>
            <w:tcW w:w="2572" w:type="pct"/>
            <w:shd w:val="clear" w:color="auto" w:fill="auto"/>
            <w:vAlign w:val="bottom"/>
          </w:tcPr>
          <w:p w14:paraId="39D9968F" w14:textId="77777777" w:rsidR="00996AD7" w:rsidRDefault="00996AD7">
            <w:pPr>
              <w:rPr>
                <w:rFonts w:ascii="宋体"/>
              </w:rPr>
            </w:pPr>
          </w:p>
        </w:tc>
        <w:tc>
          <w:tcPr>
            <w:tcW w:w="5" w:type="pct"/>
            <w:shd w:val="clear" w:color="auto" w:fill="auto"/>
            <w:vAlign w:val="bottom"/>
          </w:tcPr>
          <w:p w14:paraId="39D99690" w14:textId="77777777" w:rsidR="00996AD7" w:rsidRDefault="00996AD7">
            <w:pPr>
              <w:rPr>
                <w:rFonts w:ascii="宋体"/>
              </w:rPr>
            </w:pPr>
          </w:p>
        </w:tc>
        <w:tc>
          <w:tcPr>
            <w:tcW w:w="50" w:type="pct"/>
            <w:shd w:val="clear" w:color="auto" w:fill="auto"/>
            <w:vAlign w:val="bottom"/>
          </w:tcPr>
          <w:p w14:paraId="39D99691" w14:textId="77777777" w:rsidR="00996AD7" w:rsidRDefault="00996AD7">
            <w:pPr>
              <w:rPr>
                <w:rFonts w:ascii="宋体"/>
              </w:rPr>
            </w:pPr>
          </w:p>
        </w:tc>
        <w:tc>
          <w:tcPr>
            <w:tcW w:w="2042" w:type="pct"/>
            <w:shd w:val="clear" w:color="auto" w:fill="auto"/>
            <w:vAlign w:val="bottom"/>
          </w:tcPr>
          <w:p w14:paraId="39D99692" w14:textId="77777777" w:rsidR="00996AD7" w:rsidRDefault="00996AD7">
            <w:pPr>
              <w:rPr>
                <w:rFonts w:ascii="宋体"/>
              </w:rPr>
            </w:pPr>
          </w:p>
        </w:tc>
        <w:tc>
          <w:tcPr>
            <w:tcW w:w="5" w:type="pct"/>
            <w:shd w:val="clear" w:color="auto" w:fill="auto"/>
            <w:vAlign w:val="bottom"/>
          </w:tcPr>
          <w:p w14:paraId="39D99693" w14:textId="77777777" w:rsidR="00996AD7" w:rsidRDefault="00996AD7">
            <w:pPr>
              <w:rPr>
                <w:rFonts w:ascii="宋体"/>
              </w:rPr>
            </w:pPr>
          </w:p>
        </w:tc>
      </w:tr>
      <w:tr w:rsidR="00996AD7" w14:paraId="39D9969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695"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EF" wp14:editId="39D9A3F0">
                  <wp:extent cx="304800" cy="304800"/>
                  <wp:effectExtent l="0" t="0" r="0" b="0"/>
                  <wp:docPr id="95" name="图片 99"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9"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696"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697" w14:textId="77777777" w:rsidR="00996AD7" w:rsidRDefault="00D96458">
            <w:pPr>
              <w:jc w:val="right"/>
              <w:textAlignment w:val="center"/>
            </w:pPr>
            <w:r>
              <w:rPr>
                <w:rFonts w:ascii="Arial" w:eastAsia="宋体" w:hAnsi="Arial" w:cs="Arial"/>
                <w:color w:val="262626"/>
                <w:sz w:val="16"/>
                <w:szCs w:val="16"/>
              </w:rPr>
              <w:t>28</w:t>
            </w:r>
          </w:p>
        </w:tc>
      </w:tr>
    </w:tbl>
    <w:p w14:paraId="39D99699" w14:textId="77777777" w:rsidR="00996AD7" w:rsidRDefault="00D96458">
      <w:r>
        <w:pict w14:anchorId="39D9A3F1">
          <v:rect id="_x0000_i1054" style="width:415.3pt;height:1.5pt" o:hralign="center" o:hrstd="t" o:hr="t" fillcolor="#a0a0a0" stroked="f"/>
        </w:pict>
      </w:r>
    </w:p>
    <w:p w14:paraId="39D9969A" w14:textId="77777777" w:rsidR="00996AD7" w:rsidRDefault="00D96458">
      <w:pPr>
        <w:spacing w:after="180"/>
        <w:jc w:val="right"/>
      </w:pPr>
      <w:hyperlink r:id="rId55" w:anchor="i94e6cc3aa83643b8b968bd5bab038338_7" w:history="1">
        <w:r>
          <w:rPr>
            <w:rStyle w:val="a5"/>
            <w:rFonts w:ascii="Arial" w:eastAsia="宋体" w:hAnsi="Arial" w:cs="Arial"/>
            <w:b/>
            <w:bCs/>
            <w:color w:val="0068B5"/>
            <w:sz w:val="16"/>
            <w:szCs w:val="16"/>
          </w:rPr>
          <w:t>Table of Contents</w:t>
        </w:r>
      </w:hyperlink>
    </w:p>
    <w:p w14:paraId="39D9969B" w14:textId="77777777" w:rsidR="00996AD7" w:rsidRDefault="00996AD7">
      <w:pPr>
        <w:spacing w:after="180"/>
        <w:jc w:val="right"/>
      </w:pPr>
    </w:p>
    <w:p w14:paraId="39D9969C" w14:textId="77777777" w:rsidR="00996AD7" w:rsidRDefault="00D96458">
      <w:pPr>
        <w:spacing w:after="180"/>
      </w:pPr>
      <w:r>
        <w:rPr>
          <w:rFonts w:ascii="Arial" w:eastAsia="宋体" w:hAnsi="Arial" w:cs="Arial"/>
          <w:color w:val="0068B5"/>
          <w:sz w:val="28"/>
          <w:szCs w:val="28"/>
        </w:rPr>
        <w:t>Internet of Things</w:t>
      </w:r>
    </w:p>
    <w:p w14:paraId="39D9969D" w14:textId="77777777" w:rsidR="00996AD7" w:rsidRDefault="00D96458">
      <w:pPr>
        <w:spacing w:after="180"/>
      </w:pPr>
      <w:r>
        <w:rPr>
          <w:rFonts w:ascii="Arial" w:eastAsia="宋体" w:hAnsi="Arial" w:cs="Arial"/>
          <w:color w:val="262626"/>
          <w:sz w:val="18"/>
          <w:szCs w:val="18"/>
        </w:rPr>
        <w:t>More industries are harnessing the power of data to create busine</w:t>
      </w:r>
      <w:r>
        <w:rPr>
          <w:rFonts w:ascii="Arial" w:eastAsia="宋体" w:hAnsi="Arial" w:cs="Arial"/>
          <w:color w:val="262626"/>
          <w:sz w:val="18"/>
          <w:szCs w:val="18"/>
        </w:rPr>
        <w:t>ss value, innovate, and grow. This requires that intelligence move closer to the edge, allowing data to be acted on where it is created. Working with our partners, we are using our architecture, accelerators, and software to develop and scale a growing Int</w:t>
      </w:r>
      <w:r>
        <w:rPr>
          <w:rFonts w:ascii="Arial" w:eastAsia="宋体" w:hAnsi="Arial" w:cs="Arial"/>
          <w:color w:val="262626"/>
          <w:sz w:val="18"/>
          <w:szCs w:val="18"/>
        </w:rPr>
        <w:t>ernet of Things portfolio and ecosystem. Our Internet of Things portfolio is comprised of our IOTG and Mobileye businesses.</w:t>
      </w:r>
    </w:p>
    <w:p w14:paraId="39D9969E" w14:textId="77777777" w:rsidR="00996AD7" w:rsidRDefault="00D96458">
      <w:pPr>
        <w:spacing w:after="180"/>
      </w:pPr>
      <w:r>
        <w:rPr>
          <w:rFonts w:ascii="Arial" w:eastAsia="宋体" w:hAnsi="Arial" w:cs="Arial"/>
          <w:color w:val="262626"/>
          <w:sz w:val="18"/>
          <w:szCs w:val="18"/>
        </w:rPr>
        <w:t>IOTG develops high-performance compute platforms that solve for technology and business use cases that can scale across vertical ind</w:t>
      </w:r>
      <w:r>
        <w:rPr>
          <w:rFonts w:ascii="Arial" w:eastAsia="宋体" w:hAnsi="Arial" w:cs="Arial"/>
          <w:color w:val="262626"/>
          <w:sz w:val="18"/>
          <w:szCs w:val="18"/>
        </w:rPr>
        <w:t>ustries and embedded markets. Our customers include retailers, manufacturers, health and life sciences, governments, and education providers. We reduce complexity in the ecosystem with a common architecture and software to help enable our customers to crea</w:t>
      </w:r>
      <w:r>
        <w:rPr>
          <w:rFonts w:ascii="Arial" w:eastAsia="宋体" w:hAnsi="Arial" w:cs="Arial"/>
          <w:color w:val="262626"/>
          <w:sz w:val="18"/>
          <w:szCs w:val="18"/>
        </w:rPr>
        <w:t>te and process data at the edge to analyze it faster and to act on it sooner.</w:t>
      </w:r>
    </w:p>
    <w:p w14:paraId="39D9969F" w14:textId="77777777" w:rsidR="00996AD7" w:rsidRDefault="00D96458">
      <w:pPr>
        <w:spacing w:after="180"/>
      </w:pPr>
      <w:r>
        <w:rPr>
          <w:rFonts w:ascii="Arial" w:eastAsia="宋体" w:hAnsi="Arial" w:cs="Arial"/>
          <w:color w:val="262626"/>
          <w:sz w:val="18"/>
          <w:szCs w:val="18"/>
        </w:rPr>
        <w:t>Mobileye is the global leader in driving assistance and self-driving solutions. Our product portfolio employs a broad set of technologies, covering computer vision and machine le</w:t>
      </w:r>
      <w:r>
        <w:rPr>
          <w:rFonts w:ascii="Arial" w:eastAsia="宋体" w:hAnsi="Arial" w:cs="Arial"/>
          <w:color w:val="262626"/>
          <w:sz w:val="18"/>
          <w:szCs w:val="18"/>
        </w:rPr>
        <w:t>arning-based sensing, data analysis, localization, mapping, and driving policy technology for ADAS and AVs. Mobileye's ADAS products form the building blocks for higher levels of autonomy. Our customers and strategic partners include major global OEMs, Tie</w:t>
      </w:r>
      <w:r>
        <w:rPr>
          <w:rFonts w:ascii="Arial" w:eastAsia="宋体" w:hAnsi="Arial" w:cs="Arial"/>
          <w:color w:val="262626"/>
          <w:sz w:val="18"/>
          <w:szCs w:val="18"/>
        </w:rPr>
        <w:t xml:space="preserve">r 1 automotive system integrators, fleet managers, and transportation operators. </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996AD7" w14:paraId="39D996AC" w14:textId="77777777">
        <w:tc>
          <w:tcPr>
            <w:tcW w:w="20" w:type="dxa"/>
            <w:shd w:val="clear" w:color="auto" w:fill="auto"/>
            <w:vAlign w:val="bottom"/>
          </w:tcPr>
          <w:p w14:paraId="39D996A0" w14:textId="77777777" w:rsidR="00996AD7" w:rsidRDefault="00996AD7">
            <w:pPr>
              <w:rPr>
                <w:rFonts w:ascii="宋体"/>
              </w:rPr>
            </w:pPr>
          </w:p>
        </w:tc>
        <w:tc>
          <w:tcPr>
            <w:tcW w:w="80" w:type="dxa"/>
            <w:shd w:val="clear" w:color="auto" w:fill="auto"/>
            <w:vAlign w:val="bottom"/>
          </w:tcPr>
          <w:p w14:paraId="39D996A1" w14:textId="77777777" w:rsidR="00996AD7" w:rsidRDefault="00996AD7">
            <w:pPr>
              <w:rPr>
                <w:rFonts w:ascii="宋体"/>
              </w:rPr>
            </w:pPr>
          </w:p>
        </w:tc>
        <w:tc>
          <w:tcPr>
            <w:tcW w:w="20" w:type="dxa"/>
            <w:shd w:val="clear" w:color="auto" w:fill="auto"/>
            <w:vAlign w:val="bottom"/>
          </w:tcPr>
          <w:p w14:paraId="39D996A2" w14:textId="77777777" w:rsidR="00996AD7" w:rsidRDefault="00996AD7">
            <w:pPr>
              <w:rPr>
                <w:rFonts w:ascii="宋体"/>
              </w:rPr>
            </w:pPr>
          </w:p>
        </w:tc>
        <w:tc>
          <w:tcPr>
            <w:tcW w:w="20" w:type="dxa"/>
            <w:shd w:val="clear" w:color="auto" w:fill="auto"/>
            <w:vAlign w:val="bottom"/>
          </w:tcPr>
          <w:p w14:paraId="39D996A3" w14:textId="77777777" w:rsidR="00996AD7" w:rsidRDefault="00996AD7">
            <w:pPr>
              <w:rPr>
                <w:rFonts w:ascii="宋体"/>
              </w:rPr>
            </w:pPr>
          </w:p>
        </w:tc>
        <w:tc>
          <w:tcPr>
            <w:tcW w:w="5165" w:type="dxa"/>
            <w:shd w:val="clear" w:color="auto" w:fill="auto"/>
            <w:vAlign w:val="bottom"/>
          </w:tcPr>
          <w:p w14:paraId="39D996A4" w14:textId="77777777" w:rsidR="00996AD7" w:rsidRDefault="00996AD7">
            <w:pPr>
              <w:rPr>
                <w:rFonts w:ascii="宋体"/>
              </w:rPr>
            </w:pPr>
          </w:p>
        </w:tc>
        <w:tc>
          <w:tcPr>
            <w:tcW w:w="20" w:type="dxa"/>
            <w:shd w:val="clear" w:color="auto" w:fill="auto"/>
            <w:vAlign w:val="bottom"/>
          </w:tcPr>
          <w:p w14:paraId="39D996A5" w14:textId="77777777" w:rsidR="00996AD7" w:rsidRDefault="00996AD7">
            <w:pPr>
              <w:rPr>
                <w:rFonts w:ascii="宋体"/>
              </w:rPr>
            </w:pPr>
          </w:p>
        </w:tc>
        <w:tc>
          <w:tcPr>
            <w:tcW w:w="20" w:type="dxa"/>
            <w:shd w:val="clear" w:color="auto" w:fill="auto"/>
            <w:vAlign w:val="bottom"/>
          </w:tcPr>
          <w:p w14:paraId="39D996A6" w14:textId="77777777" w:rsidR="00996AD7" w:rsidRDefault="00996AD7">
            <w:pPr>
              <w:rPr>
                <w:rFonts w:ascii="宋体"/>
              </w:rPr>
            </w:pPr>
          </w:p>
        </w:tc>
        <w:tc>
          <w:tcPr>
            <w:tcW w:w="260" w:type="dxa"/>
            <w:shd w:val="clear" w:color="auto" w:fill="auto"/>
            <w:vAlign w:val="bottom"/>
          </w:tcPr>
          <w:p w14:paraId="39D996A7" w14:textId="77777777" w:rsidR="00996AD7" w:rsidRDefault="00996AD7">
            <w:pPr>
              <w:rPr>
                <w:rFonts w:ascii="宋体"/>
              </w:rPr>
            </w:pPr>
          </w:p>
        </w:tc>
        <w:tc>
          <w:tcPr>
            <w:tcW w:w="20" w:type="dxa"/>
            <w:shd w:val="clear" w:color="auto" w:fill="auto"/>
            <w:vAlign w:val="bottom"/>
          </w:tcPr>
          <w:p w14:paraId="39D996A8" w14:textId="77777777" w:rsidR="00996AD7" w:rsidRDefault="00996AD7">
            <w:pPr>
              <w:rPr>
                <w:rFonts w:ascii="宋体"/>
              </w:rPr>
            </w:pPr>
          </w:p>
        </w:tc>
        <w:tc>
          <w:tcPr>
            <w:tcW w:w="20" w:type="dxa"/>
            <w:shd w:val="clear" w:color="auto" w:fill="auto"/>
            <w:vAlign w:val="bottom"/>
          </w:tcPr>
          <w:p w14:paraId="39D996A9" w14:textId="77777777" w:rsidR="00996AD7" w:rsidRDefault="00996AD7">
            <w:pPr>
              <w:rPr>
                <w:rFonts w:ascii="宋体"/>
              </w:rPr>
            </w:pPr>
          </w:p>
        </w:tc>
        <w:tc>
          <w:tcPr>
            <w:tcW w:w="5165" w:type="dxa"/>
            <w:shd w:val="clear" w:color="auto" w:fill="auto"/>
            <w:vAlign w:val="bottom"/>
          </w:tcPr>
          <w:p w14:paraId="39D996AA" w14:textId="77777777" w:rsidR="00996AD7" w:rsidRDefault="00996AD7">
            <w:pPr>
              <w:rPr>
                <w:rFonts w:ascii="宋体"/>
              </w:rPr>
            </w:pPr>
          </w:p>
        </w:tc>
        <w:tc>
          <w:tcPr>
            <w:tcW w:w="20" w:type="dxa"/>
            <w:shd w:val="clear" w:color="auto" w:fill="auto"/>
            <w:vAlign w:val="bottom"/>
          </w:tcPr>
          <w:p w14:paraId="39D996AB" w14:textId="77777777" w:rsidR="00996AD7" w:rsidRDefault="00996AD7">
            <w:pPr>
              <w:rPr>
                <w:rFonts w:ascii="宋体"/>
              </w:rPr>
            </w:pPr>
          </w:p>
        </w:tc>
      </w:tr>
      <w:tr w:rsidR="00996AD7" w14:paraId="39D996B1" w14:textId="77777777">
        <w:trPr>
          <w:trHeight w:val="280"/>
        </w:trPr>
        <w:tc>
          <w:tcPr>
            <w:tcW w:w="0" w:type="auto"/>
            <w:gridSpan w:val="3"/>
            <w:shd w:val="clear" w:color="auto" w:fill="auto"/>
            <w:tcMar>
              <w:top w:w="0" w:type="dxa"/>
              <w:left w:w="20" w:type="dxa"/>
              <w:bottom w:w="0" w:type="dxa"/>
              <w:right w:w="20" w:type="dxa"/>
            </w:tcMar>
            <w:vAlign w:val="bottom"/>
          </w:tcPr>
          <w:p w14:paraId="39D996AD"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6AE" w14:textId="77777777" w:rsidR="00996AD7" w:rsidRDefault="00D96458">
            <w:pPr>
              <w:jc w:val="center"/>
              <w:textAlignment w:val="bottom"/>
            </w:pPr>
            <w:r>
              <w:rPr>
                <w:rFonts w:ascii="Arial" w:eastAsia="宋体" w:hAnsi="Arial" w:cs="Arial"/>
                <w:color w:val="0068B5"/>
                <w:sz w:val="20"/>
                <w:szCs w:val="20"/>
              </w:rPr>
              <w:t>Internet of Things Revenue $B</w:t>
            </w:r>
          </w:p>
        </w:tc>
        <w:tc>
          <w:tcPr>
            <w:tcW w:w="0" w:type="auto"/>
            <w:gridSpan w:val="3"/>
            <w:shd w:val="clear" w:color="auto" w:fill="auto"/>
            <w:tcMar>
              <w:top w:w="0" w:type="dxa"/>
              <w:left w:w="20" w:type="dxa"/>
              <w:bottom w:w="0" w:type="dxa"/>
              <w:right w:w="20" w:type="dxa"/>
            </w:tcMar>
            <w:vAlign w:val="bottom"/>
          </w:tcPr>
          <w:p w14:paraId="39D996AF"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6B0" w14:textId="77777777" w:rsidR="00996AD7" w:rsidRDefault="00D96458">
            <w:pPr>
              <w:jc w:val="center"/>
              <w:textAlignment w:val="bottom"/>
            </w:pPr>
            <w:r>
              <w:rPr>
                <w:rFonts w:ascii="Arial" w:eastAsia="宋体" w:hAnsi="Arial" w:cs="Arial"/>
                <w:color w:val="0068B5"/>
                <w:sz w:val="20"/>
                <w:szCs w:val="20"/>
              </w:rPr>
              <w:t>Internet of Things Operating Income $B</w:t>
            </w:r>
          </w:p>
        </w:tc>
      </w:tr>
    </w:tbl>
    <w:p w14:paraId="39D996B2"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F2" wp14:editId="39D9A3F3">
            <wp:extent cx="304800" cy="304800"/>
            <wp:effectExtent l="0" t="0" r="0" b="0"/>
            <wp:docPr id="45" name="图片 101"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1" descr="IMG_29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Viewer5_files/intc-20210</w:instrText>
      </w:r>
      <w:r>
        <w:rPr>
          <w:rFonts w:ascii="宋体" w:eastAsia="宋体" w:hAnsi="宋体" w:cs="宋体"/>
        </w:rPr>
        <w:instrText xml:space="preserve">925_g12.jpg"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F4" wp14:editId="39D9A3F5">
            <wp:extent cx="304800" cy="304800"/>
            <wp:effectExtent l="0" t="0" r="0" b="0"/>
            <wp:docPr id="99" name="图片 10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2" descr="IMG_29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37"/>
        <w:gridCol w:w="1490"/>
        <w:gridCol w:w="36"/>
        <w:gridCol w:w="36"/>
        <w:gridCol w:w="1194"/>
        <w:gridCol w:w="36"/>
        <w:gridCol w:w="36"/>
        <w:gridCol w:w="1260"/>
        <w:gridCol w:w="36"/>
        <w:gridCol w:w="36"/>
        <w:gridCol w:w="1359"/>
        <w:gridCol w:w="36"/>
        <w:gridCol w:w="36"/>
        <w:gridCol w:w="1185"/>
        <w:gridCol w:w="36"/>
        <w:gridCol w:w="36"/>
        <w:gridCol w:w="1383"/>
        <w:gridCol w:w="36"/>
        <w:gridCol w:w="36"/>
        <w:gridCol w:w="1274"/>
        <w:gridCol w:w="36"/>
        <w:gridCol w:w="36"/>
        <w:gridCol w:w="1228"/>
        <w:gridCol w:w="36"/>
      </w:tblGrid>
      <w:tr w:rsidR="00996AD7" w14:paraId="39D996CB" w14:textId="77777777">
        <w:tc>
          <w:tcPr>
            <w:tcW w:w="20" w:type="dxa"/>
            <w:shd w:val="clear" w:color="auto" w:fill="auto"/>
            <w:vAlign w:val="bottom"/>
          </w:tcPr>
          <w:p w14:paraId="39D996B3" w14:textId="77777777" w:rsidR="00996AD7" w:rsidRDefault="00996AD7">
            <w:pPr>
              <w:rPr>
                <w:rFonts w:ascii="宋体"/>
              </w:rPr>
            </w:pPr>
          </w:p>
        </w:tc>
        <w:tc>
          <w:tcPr>
            <w:tcW w:w="1535" w:type="dxa"/>
            <w:shd w:val="clear" w:color="auto" w:fill="auto"/>
            <w:vAlign w:val="bottom"/>
          </w:tcPr>
          <w:p w14:paraId="39D996B4" w14:textId="77777777" w:rsidR="00996AD7" w:rsidRDefault="00996AD7">
            <w:pPr>
              <w:rPr>
                <w:rFonts w:ascii="宋体"/>
              </w:rPr>
            </w:pPr>
          </w:p>
        </w:tc>
        <w:tc>
          <w:tcPr>
            <w:tcW w:w="20" w:type="dxa"/>
            <w:shd w:val="clear" w:color="auto" w:fill="auto"/>
            <w:vAlign w:val="bottom"/>
          </w:tcPr>
          <w:p w14:paraId="39D996B5" w14:textId="77777777" w:rsidR="00996AD7" w:rsidRDefault="00996AD7">
            <w:pPr>
              <w:rPr>
                <w:rFonts w:ascii="宋体"/>
              </w:rPr>
            </w:pPr>
          </w:p>
        </w:tc>
        <w:tc>
          <w:tcPr>
            <w:tcW w:w="20" w:type="dxa"/>
            <w:shd w:val="clear" w:color="auto" w:fill="auto"/>
            <w:vAlign w:val="bottom"/>
          </w:tcPr>
          <w:p w14:paraId="39D996B6" w14:textId="77777777" w:rsidR="00996AD7" w:rsidRDefault="00996AD7">
            <w:pPr>
              <w:rPr>
                <w:rFonts w:ascii="宋体"/>
              </w:rPr>
            </w:pPr>
          </w:p>
        </w:tc>
        <w:tc>
          <w:tcPr>
            <w:tcW w:w="1220" w:type="dxa"/>
            <w:shd w:val="clear" w:color="auto" w:fill="auto"/>
            <w:vAlign w:val="bottom"/>
          </w:tcPr>
          <w:p w14:paraId="39D996B7" w14:textId="77777777" w:rsidR="00996AD7" w:rsidRDefault="00996AD7">
            <w:pPr>
              <w:rPr>
                <w:rFonts w:ascii="宋体"/>
              </w:rPr>
            </w:pPr>
          </w:p>
        </w:tc>
        <w:tc>
          <w:tcPr>
            <w:tcW w:w="20" w:type="dxa"/>
            <w:shd w:val="clear" w:color="auto" w:fill="auto"/>
            <w:vAlign w:val="bottom"/>
          </w:tcPr>
          <w:p w14:paraId="39D996B8" w14:textId="77777777" w:rsidR="00996AD7" w:rsidRDefault="00996AD7">
            <w:pPr>
              <w:rPr>
                <w:rFonts w:ascii="宋体"/>
              </w:rPr>
            </w:pPr>
          </w:p>
        </w:tc>
        <w:tc>
          <w:tcPr>
            <w:tcW w:w="20" w:type="dxa"/>
            <w:shd w:val="clear" w:color="auto" w:fill="auto"/>
            <w:vAlign w:val="bottom"/>
          </w:tcPr>
          <w:p w14:paraId="39D996B9" w14:textId="77777777" w:rsidR="00996AD7" w:rsidRDefault="00996AD7">
            <w:pPr>
              <w:rPr>
                <w:rFonts w:ascii="宋体"/>
              </w:rPr>
            </w:pPr>
          </w:p>
        </w:tc>
        <w:tc>
          <w:tcPr>
            <w:tcW w:w="1280" w:type="dxa"/>
            <w:shd w:val="clear" w:color="auto" w:fill="auto"/>
            <w:vAlign w:val="bottom"/>
          </w:tcPr>
          <w:p w14:paraId="39D996BA" w14:textId="77777777" w:rsidR="00996AD7" w:rsidRDefault="00996AD7">
            <w:pPr>
              <w:rPr>
                <w:rFonts w:ascii="宋体"/>
              </w:rPr>
            </w:pPr>
          </w:p>
        </w:tc>
        <w:tc>
          <w:tcPr>
            <w:tcW w:w="20" w:type="dxa"/>
            <w:shd w:val="clear" w:color="auto" w:fill="auto"/>
            <w:vAlign w:val="bottom"/>
          </w:tcPr>
          <w:p w14:paraId="39D996BB" w14:textId="77777777" w:rsidR="00996AD7" w:rsidRDefault="00996AD7">
            <w:pPr>
              <w:rPr>
                <w:rFonts w:ascii="宋体"/>
              </w:rPr>
            </w:pPr>
          </w:p>
        </w:tc>
        <w:tc>
          <w:tcPr>
            <w:tcW w:w="20" w:type="dxa"/>
            <w:shd w:val="clear" w:color="auto" w:fill="auto"/>
            <w:vAlign w:val="bottom"/>
          </w:tcPr>
          <w:p w14:paraId="39D996BC" w14:textId="77777777" w:rsidR="00996AD7" w:rsidRDefault="00996AD7">
            <w:pPr>
              <w:rPr>
                <w:rFonts w:ascii="宋体"/>
              </w:rPr>
            </w:pPr>
          </w:p>
        </w:tc>
        <w:tc>
          <w:tcPr>
            <w:tcW w:w="1400" w:type="dxa"/>
            <w:shd w:val="clear" w:color="auto" w:fill="auto"/>
            <w:vAlign w:val="bottom"/>
          </w:tcPr>
          <w:p w14:paraId="39D996BD" w14:textId="77777777" w:rsidR="00996AD7" w:rsidRDefault="00996AD7">
            <w:pPr>
              <w:rPr>
                <w:rFonts w:ascii="宋体"/>
              </w:rPr>
            </w:pPr>
          </w:p>
        </w:tc>
        <w:tc>
          <w:tcPr>
            <w:tcW w:w="20" w:type="dxa"/>
            <w:shd w:val="clear" w:color="auto" w:fill="auto"/>
            <w:vAlign w:val="bottom"/>
          </w:tcPr>
          <w:p w14:paraId="39D996BE" w14:textId="77777777" w:rsidR="00996AD7" w:rsidRDefault="00996AD7">
            <w:pPr>
              <w:rPr>
                <w:rFonts w:ascii="宋体"/>
              </w:rPr>
            </w:pPr>
          </w:p>
        </w:tc>
        <w:tc>
          <w:tcPr>
            <w:tcW w:w="20" w:type="dxa"/>
            <w:shd w:val="clear" w:color="auto" w:fill="auto"/>
            <w:vAlign w:val="bottom"/>
          </w:tcPr>
          <w:p w14:paraId="39D996BF" w14:textId="77777777" w:rsidR="00996AD7" w:rsidRDefault="00996AD7">
            <w:pPr>
              <w:rPr>
                <w:rFonts w:ascii="宋体"/>
              </w:rPr>
            </w:pPr>
          </w:p>
        </w:tc>
        <w:tc>
          <w:tcPr>
            <w:tcW w:w="1220" w:type="dxa"/>
            <w:shd w:val="clear" w:color="auto" w:fill="auto"/>
            <w:vAlign w:val="bottom"/>
          </w:tcPr>
          <w:p w14:paraId="39D996C0" w14:textId="77777777" w:rsidR="00996AD7" w:rsidRDefault="00996AD7">
            <w:pPr>
              <w:rPr>
                <w:rFonts w:ascii="宋体"/>
              </w:rPr>
            </w:pPr>
          </w:p>
        </w:tc>
        <w:tc>
          <w:tcPr>
            <w:tcW w:w="20" w:type="dxa"/>
            <w:shd w:val="clear" w:color="auto" w:fill="auto"/>
            <w:vAlign w:val="bottom"/>
          </w:tcPr>
          <w:p w14:paraId="39D996C1" w14:textId="77777777" w:rsidR="00996AD7" w:rsidRDefault="00996AD7">
            <w:pPr>
              <w:rPr>
                <w:rFonts w:ascii="宋体"/>
              </w:rPr>
            </w:pPr>
          </w:p>
        </w:tc>
        <w:tc>
          <w:tcPr>
            <w:tcW w:w="20" w:type="dxa"/>
            <w:shd w:val="clear" w:color="auto" w:fill="auto"/>
            <w:vAlign w:val="bottom"/>
          </w:tcPr>
          <w:p w14:paraId="39D996C2" w14:textId="77777777" w:rsidR="00996AD7" w:rsidRDefault="00996AD7">
            <w:pPr>
              <w:rPr>
                <w:rFonts w:ascii="宋体"/>
              </w:rPr>
            </w:pPr>
          </w:p>
        </w:tc>
        <w:tc>
          <w:tcPr>
            <w:tcW w:w="1415" w:type="dxa"/>
            <w:shd w:val="clear" w:color="auto" w:fill="auto"/>
            <w:vAlign w:val="bottom"/>
          </w:tcPr>
          <w:p w14:paraId="39D996C3" w14:textId="77777777" w:rsidR="00996AD7" w:rsidRDefault="00996AD7">
            <w:pPr>
              <w:rPr>
                <w:rFonts w:ascii="宋体"/>
              </w:rPr>
            </w:pPr>
          </w:p>
        </w:tc>
        <w:tc>
          <w:tcPr>
            <w:tcW w:w="20" w:type="dxa"/>
            <w:shd w:val="clear" w:color="auto" w:fill="auto"/>
            <w:vAlign w:val="bottom"/>
          </w:tcPr>
          <w:p w14:paraId="39D996C4" w14:textId="77777777" w:rsidR="00996AD7" w:rsidRDefault="00996AD7">
            <w:pPr>
              <w:rPr>
                <w:rFonts w:ascii="宋体"/>
              </w:rPr>
            </w:pPr>
          </w:p>
        </w:tc>
        <w:tc>
          <w:tcPr>
            <w:tcW w:w="20" w:type="dxa"/>
            <w:shd w:val="clear" w:color="auto" w:fill="auto"/>
            <w:vAlign w:val="bottom"/>
          </w:tcPr>
          <w:p w14:paraId="39D996C5" w14:textId="77777777" w:rsidR="00996AD7" w:rsidRDefault="00996AD7">
            <w:pPr>
              <w:rPr>
                <w:rFonts w:ascii="宋体"/>
              </w:rPr>
            </w:pPr>
          </w:p>
        </w:tc>
        <w:tc>
          <w:tcPr>
            <w:tcW w:w="1295" w:type="dxa"/>
            <w:shd w:val="clear" w:color="auto" w:fill="auto"/>
            <w:vAlign w:val="bottom"/>
          </w:tcPr>
          <w:p w14:paraId="39D996C6" w14:textId="77777777" w:rsidR="00996AD7" w:rsidRDefault="00996AD7">
            <w:pPr>
              <w:rPr>
                <w:rFonts w:ascii="宋体"/>
              </w:rPr>
            </w:pPr>
          </w:p>
        </w:tc>
        <w:tc>
          <w:tcPr>
            <w:tcW w:w="20" w:type="dxa"/>
            <w:shd w:val="clear" w:color="auto" w:fill="auto"/>
            <w:vAlign w:val="bottom"/>
          </w:tcPr>
          <w:p w14:paraId="39D996C7" w14:textId="77777777" w:rsidR="00996AD7" w:rsidRDefault="00996AD7">
            <w:pPr>
              <w:rPr>
                <w:rFonts w:ascii="宋体"/>
              </w:rPr>
            </w:pPr>
          </w:p>
        </w:tc>
        <w:tc>
          <w:tcPr>
            <w:tcW w:w="20" w:type="dxa"/>
            <w:shd w:val="clear" w:color="auto" w:fill="auto"/>
            <w:vAlign w:val="bottom"/>
          </w:tcPr>
          <w:p w14:paraId="39D996C8" w14:textId="77777777" w:rsidR="00996AD7" w:rsidRDefault="00996AD7">
            <w:pPr>
              <w:rPr>
                <w:rFonts w:ascii="宋体"/>
              </w:rPr>
            </w:pPr>
          </w:p>
        </w:tc>
        <w:tc>
          <w:tcPr>
            <w:tcW w:w="1265" w:type="dxa"/>
            <w:shd w:val="clear" w:color="auto" w:fill="auto"/>
            <w:vAlign w:val="bottom"/>
          </w:tcPr>
          <w:p w14:paraId="39D996C9" w14:textId="77777777" w:rsidR="00996AD7" w:rsidRDefault="00996AD7">
            <w:pPr>
              <w:rPr>
                <w:rFonts w:ascii="宋体"/>
              </w:rPr>
            </w:pPr>
          </w:p>
        </w:tc>
        <w:tc>
          <w:tcPr>
            <w:tcW w:w="20" w:type="dxa"/>
            <w:shd w:val="clear" w:color="auto" w:fill="auto"/>
            <w:vAlign w:val="bottom"/>
          </w:tcPr>
          <w:p w14:paraId="39D996CA" w14:textId="77777777" w:rsidR="00996AD7" w:rsidRDefault="00996AD7">
            <w:pPr>
              <w:rPr>
                <w:rFonts w:ascii="宋体"/>
              </w:rPr>
            </w:pPr>
          </w:p>
        </w:tc>
      </w:tr>
      <w:tr w:rsidR="00996AD7" w14:paraId="39D996D4" w14:textId="77777777">
        <w:trPr>
          <w:trHeight w:val="300"/>
        </w:trPr>
        <w:tc>
          <w:tcPr>
            <w:tcW w:w="0" w:type="auto"/>
            <w:gridSpan w:val="3"/>
            <w:shd w:val="clear" w:color="auto" w:fill="auto"/>
            <w:tcMar>
              <w:top w:w="0" w:type="dxa"/>
              <w:left w:w="20" w:type="dxa"/>
              <w:bottom w:w="0" w:type="dxa"/>
              <w:right w:w="20" w:type="dxa"/>
            </w:tcMar>
            <w:vAlign w:val="bottom"/>
          </w:tcPr>
          <w:p w14:paraId="39D996C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center"/>
          </w:tcPr>
          <w:p w14:paraId="39D996CD" w14:textId="77777777" w:rsidR="00996AD7" w:rsidRDefault="00D96458">
            <w:pPr>
              <w:jc w:val="center"/>
              <w:textAlignment w:val="center"/>
            </w:pPr>
            <w:r>
              <w:rPr>
                <w:rFonts w:ascii="Arial" w:eastAsia="宋体" w:hAnsi="Arial" w:cs="Arial"/>
                <w:color w:val="004A86"/>
                <w:sz w:val="16"/>
                <w:szCs w:val="16"/>
              </w:rPr>
              <w:t>■</w:t>
            </w:r>
            <w:r>
              <w:rPr>
                <w:rFonts w:ascii="Arial" w:eastAsia="宋体" w:hAnsi="Arial" w:cs="Arial"/>
                <w:color w:val="262626"/>
                <w:sz w:val="16"/>
                <w:szCs w:val="16"/>
              </w:rPr>
              <w:t xml:space="preserve"> IOTG </w:t>
            </w:r>
          </w:p>
        </w:tc>
        <w:tc>
          <w:tcPr>
            <w:tcW w:w="0" w:type="auto"/>
            <w:gridSpan w:val="3"/>
            <w:shd w:val="clear" w:color="auto" w:fill="auto"/>
            <w:tcMar>
              <w:top w:w="40" w:type="dxa"/>
              <w:left w:w="20" w:type="dxa"/>
              <w:bottom w:w="40" w:type="dxa"/>
              <w:right w:w="20" w:type="dxa"/>
            </w:tcMar>
            <w:vAlign w:val="center"/>
          </w:tcPr>
          <w:p w14:paraId="39D996CE" w14:textId="77777777" w:rsidR="00996AD7" w:rsidRDefault="00D96458">
            <w:pPr>
              <w:textAlignment w:val="center"/>
            </w:pPr>
            <w:r>
              <w:rPr>
                <w:rFonts w:ascii="Arial" w:eastAsia="宋体" w:hAnsi="Arial" w:cs="Arial"/>
                <w:color w:val="00A3F6"/>
                <w:sz w:val="16"/>
                <w:szCs w:val="16"/>
              </w:rPr>
              <w:t>■</w:t>
            </w:r>
            <w:r>
              <w:rPr>
                <w:rFonts w:ascii="Arial" w:eastAsia="宋体" w:hAnsi="Arial" w:cs="Arial"/>
                <w:color w:val="262626"/>
                <w:sz w:val="16"/>
                <w:szCs w:val="16"/>
              </w:rPr>
              <w:t xml:space="preserve"> Mobileye</w:t>
            </w:r>
          </w:p>
        </w:tc>
        <w:tc>
          <w:tcPr>
            <w:tcW w:w="0" w:type="auto"/>
            <w:gridSpan w:val="3"/>
            <w:shd w:val="clear" w:color="auto" w:fill="auto"/>
            <w:tcMar>
              <w:top w:w="0" w:type="dxa"/>
              <w:left w:w="20" w:type="dxa"/>
              <w:bottom w:w="0" w:type="dxa"/>
              <w:right w:w="20" w:type="dxa"/>
            </w:tcMar>
            <w:vAlign w:val="bottom"/>
          </w:tcPr>
          <w:p w14:paraId="39D996C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6D0"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center"/>
          </w:tcPr>
          <w:p w14:paraId="39D996D1" w14:textId="77777777" w:rsidR="00996AD7" w:rsidRDefault="00D96458">
            <w:pPr>
              <w:jc w:val="center"/>
              <w:textAlignment w:val="center"/>
            </w:pPr>
            <w:r>
              <w:rPr>
                <w:rFonts w:ascii="Arial" w:eastAsia="宋体" w:hAnsi="Arial" w:cs="Arial"/>
                <w:color w:val="004A86"/>
                <w:sz w:val="16"/>
                <w:szCs w:val="16"/>
              </w:rPr>
              <w:t>■</w:t>
            </w:r>
            <w:r>
              <w:rPr>
                <w:rFonts w:ascii="Arial" w:eastAsia="宋体" w:hAnsi="Arial" w:cs="Arial"/>
                <w:color w:val="262626"/>
                <w:sz w:val="16"/>
                <w:szCs w:val="16"/>
              </w:rPr>
              <w:t xml:space="preserve"> IOTG </w:t>
            </w:r>
          </w:p>
        </w:tc>
        <w:tc>
          <w:tcPr>
            <w:tcW w:w="0" w:type="auto"/>
            <w:gridSpan w:val="3"/>
            <w:shd w:val="clear" w:color="auto" w:fill="auto"/>
            <w:tcMar>
              <w:top w:w="40" w:type="dxa"/>
              <w:left w:w="20" w:type="dxa"/>
              <w:bottom w:w="40" w:type="dxa"/>
              <w:right w:w="20" w:type="dxa"/>
            </w:tcMar>
            <w:vAlign w:val="center"/>
          </w:tcPr>
          <w:p w14:paraId="39D996D2" w14:textId="77777777" w:rsidR="00996AD7" w:rsidRDefault="00D96458">
            <w:pPr>
              <w:textAlignment w:val="center"/>
            </w:pPr>
            <w:r>
              <w:rPr>
                <w:rFonts w:ascii="Arial" w:eastAsia="宋体" w:hAnsi="Arial" w:cs="Arial"/>
                <w:color w:val="00A3F6"/>
                <w:sz w:val="16"/>
                <w:szCs w:val="16"/>
              </w:rPr>
              <w:t>■</w:t>
            </w:r>
            <w:r>
              <w:rPr>
                <w:rFonts w:ascii="Arial" w:eastAsia="宋体" w:hAnsi="Arial" w:cs="Arial"/>
                <w:color w:val="262626"/>
                <w:sz w:val="16"/>
                <w:szCs w:val="16"/>
              </w:rPr>
              <w:t xml:space="preserve"> Mobileye</w:t>
            </w:r>
          </w:p>
        </w:tc>
        <w:tc>
          <w:tcPr>
            <w:tcW w:w="0" w:type="auto"/>
            <w:gridSpan w:val="3"/>
            <w:shd w:val="clear" w:color="auto" w:fill="auto"/>
            <w:tcMar>
              <w:top w:w="0" w:type="dxa"/>
              <w:left w:w="20" w:type="dxa"/>
              <w:bottom w:w="0" w:type="dxa"/>
              <w:right w:w="20" w:type="dxa"/>
            </w:tcMar>
            <w:vAlign w:val="bottom"/>
          </w:tcPr>
          <w:p w14:paraId="39D996D3" w14:textId="77777777" w:rsidR="00996AD7" w:rsidRDefault="00996AD7">
            <w:pPr>
              <w:rPr>
                <w:rFonts w:ascii="宋体"/>
              </w:rPr>
            </w:pPr>
          </w:p>
        </w:tc>
      </w:tr>
    </w:tbl>
    <w:p w14:paraId="39D996D5"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6D9" w14:textId="77777777">
        <w:tc>
          <w:tcPr>
            <w:tcW w:w="50" w:type="pct"/>
            <w:shd w:val="clear" w:color="auto" w:fill="auto"/>
            <w:vAlign w:val="bottom"/>
          </w:tcPr>
          <w:p w14:paraId="39D996D6" w14:textId="77777777" w:rsidR="00996AD7" w:rsidRDefault="00996AD7">
            <w:pPr>
              <w:rPr>
                <w:rFonts w:ascii="宋体"/>
              </w:rPr>
            </w:pPr>
          </w:p>
        </w:tc>
        <w:tc>
          <w:tcPr>
            <w:tcW w:w="4945" w:type="pct"/>
            <w:shd w:val="clear" w:color="auto" w:fill="auto"/>
            <w:vAlign w:val="bottom"/>
          </w:tcPr>
          <w:p w14:paraId="39D996D7" w14:textId="77777777" w:rsidR="00996AD7" w:rsidRDefault="00996AD7">
            <w:pPr>
              <w:rPr>
                <w:rFonts w:ascii="宋体"/>
              </w:rPr>
            </w:pPr>
          </w:p>
        </w:tc>
        <w:tc>
          <w:tcPr>
            <w:tcW w:w="5" w:type="pct"/>
            <w:shd w:val="clear" w:color="auto" w:fill="auto"/>
            <w:vAlign w:val="bottom"/>
          </w:tcPr>
          <w:p w14:paraId="39D996D8" w14:textId="77777777" w:rsidR="00996AD7" w:rsidRDefault="00996AD7">
            <w:pPr>
              <w:rPr>
                <w:rFonts w:ascii="宋体"/>
              </w:rPr>
            </w:pPr>
          </w:p>
        </w:tc>
      </w:tr>
      <w:tr w:rsidR="00996AD7" w14:paraId="39D996DB"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6DA" w14:textId="77777777" w:rsidR="00996AD7" w:rsidRDefault="00D96458">
            <w:pPr>
              <w:textAlignment w:val="bottom"/>
            </w:pPr>
            <w:r>
              <w:rPr>
                <w:rFonts w:ascii="Arial" w:eastAsia="宋体" w:hAnsi="Arial" w:cs="Arial"/>
                <w:color w:val="0068B5"/>
                <w:sz w:val="20"/>
                <w:szCs w:val="20"/>
              </w:rPr>
              <w:t>Revenue and Operating Income Summary</w:t>
            </w:r>
          </w:p>
        </w:tc>
      </w:tr>
    </w:tbl>
    <w:p w14:paraId="39D996DC"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6E0" w14:textId="77777777">
        <w:tc>
          <w:tcPr>
            <w:tcW w:w="50" w:type="pct"/>
            <w:shd w:val="clear" w:color="auto" w:fill="auto"/>
            <w:vAlign w:val="bottom"/>
          </w:tcPr>
          <w:p w14:paraId="39D996DD" w14:textId="77777777" w:rsidR="00996AD7" w:rsidRDefault="00996AD7">
            <w:pPr>
              <w:rPr>
                <w:rFonts w:ascii="宋体"/>
              </w:rPr>
            </w:pPr>
          </w:p>
        </w:tc>
        <w:tc>
          <w:tcPr>
            <w:tcW w:w="4945" w:type="pct"/>
            <w:shd w:val="clear" w:color="auto" w:fill="auto"/>
            <w:vAlign w:val="bottom"/>
          </w:tcPr>
          <w:p w14:paraId="39D996DE" w14:textId="77777777" w:rsidR="00996AD7" w:rsidRDefault="00996AD7">
            <w:pPr>
              <w:rPr>
                <w:rFonts w:ascii="宋体"/>
              </w:rPr>
            </w:pPr>
          </w:p>
        </w:tc>
        <w:tc>
          <w:tcPr>
            <w:tcW w:w="5" w:type="pct"/>
            <w:shd w:val="clear" w:color="auto" w:fill="auto"/>
            <w:vAlign w:val="bottom"/>
          </w:tcPr>
          <w:p w14:paraId="39D996DF" w14:textId="77777777" w:rsidR="00996AD7" w:rsidRDefault="00996AD7">
            <w:pPr>
              <w:rPr>
                <w:rFonts w:ascii="宋体"/>
              </w:rPr>
            </w:pPr>
          </w:p>
        </w:tc>
      </w:tr>
      <w:tr w:rsidR="00996AD7" w14:paraId="39D996E2"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6E1" w14:textId="77777777" w:rsidR="00996AD7" w:rsidRDefault="00D96458">
            <w:pPr>
              <w:textAlignment w:val="bottom"/>
            </w:pPr>
            <w:r>
              <w:rPr>
                <w:rFonts w:ascii="Arial" w:eastAsia="宋体" w:hAnsi="Arial" w:cs="Arial"/>
                <w:color w:val="0068B5"/>
                <w:sz w:val="20"/>
                <w:szCs w:val="20"/>
              </w:rPr>
              <w:t>Q3 2021 vs. Q3 2020</w:t>
            </w:r>
          </w:p>
        </w:tc>
      </w:tr>
    </w:tbl>
    <w:p w14:paraId="39D996E3" w14:textId="77777777" w:rsidR="00996AD7" w:rsidRDefault="00D96458">
      <w:pPr>
        <w:spacing w:after="180"/>
      </w:pPr>
      <w:r>
        <w:rPr>
          <w:rFonts w:ascii="Arial" w:eastAsia="宋体" w:hAnsi="Arial" w:cs="Arial"/>
          <w:color w:val="262626"/>
          <w:sz w:val="18"/>
          <w:szCs w:val="18"/>
        </w:rPr>
        <w:t xml:space="preserve">IOTG revenue was $1.0 billion, up $365 million, driven by higher demand for IOTG platform products amid recovery from the economic impacts of COVID-19. Operating income was $276 million, up $215 million year over year. </w:t>
      </w:r>
    </w:p>
    <w:p w14:paraId="39D996E4" w14:textId="77777777" w:rsidR="00996AD7" w:rsidRDefault="00D96458">
      <w:pPr>
        <w:spacing w:after="180"/>
      </w:pPr>
      <w:r>
        <w:rPr>
          <w:rFonts w:ascii="Arial" w:eastAsia="宋体" w:hAnsi="Arial" w:cs="Arial"/>
          <w:color w:val="262626"/>
          <w:sz w:val="18"/>
          <w:szCs w:val="18"/>
        </w:rPr>
        <w:t>Mobileye revenue was $326 million, u</w:t>
      </w:r>
      <w:r>
        <w:rPr>
          <w:rFonts w:ascii="Arial" w:eastAsia="宋体" w:hAnsi="Arial" w:cs="Arial"/>
          <w:color w:val="262626"/>
          <w:sz w:val="18"/>
          <w:szCs w:val="18"/>
        </w:rPr>
        <w:t xml:space="preserve">p $92 million driven by improvement in global vehicle production year over year. Operating income was $105 million, up $58 million year over year.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6E8" w14:textId="77777777">
        <w:tc>
          <w:tcPr>
            <w:tcW w:w="50" w:type="pct"/>
            <w:shd w:val="clear" w:color="auto" w:fill="auto"/>
            <w:vAlign w:val="bottom"/>
          </w:tcPr>
          <w:p w14:paraId="39D996E5" w14:textId="77777777" w:rsidR="00996AD7" w:rsidRDefault="00996AD7">
            <w:pPr>
              <w:rPr>
                <w:rFonts w:ascii="宋体"/>
              </w:rPr>
            </w:pPr>
          </w:p>
        </w:tc>
        <w:tc>
          <w:tcPr>
            <w:tcW w:w="4945" w:type="pct"/>
            <w:shd w:val="clear" w:color="auto" w:fill="auto"/>
            <w:vAlign w:val="bottom"/>
          </w:tcPr>
          <w:p w14:paraId="39D996E6" w14:textId="77777777" w:rsidR="00996AD7" w:rsidRDefault="00996AD7">
            <w:pPr>
              <w:rPr>
                <w:rFonts w:ascii="宋体"/>
              </w:rPr>
            </w:pPr>
          </w:p>
        </w:tc>
        <w:tc>
          <w:tcPr>
            <w:tcW w:w="5" w:type="pct"/>
            <w:shd w:val="clear" w:color="auto" w:fill="auto"/>
            <w:vAlign w:val="bottom"/>
          </w:tcPr>
          <w:p w14:paraId="39D996E7" w14:textId="77777777" w:rsidR="00996AD7" w:rsidRDefault="00996AD7">
            <w:pPr>
              <w:rPr>
                <w:rFonts w:ascii="宋体"/>
              </w:rPr>
            </w:pPr>
          </w:p>
        </w:tc>
      </w:tr>
      <w:tr w:rsidR="00996AD7" w14:paraId="39D996EA" w14:textId="77777777">
        <w:tc>
          <w:tcPr>
            <w:tcW w:w="0" w:type="auto"/>
            <w:gridSpan w:val="3"/>
            <w:tcBorders>
              <w:bottom w:val="single" w:sz="8" w:space="0" w:color="929292"/>
            </w:tcBorders>
            <w:shd w:val="clear" w:color="auto" w:fill="auto"/>
            <w:tcMar>
              <w:top w:w="40" w:type="dxa"/>
              <w:left w:w="20" w:type="dxa"/>
              <w:bottom w:w="40" w:type="dxa"/>
              <w:right w:w="20" w:type="dxa"/>
            </w:tcMar>
            <w:vAlign w:val="bottom"/>
          </w:tcPr>
          <w:p w14:paraId="39D996E9" w14:textId="77777777" w:rsidR="00996AD7" w:rsidRDefault="00D96458">
            <w:pPr>
              <w:textAlignment w:val="bottom"/>
            </w:pPr>
            <w:r>
              <w:rPr>
                <w:rFonts w:ascii="Arial" w:eastAsia="宋体" w:hAnsi="Arial" w:cs="Arial"/>
                <w:color w:val="0068B5"/>
                <w:sz w:val="20"/>
                <w:szCs w:val="20"/>
              </w:rPr>
              <w:t>YTD 2021 vs. YTD 2020</w:t>
            </w:r>
          </w:p>
        </w:tc>
      </w:tr>
    </w:tbl>
    <w:p w14:paraId="39D996EB" w14:textId="77777777" w:rsidR="00996AD7" w:rsidRDefault="00D96458">
      <w:pPr>
        <w:spacing w:after="180"/>
      </w:pPr>
      <w:r>
        <w:rPr>
          <w:rFonts w:ascii="Arial" w:eastAsia="宋体" w:hAnsi="Arial" w:cs="Arial"/>
          <w:color w:val="262626"/>
          <w:sz w:val="18"/>
          <w:szCs w:val="18"/>
        </w:rPr>
        <w:t xml:space="preserve">IOTG revenue was $2.9 billion, up $710 million, driven by higher demand for IOTG platform products amid recovery from the economic impacts of COVID-19, partially offset by lower ASPs. Operating income was $775 million, up $401 million. </w:t>
      </w:r>
    </w:p>
    <w:p w14:paraId="39D996EC" w14:textId="77777777" w:rsidR="00996AD7" w:rsidRDefault="00D96458">
      <w:pPr>
        <w:spacing w:after="180"/>
      </w:pPr>
      <w:r>
        <w:rPr>
          <w:rFonts w:ascii="Arial" w:eastAsia="宋体" w:hAnsi="Arial" w:cs="Arial"/>
          <w:color w:val="262626"/>
          <w:sz w:val="18"/>
          <w:szCs w:val="18"/>
        </w:rPr>
        <w:t>Mobileye revenue wa</w:t>
      </w:r>
      <w:r>
        <w:rPr>
          <w:rFonts w:ascii="Arial" w:eastAsia="宋体" w:hAnsi="Arial" w:cs="Arial"/>
          <w:color w:val="262626"/>
          <w:sz w:val="18"/>
          <w:szCs w:val="18"/>
        </w:rPr>
        <w:t xml:space="preserve">s $1.0 billion, up $396 million, driven by improvement in global vehicle production compared to the same period in 2020. Operating income was $361 million, up $230 million. </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996AD7" w14:paraId="39D996F6" w14:textId="77777777">
        <w:tc>
          <w:tcPr>
            <w:tcW w:w="50" w:type="pct"/>
            <w:shd w:val="clear" w:color="auto" w:fill="auto"/>
            <w:vAlign w:val="bottom"/>
          </w:tcPr>
          <w:p w14:paraId="39D996ED" w14:textId="77777777" w:rsidR="00996AD7" w:rsidRDefault="00996AD7">
            <w:pPr>
              <w:rPr>
                <w:rFonts w:ascii="宋体"/>
              </w:rPr>
            </w:pPr>
          </w:p>
        </w:tc>
        <w:tc>
          <w:tcPr>
            <w:tcW w:w="212" w:type="pct"/>
            <w:shd w:val="clear" w:color="auto" w:fill="auto"/>
            <w:vAlign w:val="bottom"/>
          </w:tcPr>
          <w:p w14:paraId="39D996EE" w14:textId="77777777" w:rsidR="00996AD7" w:rsidRDefault="00996AD7">
            <w:pPr>
              <w:rPr>
                <w:rFonts w:ascii="宋体"/>
              </w:rPr>
            </w:pPr>
          </w:p>
        </w:tc>
        <w:tc>
          <w:tcPr>
            <w:tcW w:w="5" w:type="pct"/>
            <w:shd w:val="clear" w:color="auto" w:fill="auto"/>
            <w:vAlign w:val="bottom"/>
          </w:tcPr>
          <w:p w14:paraId="39D996EF" w14:textId="77777777" w:rsidR="00996AD7" w:rsidRDefault="00996AD7">
            <w:pPr>
              <w:rPr>
                <w:rFonts w:ascii="宋体"/>
              </w:rPr>
            </w:pPr>
          </w:p>
        </w:tc>
        <w:tc>
          <w:tcPr>
            <w:tcW w:w="50" w:type="pct"/>
            <w:shd w:val="clear" w:color="auto" w:fill="auto"/>
            <w:vAlign w:val="bottom"/>
          </w:tcPr>
          <w:p w14:paraId="39D996F0" w14:textId="77777777" w:rsidR="00996AD7" w:rsidRDefault="00996AD7">
            <w:pPr>
              <w:rPr>
                <w:rFonts w:ascii="宋体"/>
              </w:rPr>
            </w:pPr>
          </w:p>
        </w:tc>
        <w:tc>
          <w:tcPr>
            <w:tcW w:w="2499" w:type="pct"/>
            <w:shd w:val="clear" w:color="auto" w:fill="auto"/>
            <w:vAlign w:val="bottom"/>
          </w:tcPr>
          <w:p w14:paraId="39D996F1" w14:textId="77777777" w:rsidR="00996AD7" w:rsidRDefault="00996AD7">
            <w:pPr>
              <w:rPr>
                <w:rFonts w:ascii="宋体"/>
              </w:rPr>
            </w:pPr>
          </w:p>
        </w:tc>
        <w:tc>
          <w:tcPr>
            <w:tcW w:w="5" w:type="pct"/>
            <w:shd w:val="clear" w:color="auto" w:fill="auto"/>
            <w:vAlign w:val="bottom"/>
          </w:tcPr>
          <w:p w14:paraId="39D996F2" w14:textId="77777777" w:rsidR="00996AD7" w:rsidRDefault="00996AD7">
            <w:pPr>
              <w:rPr>
                <w:rFonts w:ascii="宋体"/>
              </w:rPr>
            </w:pPr>
          </w:p>
        </w:tc>
        <w:tc>
          <w:tcPr>
            <w:tcW w:w="50" w:type="pct"/>
            <w:shd w:val="clear" w:color="auto" w:fill="auto"/>
            <w:vAlign w:val="bottom"/>
          </w:tcPr>
          <w:p w14:paraId="39D996F3" w14:textId="77777777" w:rsidR="00996AD7" w:rsidRDefault="00996AD7">
            <w:pPr>
              <w:rPr>
                <w:rFonts w:ascii="宋体"/>
              </w:rPr>
            </w:pPr>
          </w:p>
        </w:tc>
        <w:tc>
          <w:tcPr>
            <w:tcW w:w="2122" w:type="pct"/>
            <w:shd w:val="clear" w:color="auto" w:fill="auto"/>
            <w:vAlign w:val="bottom"/>
          </w:tcPr>
          <w:p w14:paraId="39D996F4" w14:textId="77777777" w:rsidR="00996AD7" w:rsidRDefault="00996AD7">
            <w:pPr>
              <w:rPr>
                <w:rFonts w:ascii="宋体"/>
              </w:rPr>
            </w:pPr>
          </w:p>
        </w:tc>
        <w:tc>
          <w:tcPr>
            <w:tcW w:w="5" w:type="pct"/>
            <w:shd w:val="clear" w:color="auto" w:fill="auto"/>
            <w:vAlign w:val="bottom"/>
          </w:tcPr>
          <w:p w14:paraId="39D996F5" w14:textId="77777777" w:rsidR="00996AD7" w:rsidRDefault="00996AD7">
            <w:pPr>
              <w:rPr>
                <w:rFonts w:ascii="宋体"/>
              </w:rPr>
            </w:pPr>
          </w:p>
        </w:tc>
      </w:tr>
      <w:tr w:rsidR="00996AD7" w14:paraId="39D996F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6F7"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F6" wp14:editId="39D9A3F7">
                  <wp:extent cx="304800" cy="304800"/>
                  <wp:effectExtent l="0" t="0" r="0" b="0"/>
                  <wp:docPr id="52" name="图片 103"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3"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6F8"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6F9" w14:textId="77777777" w:rsidR="00996AD7" w:rsidRDefault="00D96458">
            <w:pPr>
              <w:jc w:val="right"/>
              <w:textAlignment w:val="center"/>
            </w:pPr>
            <w:r>
              <w:rPr>
                <w:rFonts w:ascii="Arial" w:eastAsia="宋体" w:hAnsi="Arial" w:cs="Arial"/>
                <w:color w:val="262626"/>
                <w:sz w:val="16"/>
                <w:szCs w:val="16"/>
              </w:rPr>
              <w:t>29</w:t>
            </w:r>
          </w:p>
        </w:tc>
      </w:tr>
    </w:tbl>
    <w:p w14:paraId="39D996FB" w14:textId="77777777" w:rsidR="00996AD7" w:rsidRDefault="00D96458">
      <w:r>
        <w:pict w14:anchorId="39D9A3F8">
          <v:rect id="_x0000_i1055" style="width:415.3pt;height:1.5pt" o:hralign="center" o:hrstd="t" o:hr="t" fillcolor="#a0a0a0" stroked="f"/>
        </w:pict>
      </w:r>
    </w:p>
    <w:p w14:paraId="39D996FC" w14:textId="77777777" w:rsidR="00996AD7" w:rsidRDefault="00D96458">
      <w:pPr>
        <w:spacing w:after="180"/>
        <w:jc w:val="right"/>
      </w:pPr>
      <w:hyperlink r:id="rId56" w:anchor="i94e6cc3aa83643b8b968bd5bab038338_7" w:history="1">
        <w:r>
          <w:rPr>
            <w:rStyle w:val="a5"/>
            <w:rFonts w:ascii="Arial" w:eastAsia="宋体" w:hAnsi="Arial" w:cs="Arial"/>
            <w:b/>
            <w:bCs/>
            <w:color w:val="0068B5"/>
            <w:sz w:val="16"/>
            <w:szCs w:val="16"/>
          </w:rPr>
          <w:t>Table of Contents</w:t>
        </w:r>
      </w:hyperlink>
    </w:p>
    <w:p w14:paraId="39D996FD" w14:textId="77777777" w:rsidR="00996AD7" w:rsidRDefault="00996AD7">
      <w:pPr>
        <w:spacing w:after="180"/>
        <w:jc w:val="right"/>
      </w:pPr>
    </w:p>
    <w:p w14:paraId="39D996FE" w14:textId="77777777" w:rsidR="00996AD7" w:rsidRDefault="00D96458">
      <w:pPr>
        <w:spacing w:after="180"/>
      </w:pPr>
      <w:r>
        <w:rPr>
          <w:rFonts w:ascii="Arial" w:eastAsia="宋体" w:hAnsi="Arial" w:cs="Arial"/>
          <w:color w:val="0068B5"/>
          <w:sz w:val="28"/>
          <w:szCs w:val="28"/>
        </w:rPr>
        <w:t>Non-Volatile Memory Solutions Group</w:t>
      </w:r>
    </w:p>
    <w:p w14:paraId="39D996FF" w14:textId="77777777" w:rsidR="00996AD7" w:rsidRDefault="00D96458">
      <w:pPr>
        <w:spacing w:after="180"/>
      </w:pPr>
      <w:r>
        <w:rPr>
          <w:rFonts w:ascii="Arial" w:eastAsia="宋体" w:hAnsi="Arial" w:cs="Arial"/>
          <w:color w:val="262626"/>
          <w:sz w:val="18"/>
          <w:szCs w:val="18"/>
        </w:rPr>
        <w:t xml:space="preserve">On October 19, 2020, we signed an </w:t>
      </w:r>
      <w:r>
        <w:rPr>
          <w:rFonts w:ascii="Arial" w:eastAsia="宋体" w:hAnsi="Arial" w:cs="Arial"/>
          <w:color w:val="262626"/>
          <w:sz w:val="18"/>
          <w:szCs w:val="18"/>
        </w:rPr>
        <w:t>agreement with SK hynix Inc. (SK hynix) to divest our NAND memory business. The transaction will occur over two closings as described in detail in "Note 8: Acquisitions and Divestitures" in Notes to Consolidated Condensed Financial Statements.</w:t>
      </w:r>
    </w:p>
    <w:p w14:paraId="39D99700" w14:textId="77777777" w:rsidR="00996AD7" w:rsidRDefault="00D96458">
      <w:pPr>
        <w:spacing w:after="180"/>
      </w:pPr>
      <w:r>
        <w:rPr>
          <w:rFonts w:ascii="Arial" w:eastAsia="宋体" w:hAnsi="Arial" w:cs="Arial"/>
          <w:color w:val="262626"/>
          <w:sz w:val="18"/>
          <w:szCs w:val="18"/>
        </w:rPr>
        <w:t>Our NAND bus</w:t>
      </w:r>
      <w:r>
        <w:rPr>
          <w:rFonts w:ascii="Arial" w:eastAsia="宋体" w:hAnsi="Arial" w:cs="Arial"/>
          <w:color w:val="262626"/>
          <w:sz w:val="18"/>
          <w:szCs w:val="18"/>
        </w:rPr>
        <w:t>iness continues to develop storage solutions using our innovative Intel</w:t>
      </w:r>
      <w:r>
        <w:rPr>
          <w:rFonts w:ascii="Arial" w:eastAsia="宋体" w:hAnsi="Arial" w:cs="Arial"/>
          <w:color w:val="262626"/>
          <w:sz w:val="11"/>
          <w:szCs w:val="11"/>
        </w:rPr>
        <w:t>®</w:t>
      </w:r>
      <w:r>
        <w:rPr>
          <w:rFonts w:ascii="Arial" w:eastAsia="宋体" w:hAnsi="Arial" w:cs="Arial"/>
          <w:color w:val="262626"/>
          <w:sz w:val="18"/>
          <w:szCs w:val="18"/>
        </w:rPr>
        <w:t xml:space="preserve"> 3D NAND Technology. Our data center products are optimized to deliver world-class performance and drive lower total cost of ownership, and our client SSDs provide a fast and productiv</w:t>
      </w:r>
      <w:r>
        <w:rPr>
          <w:rFonts w:ascii="Arial" w:eastAsia="宋体" w:hAnsi="Arial" w:cs="Arial"/>
          <w:color w:val="262626"/>
          <w:sz w:val="18"/>
          <w:szCs w:val="18"/>
        </w:rPr>
        <w:t>e computing environment for a variety of segments. Our Intel Optane memory business is expressly excluded from the sale to SK hynix, and beginning in 2021, the results of our Intel Optane memory business are included in our DCG operating segment, and our N</w:t>
      </w:r>
      <w:r>
        <w:rPr>
          <w:rFonts w:ascii="Arial" w:eastAsia="宋体" w:hAnsi="Arial" w:cs="Arial"/>
          <w:color w:val="262626"/>
          <w:sz w:val="18"/>
          <w:szCs w:val="18"/>
        </w:rPr>
        <w:t xml:space="preserve">SG operating segment is composed entirely of our NAND memory business. </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996AD7" w14:paraId="39D9970D" w14:textId="77777777">
        <w:tc>
          <w:tcPr>
            <w:tcW w:w="20" w:type="dxa"/>
            <w:shd w:val="clear" w:color="auto" w:fill="auto"/>
            <w:vAlign w:val="bottom"/>
          </w:tcPr>
          <w:p w14:paraId="39D99701" w14:textId="77777777" w:rsidR="00996AD7" w:rsidRDefault="00996AD7">
            <w:pPr>
              <w:rPr>
                <w:rFonts w:ascii="宋体"/>
              </w:rPr>
            </w:pPr>
          </w:p>
        </w:tc>
        <w:tc>
          <w:tcPr>
            <w:tcW w:w="80" w:type="dxa"/>
            <w:shd w:val="clear" w:color="auto" w:fill="auto"/>
            <w:vAlign w:val="bottom"/>
          </w:tcPr>
          <w:p w14:paraId="39D99702" w14:textId="77777777" w:rsidR="00996AD7" w:rsidRDefault="00996AD7">
            <w:pPr>
              <w:rPr>
                <w:rFonts w:ascii="宋体"/>
              </w:rPr>
            </w:pPr>
          </w:p>
        </w:tc>
        <w:tc>
          <w:tcPr>
            <w:tcW w:w="20" w:type="dxa"/>
            <w:shd w:val="clear" w:color="auto" w:fill="auto"/>
            <w:vAlign w:val="bottom"/>
          </w:tcPr>
          <w:p w14:paraId="39D99703" w14:textId="77777777" w:rsidR="00996AD7" w:rsidRDefault="00996AD7">
            <w:pPr>
              <w:rPr>
                <w:rFonts w:ascii="宋体"/>
              </w:rPr>
            </w:pPr>
          </w:p>
        </w:tc>
        <w:tc>
          <w:tcPr>
            <w:tcW w:w="20" w:type="dxa"/>
            <w:shd w:val="clear" w:color="auto" w:fill="auto"/>
            <w:vAlign w:val="bottom"/>
          </w:tcPr>
          <w:p w14:paraId="39D99704" w14:textId="77777777" w:rsidR="00996AD7" w:rsidRDefault="00996AD7">
            <w:pPr>
              <w:rPr>
                <w:rFonts w:ascii="宋体"/>
              </w:rPr>
            </w:pPr>
          </w:p>
        </w:tc>
        <w:tc>
          <w:tcPr>
            <w:tcW w:w="5165" w:type="dxa"/>
            <w:shd w:val="clear" w:color="auto" w:fill="auto"/>
            <w:vAlign w:val="bottom"/>
          </w:tcPr>
          <w:p w14:paraId="39D99705" w14:textId="77777777" w:rsidR="00996AD7" w:rsidRDefault="00996AD7">
            <w:pPr>
              <w:rPr>
                <w:rFonts w:ascii="宋体"/>
              </w:rPr>
            </w:pPr>
          </w:p>
        </w:tc>
        <w:tc>
          <w:tcPr>
            <w:tcW w:w="20" w:type="dxa"/>
            <w:shd w:val="clear" w:color="auto" w:fill="auto"/>
            <w:vAlign w:val="bottom"/>
          </w:tcPr>
          <w:p w14:paraId="39D99706" w14:textId="77777777" w:rsidR="00996AD7" w:rsidRDefault="00996AD7">
            <w:pPr>
              <w:rPr>
                <w:rFonts w:ascii="宋体"/>
              </w:rPr>
            </w:pPr>
          </w:p>
        </w:tc>
        <w:tc>
          <w:tcPr>
            <w:tcW w:w="20" w:type="dxa"/>
            <w:shd w:val="clear" w:color="auto" w:fill="auto"/>
            <w:vAlign w:val="bottom"/>
          </w:tcPr>
          <w:p w14:paraId="39D99707" w14:textId="77777777" w:rsidR="00996AD7" w:rsidRDefault="00996AD7">
            <w:pPr>
              <w:rPr>
                <w:rFonts w:ascii="宋体"/>
              </w:rPr>
            </w:pPr>
          </w:p>
        </w:tc>
        <w:tc>
          <w:tcPr>
            <w:tcW w:w="260" w:type="dxa"/>
            <w:shd w:val="clear" w:color="auto" w:fill="auto"/>
            <w:vAlign w:val="bottom"/>
          </w:tcPr>
          <w:p w14:paraId="39D99708" w14:textId="77777777" w:rsidR="00996AD7" w:rsidRDefault="00996AD7">
            <w:pPr>
              <w:rPr>
                <w:rFonts w:ascii="宋体"/>
              </w:rPr>
            </w:pPr>
          </w:p>
        </w:tc>
        <w:tc>
          <w:tcPr>
            <w:tcW w:w="20" w:type="dxa"/>
            <w:shd w:val="clear" w:color="auto" w:fill="auto"/>
            <w:vAlign w:val="bottom"/>
          </w:tcPr>
          <w:p w14:paraId="39D99709" w14:textId="77777777" w:rsidR="00996AD7" w:rsidRDefault="00996AD7">
            <w:pPr>
              <w:rPr>
                <w:rFonts w:ascii="宋体"/>
              </w:rPr>
            </w:pPr>
          </w:p>
        </w:tc>
        <w:tc>
          <w:tcPr>
            <w:tcW w:w="20" w:type="dxa"/>
            <w:shd w:val="clear" w:color="auto" w:fill="auto"/>
            <w:vAlign w:val="bottom"/>
          </w:tcPr>
          <w:p w14:paraId="39D9970A" w14:textId="77777777" w:rsidR="00996AD7" w:rsidRDefault="00996AD7">
            <w:pPr>
              <w:rPr>
                <w:rFonts w:ascii="宋体"/>
              </w:rPr>
            </w:pPr>
          </w:p>
        </w:tc>
        <w:tc>
          <w:tcPr>
            <w:tcW w:w="5165" w:type="dxa"/>
            <w:shd w:val="clear" w:color="auto" w:fill="auto"/>
            <w:vAlign w:val="bottom"/>
          </w:tcPr>
          <w:p w14:paraId="39D9970B" w14:textId="77777777" w:rsidR="00996AD7" w:rsidRDefault="00996AD7">
            <w:pPr>
              <w:rPr>
                <w:rFonts w:ascii="宋体"/>
              </w:rPr>
            </w:pPr>
          </w:p>
        </w:tc>
        <w:tc>
          <w:tcPr>
            <w:tcW w:w="20" w:type="dxa"/>
            <w:shd w:val="clear" w:color="auto" w:fill="auto"/>
            <w:vAlign w:val="bottom"/>
          </w:tcPr>
          <w:p w14:paraId="39D9970C" w14:textId="77777777" w:rsidR="00996AD7" w:rsidRDefault="00996AD7">
            <w:pPr>
              <w:rPr>
                <w:rFonts w:ascii="宋体"/>
              </w:rPr>
            </w:pPr>
          </w:p>
        </w:tc>
      </w:tr>
      <w:tr w:rsidR="00996AD7" w14:paraId="39D99712" w14:textId="77777777">
        <w:trPr>
          <w:trHeight w:val="280"/>
        </w:trPr>
        <w:tc>
          <w:tcPr>
            <w:tcW w:w="0" w:type="auto"/>
            <w:gridSpan w:val="3"/>
            <w:shd w:val="clear" w:color="auto" w:fill="auto"/>
            <w:tcMar>
              <w:top w:w="0" w:type="dxa"/>
              <w:left w:w="20" w:type="dxa"/>
              <w:bottom w:w="0" w:type="dxa"/>
              <w:right w:w="20" w:type="dxa"/>
            </w:tcMar>
            <w:vAlign w:val="bottom"/>
          </w:tcPr>
          <w:p w14:paraId="39D9970E"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70F" w14:textId="77777777" w:rsidR="00996AD7" w:rsidRDefault="00D96458">
            <w:pPr>
              <w:jc w:val="center"/>
              <w:textAlignment w:val="bottom"/>
            </w:pPr>
            <w:r>
              <w:rPr>
                <w:rFonts w:ascii="Arial" w:eastAsia="宋体" w:hAnsi="Arial" w:cs="Arial"/>
                <w:color w:val="0068B5"/>
                <w:sz w:val="20"/>
                <w:szCs w:val="20"/>
              </w:rPr>
              <w:t>NSG Revenue $B</w:t>
            </w:r>
          </w:p>
        </w:tc>
        <w:tc>
          <w:tcPr>
            <w:tcW w:w="0" w:type="auto"/>
            <w:gridSpan w:val="3"/>
            <w:shd w:val="clear" w:color="auto" w:fill="auto"/>
            <w:tcMar>
              <w:top w:w="0" w:type="dxa"/>
              <w:left w:w="20" w:type="dxa"/>
              <w:bottom w:w="0" w:type="dxa"/>
              <w:right w:w="20" w:type="dxa"/>
            </w:tcMar>
            <w:vAlign w:val="bottom"/>
          </w:tcPr>
          <w:p w14:paraId="39D99710"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711" w14:textId="77777777" w:rsidR="00996AD7" w:rsidRDefault="00D96458">
            <w:pPr>
              <w:jc w:val="center"/>
              <w:textAlignment w:val="bottom"/>
            </w:pPr>
            <w:r>
              <w:rPr>
                <w:rFonts w:ascii="Arial" w:eastAsia="宋体" w:hAnsi="Arial" w:cs="Arial"/>
                <w:color w:val="0068B5"/>
                <w:sz w:val="20"/>
                <w:szCs w:val="20"/>
              </w:rPr>
              <w:t>NSG Operating Income $B</w:t>
            </w:r>
          </w:p>
        </w:tc>
      </w:tr>
    </w:tbl>
    <w:p w14:paraId="39D99713" w14:textId="77777777" w:rsidR="00996AD7" w:rsidRDefault="00D9645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F9" wp14:editId="39D9A3FA">
            <wp:extent cx="304800" cy="304800"/>
            <wp:effectExtent l="0" t="0" r="0" b="0"/>
            <wp:docPr id="53" name="图片 10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05" descr="IMG_29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Viewer5_files/intc-20210</w:instrText>
      </w:r>
      <w:r>
        <w:rPr>
          <w:rFonts w:ascii="宋体" w:eastAsia="宋体" w:hAnsi="宋体" w:cs="宋体"/>
        </w:rPr>
        <w:instrText xml:space="preserve">925_g14.jpg"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FB" wp14:editId="39D9A3FC">
            <wp:extent cx="304800" cy="304800"/>
            <wp:effectExtent l="0" t="0" r="0" b="0"/>
            <wp:docPr id="54" name="图片 10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6" descr="IMG_29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717" w14:textId="77777777">
        <w:tc>
          <w:tcPr>
            <w:tcW w:w="50" w:type="pct"/>
            <w:shd w:val="clear" w:color="auto" w:fill="auto"/>
            <w:vAlign w:val="bottom"/>
          </w:tcPr>
          <w:p w14:paraId="39D99714" w14:textId="77777777" w:rsidR="00996AD7" w:rsidRDefault="00996AD7">
            <w:pPr>
              <w:rPr>
                <w:rFonts w:ascii="宋体"/>
              </w:rPr>
            </w:pPr>
          </w:p>
        </w:tc>
        <w:tc>
          <w:tcPr>
            <w:tcW w:w="4945" w:type="pct"/>
            <w:shd w:val="clear" w:color="auto" w:fill="auto"/>
            <w:vAlign w:val="bottom"/>
          </w:tcPr>
          <w:p w14:paraId="39D99715" w14:textId="77777777" w:rsidR="00996AD7" w:rsidRDefault="00996AD7">
            <w:pPr>
              <w:rPr>
                <w:rFonts w:ascii="宋体"/>
              </w:rPr>
            </w:pPr>
          </w:p>
        </w:tc>
        <w:tc>
          <w:tcPr>
            <w:tcW w:w="5" w:type="pct"/>
            <w:shd w:val="clear" w:color="auto" w:fill="auto"/>
            <w:vAlign w:val="bottom"/>
          </w:tcPr>
          <w:p w14:paraId="39D99716" w14:textId="77777777" w:rsidR="00996AD7" w:rsidRDefault="00996AD7">
            <w:pPr>
              <w:rPr>
                <w:rFonts w:ascii="宋体"/>
              </w:rPr>
            </w:pPr>
          </w:p>
        </w:tc>
      </w:tr>
      <w:tr w:rsidR="00996AD7" w14:paraId="39D99719"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718" w14:textId="77777777" w:rsidR="00996AD7" w:rsidRDefault="00D96458">
            <w:pPr>
              <w:textAlignment w:val="bottom"/>
            </w:pPr>
            <w:r>
              <w:rPr>
                <w:rFonts w:ascii="Arial" w:eastAsia="宋体" w:hAnsi="Arial" w:cs="Arial"/>
                <w:color w:val="0068B5"/>
                <w:sz w:val="20"/>
                <w:szCs w:val="20"/>
              </w:rPr>
              <w:t>Revenue and Operating Income Summary</w:t>
            </w:r>
          </w:p>
        </w:tc>
      </w:tr>
    </w:tbl>
    <w:p w14:paraId="39D9971A"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71E" w14:textId="77777777">
        <w:tc>
          <w:tcPr>
            <w:tcW w:w="50" w:type="pct"/>
            <w:shd w:val="clear" w:color="auto" w:fill="auto"/>
            <w:vAlign w:val="bottom"/>
          </w:tcPr>
          <w:p w14:paraId="39D9971B" w14:textId="77777777" w:rsidR="00996AD7" w:rsidRDefault="00996AD7">
            <w:pPr>
              <w:rPr>
                <w:rFonts w:ascii="宋体"/>
              </w:rPr>
            </w:pPr>
          </w:p>
        </w:tc>
        <w:tc>
          <w:tcPr>
            <w:tcW w:w="4945" w:type="pct"/>
            <w:shd w:val="clear" w:color="auto" w:fill="auto"/>
            <w:vAlign w:val="bottom"/>
          </w:tcPr>
          <w:p w14:paraId="39D9971C" w14:textId="77777777" w:rsidR="00996AD7" w:rsidRDefault="00996AD7">
            <w:pPr>
              <w:rPr>
                <w:rFonts w:ascii="宋体"/>
              </w:rPr>
            </w:pPr>
          </w:p>
        </w:tc>
        <w:tc>
          <w:tcPr>
            <w:tcW w:w="5" w:type="pct"/>
            <w:shd w:val="clear" w:color="auto" w:fill="auto"/>
            <w:vAlign w:val="bottom"/>
          </w:tcPr>
          <w:p w14:paraId="39D9971D" w14:textId="77777777" w:rsidR="00996AD7" w:rsidRDefault="00996AD7">
            <w:pPr>
              <w:rPr>
                <w:rFonts w:ascii="宋体"/>
              </w:rPr>
            </w:pPr>
          </w:p>
        </w:tc>
      </w:tr>
      <w:tr w:rsidR="00996AD7" w14:paraId="39D99720"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71F" w14:textId="77777777" w:rsidR="00996AD7" w:rsidRDefault="00D96458">
            <w:pPr>
              <w:textAlignment w:val="bottom"/>
            </w:pPr>
            <w:r>
              <w:rPr>
                <w:rFonts w:ascii="Arial" w:eastAsia="宋体" w:hAnsi="Arial" w:cs="Arial"/>
                <w:color w:val="0068B5"/>
                <w:sz w:val="20"/>
                <w:szCs w:val="20"/>
              </w:rPr>
              <w:t>Q3 2021 vs. Q3 2020</w:t>
            </w:r>
          </w:p>
        </w:tc>
      </w:tr>
    </w:tbl>
    <w:p w14:paraId="39D99721" w14:textId="77777777" w:rsidR="00996AD7" w:rsidRDefault="00D96458">
      <w:pPr>
        <w:spacing w:after="180"/>
      </w:pPr>
      <w:r>
        <w:rPr>
          <w:rFonts w:ascii="Arial" w:eastAsia="宋体" w:hAnsi="Arial" w:cs="Arial"/>
          <w:color w:val="262626"/>
          <w:sz w:val="18"/>
          <w:szCs w:val="18"/>
        </w:rPr>
        <w:t>Revenue was $1.1 billion, down $48 million from Q3 2020, primarily due to supply chain constraints, $151 million lower ASPs due to mix shift, and the transfer of the Intel Optane memory business to DCG ($86 million in Q3 2020), partially offset by $188 mil</w:t>
      </w:r>
      <w:r>
        <w:rPr>
          <w:rFonts w:ascii="Arial" w:eastAsia="宋体" w:hAnsi="Arial" w:cs="Arial"/>
          <w:color w:val="262626"/>
          <w:sz w:val="18"/>
          <w:szCs w:val="18"/>
        </w:rPr>
        <w:t>lion higher volume. Operating income was $442 million, up $413 million from Q3 2020 due to $411 million improvements in unit cost, primarily driven by the absence of depreciation expense from NAND property, plant and equipment that is held for sale, partia</w:t>
      </w:r>
      <w:r>
        <w:rPr>
          <w:rFonts w:ascii="Arial" w:eastAsia="宋体" w:hAnsi="Arial" w:cs="Arial"/>
          <w:color w:val="262626"/>
          <w:sz w:val="18"/>
          <w:szCs w:val="18"/>
        </w:rPr>
        <w:t xml:space="preserve">lly offset by $186 million lower revenue on ASP decline. Operating income also benefited from the transfer of the Intel Optane memory business from Q3 2021 NSG results (a loss of $116 million in Q3 2020).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725" w14:textId="77777777">
        <w:tc>
          <w:tcPr>
            <w:tcW w:w="50" w:type="pct"/>
            <w:shd w:val="clear" w:color="auto" w:fill="auto"/>
            <w:vAlign w:val="bottom"/>
          </w:tcPr>
          <w:p w14:paraId="39D99722" w14:textId="77777777" w:rsidR="00996AD7" w:rsidRDefault="00996AD7">
            <w:pPr>
              <w:rPr>
                <w:rFonts w:ascii="宋体"/>
              </w:rPr>
            </w:pPr>
          </w:p>
        </w:tc>
        <w:tc>
          <w:tcPr>
            <w:tcW w:w="4945" w:type="pct"/>
            <w:shd w:val="clear" w:color="auto" w:fill="auto"/>
            <w:vAlign w:val="bottom"/>
          </w:tcPr>
          <w:p w14:paraId="39D99723" w14:textId="77777777" w:rsidR="00996AD7" w:rsidRDefault="00996AD7">
            <w:pPr>
              <w:rPr>
                <w:rFonts w:ascii="宋体"/>
              </w:rPr>
            </w:pPr>
          </w:p>
        </w:tc>
        <w:tc>
          <w:tcPr>
            <w:tcW w:w="5" w:type="pct"/>
            <w:shd w:val="clear" w:color="auto" w:fill="auto"/>
            <w:vAlign w:val="bottom"/>
          </w:tcPr>
          <w:p w14:paraId="39D99724" w14:textId="77777777" w:rsidR="00996AD7" w:rsidRDefault="00996AD7">
            <w:pPr>
              <w:rPr>
                <w:rFonts w:ascii="宋体"/>
              </w:rPr>
            </w:pPr>
          </w:p>
        </w:tc>
      </w:tr>
      <w:tr w:rsidR="00996AD7" w14:paraId="39D99727" w14:textId="77777777">
        <w:tc>
          <w:tcPr>
            <w:tcW w:w="0" w:type="auto"/>
            <w:gridSpan w:val="3"/>
            <w:tcBorders>
              <w:bottom w:val="single" w:sz="8" w:space="0" w:color="929292"/>
            </w:tcBorders>
            <w:shd w:val="clear" w:color="auto" w:fill="auto"/>
            <w:tcMar>
              <w:top w:w="40" w:type="dxa"/>
              <w:left w:w="20" w:type="dxa"/>
              <w:bottom w:w="40" w:type="dxa"/>
              <w:right w:w="20" w:type="dxa"/>
            </w:tcMar>
            <w:vAlign w:val="bottom"/>
          </w:tcPr>
          <w:p w14:paraId="39D99726" w14:textId="77777777" w:rsidR="00996AD7" w:rsidRDefault="00D96458">
            <w:pPr>
              <w:textAlignment w:val="bottom"/>
            </w:pPr>
            <w:r>
              <w:rPr>
                <w:rFonts w:ascii="Arial" w:eastAsia="宋体" w:hAnsi="Arial" w:cs="Arial"/>
                <w:color w:val="0068B5"/>
                <w:sz w:val="20"/>
                <w:szCs w:val="20"/>
              </w:rPr>
              <w:t>YTD 2021 vs. YTD 2020</w:t>
            </w:r>
          </w:p>
        </w:tc>
      </w:tr>
    </w:tbl>
    <w:p w14:paraId="39D99728" w14:textId="77777777" w:rsidR="00996AD7" w:rsidRDefault="00D96458">
      <w:pPr>
        <w:spacing w:after="180"/>
      </w:pPr>
      <w:r>
        <w:rPr>
          <w:rFonts w:ascii="Arial" w:eastAsia="宋体" w:hAnsi="Arial" w:cs="Arial"/>
          <w:color w:val="262626"/>
          <w:sz w:val="18"/>
          <w:szCs w:val="18"/>
        </w:rPr>
        <w:t>Revenue was $3.3 billio</w:t>
      </w:r>
      <w:r>
        <w:rPr>
          <w:rFonts w:ascii="Arial" w:eastAsia="宋体" w:hAnsi="Arial" w:cs="Arial"/>
          <w:color w:val="262626"/>
          <w:sz w:val="18"/>
          <w:szCs w:val="18"/>
        </w:rPr>
        <w:t>n, down $840 million, driven by $814 million lower ASPs due to market softness and pricing pressure, and due to the transfer of the Intel Optane memory business to DCG ($298 million YTD 2020), partially offset by $271 million higher volume on strong demand</w:t>
      </w:r>
      <w:r>
        <w:rPr>
          <w:rFonts w:ascii="Arial" w:eastAsia="宋体" w:hAnsi="Arial" w:cs="Arial"/>
          <w:color w:val="262626"/>
          <w:sz w:val="18"/>
          <w:szCs w:val="18"/>
        </w:rPr>
        <w:t>. Operating income was $1.0 billion, up $730 million from YTD 2020, due to $1.1 billion of improvements in unit cost, primarily driven by the absence of depreciation expense from NAND property, plant and equipment that is held for sale, $376 million of low</w:t>
      </w:r>
      <w:r>
        <w:rPr>
          <w:rFonts w:ascii="Arial" w:eastAsia="宋体" w:hAnsi="Arial" w:cs="Arial"/>
          <w:color w:val="262626"/>
          <w:sz w:val="18"/>
          <w:szCs w:val="18"/>
        </w:rPr>
        <w:t>er period charges, and $162 million of lower operating expenses partially offset by $940 million of lower revenue on ASP decline. Operating income also benefited from the transfer of the Intel Optane memory business from YTD 2021 NSG results (a loss of $47</w:t>
      </w:r>
      <w:r>
        <w:rPr>
          <w:rFonts w:ascii="Arial" w:eastAsia="宋体" w:hAnsi="Arial" w:cs="Arial"/>
          <w:color w:val="262626"/>
          <w:sz w:val="18"/>
          <w:szCs w:val="18"/>
        </w:rPr>
        <w:t xml:space="preserve">3 million YTD 2020). </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996AD7" w14:paraId="39D99732" w14:textId="77777777">
        <w:tc>
          <w:tcPr>
            <w:tcW w:w="50" w:type="pct"/>
            <w:shd w:val="clear" w:color="auto" w:fill="auto"/>
            <w:vAlign w:val="bottom"/>
          </w:tcPr>
          <w:p w14:paraId="39D99729" w14:textId="77777777" w:rsidR="00996AD7" w:rsidRDefault="00996AD7">
            <w:pPr>
              <w:rPr>
                <w:rFonts w:ascii="宋体"/>
              </w:rPr>
            </w:pPr>
          </w:p>
        </w:tc>
        <w:tc>
          <w:tcPr>
            <w:tcW w:w="212" w:type="pct"/>
            <w:shd w:val="clear" w:color="auto" w:fill="auto"/>
            <w:vAlign w:val="bottom"/>
          </w:tcPr>
          <w:p w14:paraId="39D9972A" w14:textId="77777777" w:rsidR="00996AD7" w:rsidRDefault="00996AD7">
            <w:pPr>
              <w:rPr>
                <w:rFonts w:ascii="宋体"/>
              </w:rPr>
            </w:pPr>
          </w:p>
        </w:tc>
        <w:tc>
          <w:tcPr>
            <w:tcW w:w="5" w:type="pct"/>
            <w:shd w:val="clear" w:color="auto" w:fill="auto"/>
            <w:vAlign w:val="bottom"/>
          </w:tcPr>
          <w:p w14:paraId="39D9972B" w14:textId="77777777" w:rsidR="00996AD7" w:rsidRDefault="00996AD7">
            <w:pPr>
              <w:rPr>
                <w:rFonts w:ascii="宋体"/>
              </w:rPr>
            </w:pPr>
          </w:p>
        </w:tc>
        <w:tc>
          <w:tcPr>
            <w:tcW w:w="50" w:type="pct"/>
            <w:shd w:val="clear" w:color="auto" w:fill="auto"/>
            <w:vAlign w:val="bottom"/>
          </w:tcPr>
          <w:p w14:paraId="39D9972C" w14:textId="77777777" w:rsidR="00996AD7" w:rsidRDefault="00996AD7">
            <w:pPr>
              <w:rPr>
                <w:rFonts w:ascii="宋体"/>
              </w:rPr>
            </w:pPr>
          </w:p>
        </w:tc>
        <w:tc>
          <w:tcPr>
            <w:tcW w:w="2499" w:type="pct"/>
            <w:shd w:val="clear" w:color="auto" w:fill="auto"/>
            <w:vAlign w:val="bottom"/>
          </w:tcPr>
          <w:p w14:paraId="39D9972D" w14:textId="77777777" w:rsidR="00996AD7" w:rsidRDefault="00996AD7">
            <w:pPr>
              <w:rPr>
                <w:rFonts w:ascii="宋体"/>
              </w:rPr>
            </w:pPr>
          </w:p>
        </w:tc>
        <w:tc>
          <w:tcPr>
            <w:tcW w:w="5" w:type="pct"/>
            <w:shd w:val="clear" w:color="auto" w:fill="auto"/>
            <w:vAlign w:val="bottom"/>
          </w:tcPr>
          <w:p w14:paraId="39D9972E" w14:textId="77777777" w:rsidR="00996AD7" w:rsidRDefault="00996AD7">
            <w:pPr>
              <w:rPr>
                <w:rFonts w:ascii="宋体"/>
              </w:rPr>
            </w:pPr>
          </w:p>
        </w:tc>
        <w:tc>
          <w:tcPr>
            <w:tcW w:w="50" w:type="pct"/>
            <w:shd w:val="clear" w:color="auto" w:fill="auto"/>
            <w:vAlign w:val="bottom"/>
          </w:tcPr>
          <w:p w14:paraId="39D9972F" w14:textId="77777777" w:rsidR="00996AD7" w:rsidRDefault="00996AD7">
            <w:pPr>
              <w:rPr>
                <w:rFonts w:ascii="宋体"/>
              </w:rPr>
            </w:pPr>
          </w:p>
        </w:tc>
        <w:tc>
          <w:tcPr>
            <w:tcW w:w="2122" w:type="pct"/>
            <w:shd w:val="clear" w:color="auto" w:fill="auto"/>
            <w:vAlign w:val="bottom"/>
          </w:tcPr>
          <w:p w14:paraId="39D99730" w14:textId="77777777" w:rsidR="00996AD7" w:rsidRDefault="00996AD7">
            <w:pPr>
              <w:rPr>
                <w:rFonts w:ascii="宋体"/>
              </w:rPr>
            </w:pPr>
          </w:p>
        </w:tc>
        <w:tc>
          <w:tcPr>
            <w:tcW w:w="5" w:type="pct"/>
            <w:shd w:val="clear" w:color="auto" w:fill="auto"/>
            <w:vAlign w:val="bottom"/>
          </w:tcPr>
          <w:p w14:paraId="39D99731" w14:textId="77777777" w:rsidR="00996AD7" w:rsidRDefault="00996AD7">
            <w:pPr>
              <w:rPr>
                <w:rFonts w:ascii="宋体"/>
              </w:rPr>
            </w:pPr>
          </w:p>
        </w:tc>
      </w:tr>
      <w:tr w:rsidR="00996AD7" w14:paraId="39D9973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733"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3FD" wp14:editId="39D9A3FE">
                  <wp:extent cx="304800" cy="304800"/>
                  <wp:effectExtent l="0" t="0" r="0" b="0"/>
                  <wp:docPr id="55" name="图片 10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7"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734"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735" w14:textId="77777777" w:rsidR="00996AD7" w:rsidRDefault="00D96458">
            <w:pPr>
              <w:jc w:val="right"/>
              <w:textAlignment w:val="center"/>
            </w:pPr>
            <w:r>
              <w:rPr>
                <w:rFonts w:ascii="Arial" w:eastAsia="宋体" w:hAnsi="Arial" w:cs="Arial"/>
                <w:color w:val="262626"/>
                <w:sz w:val="16"/>
                <w:szCs w:val="16"/>
              </w:rPr>
              <w:t>30</w:t>
            </w:r>
          </w:p>
        </w:tc>
      </w:tr>
    </w:tbl>
    <w:p w14:paraId="39D99737" w14:textId="77777777" w:rsidR="00996AD7" w:rsidRDefault="00D96458">
      <w:r>
        <w:pict w14:anchorId="39D9A3FF">
          <v:rect id="_x0000_i1056" style="width:415.3pt;height:1.5pt" o:hralign="center" o:hrstd="t" o:hr="t" fillcolor="#a0a0a0" stroked="f"/>
        </w:pict>
      </w:r>
    </w:p>
    <w:p w14:paraId="39D99738" w14:textId="77777777" w:rsidR="00996AD7" w:rsidRDefault="00D96458">
      <w:pPr>
        <w:spacing w:after="180"/>
        <w:jc w:val="right"/>
      </w:pPr>
      <w:hyperlink r:id="rId57" w:anchor="i94e6cc3aa83643b8b968bd5bab038338_7" w:history="1">
        <w:r>
          <w:rPr>
            <w:rStyle w:val="a5"/>
            <w:rFonts w:ascii="Arial" w:eastAsia="宋体" w:hAnsi="Arial" w:cs="Arial"/>
            <w:b/>
            <w:bCs/>
            <w:color w:val="0068B5"/>
            <w:sz w:val="16"/>
            <w:szCs w:val="16"/>
          </w:rPr>
          <w:t>Table of Contents</w:t>
        </w:r>
      </w:hyperlink>
    </w:p>
    <w:p w14:paraId="39D99739" w14:textId="77777777" w:rsidR="00996AD7" w:rsidRDefault="00996AD7">
      <w:pPr>
        <w:spacing w:after="180"/>
        <w:jc w:val="right"/>
      </w:pPr>
    </w:p>
    <w:p w14:paraId="39D9973A" w14:textId="77777777" w:rsidR="00996AD7" w:rsidRDefault="00D96458">
      <w:pPr>
        <w:spacing w:after="180"/>
      </w:pPr>
      <w:r>
        <w:rPr>
          <w:rFonts w:ascii="Arial" w:eastAsia="宋体" w:hAnsi="Arial" w:cs="Arial"/>
          <w:color w:val="0068B5"/>
          <w:sz w:val="28"/>
          <w:szCs w:val="28"/>
        </w:rPr>
        <w:t>Programmable Solutions Group</w:t>
      </w:r>
    </w:p>
    <w:p w14:paraId="39D9973B" w14:textId="77777777" w:rsidR="00996AD7" w:rsidRDefault="00D96458">
      <w:pPr>
        <w:spacing w:after="180"/>
      </w:pPr>
      <w:r>
        <w:rPr>
          <w:rFonts w:ascii="Arial" w:eastAsia="宋体" w:hAnsi="Arial" w:cs="Arial"/>
          <w:color w:val="262626"/>
          <w:sz w:val="18"/>
          <w:szCs w:val="18"/>
        </w:rPr>
        <w:t>PSG offers programmable semiconductors, primarily FPGAs</w:t>
      </w:r>
      <w:r>
        <w:rPr>
          <w:rFonts w:ascii="Arial" w:eastAsia="宋体" w:hAnsi="Arial" w:cs="Arial"/>
          <w:color w:val="262626"/>
          <w:sz w:val="18"/>
          <w:szCs w:val="18"/>
        </w:rPr>
        <w:t xml:space="preserve">, structured ASICs, and related products, for a broad range of applications across our embedded, communications, and cloud and enterprise market segments. Our product portfolio delivers FPGA acceleration in tandem with Intel microprocessors, which enables </w:t>
      </w:r>
      <w:r>
        <w:rPr>
          <w:rFonts w:ascii="Arial" w:eastAsia="宋体" w:hAnsi="Arial" w:cs="Arial"/>
          <w:color w:val="262626"/>
          <w:sz w:val="18"/>
          <w:szCs w:val="18"/>
        </w:rPr>
        <w:t>us to combine the benefits of our broad portfolio of technologies to allow more flexibility for systems to operate with increased efficiency and higher performance.</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996AD7" w14:paraId="39D99748" w14:textId="77777777">
        <w:tc>
          <w:tcPr>
            <w:tcW w:w="20" w:type="dxa"/>
            <w:shd w:val="clear" w:color="auto" w:fill="auto"/>
            <w:vAlign w:val="bottom"/>
          </w:tcPr>
          <w:p w14:paraId="39D9973C" w14:textId="77777777" w:rsidR="00996AD7" w:rsidRDefault="00996AD7">
            <w:pPr>
              <w:rPr>
                <w:rFonts w:ascii="宋体"/>
              </w:rPr>
            </w:pPr>
          </w:p>
        </w:tc>
        <w:tc>
          <w:tcPr>
            <w:tcW w:w="80" w:type="dxa"/>
            <w:shd w:val="clear" w:color="auto" w:fill="auto"/>
            <w:vAlign w:val="bottom"/>
          </w:tcPr>
          <w:p w14:paraId="39D9973D" w14:textId="77777777" w:rsidR="00996AD7" w:rsidRDefault="00996AD7">
            <w:pPr>
              <w:rPr>
                <w:rFonts w:ascii="宋体"/>
              </w:rPr>
            </w:pPr>
          </w:p>
        </w:tc>
        <w:tc>
          <w:tcPr>
            <w:tcW w:w="20" w:type="dxa"/>
            <w:shd w:val="clear" w:color="auto" w:fill="auto"/>
            <w:vAlign w:val="bottom"/>
          </w:tcPr>
          <w:p w14:paraId="39D9973E" w14:textId="77777777" w:rsidR="00996AD7" w:rsidRDefault="00996AD7">
            <w:pPr>
              <w:rPr>
                <w:rFonts w:ascii="宋体"/>
              </w:rPr>
            </w:pPr>
          </w:p>
        </w:tc>
        <w:tc>
          <w:tcPr>
            <w:tcW w:w="20" w:type="dxa"/>
            <w:shd w:val="clear" w:color="auto" w:fill="auto"/>
            <w:vAlign w:val="bottom"/>
          </w:tcPr>
          <w:p w14:paraId="39D9973F" w14:textId="77777777" w:rsidR="00996AD7" w:rsidRDefault="00996AD7">
            <w:pPr>
              <w:rPr>
                <w:rFonts w:ascii="宋体"/>
              </w:rPr>
            </w:pPr>
          </w:p>
        </w:tc>
        <w:tc>
          <w:tcPr>
            <w:tcW w:w="5165" w:type="dxa"/>
            <w:shd w:val="clear" w:color="auto" w:fill="auto"/>
            <w:vAlign w:val="bottom"/>
          </w:tcPr>
          <w:p w14:paraId="39D99740" w14:textId="77777777" w:rsidR="00996AD7" w:rsidRDefault="00996AD7">
            <w:pPr>
              <w:rPr>
                <w:rFonts w:ascii="宋体"/>
              </w:rPr>
            </w:pPr>
          </w:p>
        </w:tc>
        <w:tc>
          <w:tcPr>
            <w:tcW w:w="20" w:type="dxa"/>
            <w:shd w:val="clear" w:color="auto" w:fill="auto"/>
            <w:vAlign w:val="bottom"/>
          </w:tcPr>
          <w:p w14:paraId="39D99741" w14:textId="77777777" w:rsidR="00996AD7" w:rsidRDefault="00996AD7">
            <w:pPr>
              <w:rPr>
                <w:rFonts w:ascii="宋体"/>
              </w:rPr>
            </w:pPr>
          </w:p>
        </w:tc>
        <w:tc>
          <w:tcPr>
            <w:tcW w:w="20" w:type="dxa"/>
            <w:shd w:val="clear" w:color="auto" w:fill="auto"/>
            <w:vAlign w:val="bottom"/>
          </w:tcPr>
          <w:p w14:paraId="39D99742" w14:textId="77777777" w:rsidR="00996AD7" w:rsidRDefault="00996AD7">
            <w:pPr>
              <w:rPr>
                <w:rFonts w:ascii="宋体"/>
              </w:rPr>
            </w:pPr>
          </w:p>
        </w:tc>
        <w:tc>
          <w:tcPr>
            <w:tcW w:w="260" w:type="dxa"/>
            <w:shd w:val="clear" w:color="auto" w:fill="auto"/>
            <w:vAlign w:val="bottom"/>
          </w:tcPr>
          <w:p w14:paraId="39D99743" w14:textId="77777777" w:rsidR="00996AD7" w:rsidRDefault="00996AD7">
            <w:pPr>
              <w:rPr>
                <w:rFonts w:ascii="宋体"/>
              </w:rPr>
            </w:pPr>
          </w:p>
        </w:tc>
        <w:tc>
          <w:tcPr>
            <w:tcW w:w="20" w:type="dxa"/>
            <w:shd w:val="clear" w:color="auto" w:fill="auto"/>
            <w:vAlign w:val="bottom"/>
          </w:tcPr>
          <w:p w14:paraId="39D99744" w14:textId="77777777" w:rsidR="00996AD7" w:rsidRDefault="00996AD7">
            <w:pPr>
              <w:rPr>
                <w:rFonts w:ascii="宋体"/>
              </w:rPr>
            </w:pPr>
          </w:p>
        </w:tc>
        <w:tc>
          <w:tcPr>
            <w:tcW w:w="20" w:type="dxa"/>
            <w:shd w:val="clear" w:color="auto" w:fill="auto"/>
            <w:vAlign w:val="bottom"/>
          </w:tcPr>
          <w:p w14:paraId="39D99745" w14:textId="77777777" w:rsidR="00996AD7" w:rsidRDefault="00996AD7">
            <w:pPr>
              <w:rPr>
                <w:rFonts w:ascii="宋体"/>
              </w:rPr>
            </w:pPr>
          </w:p>
        </w:tc>
        <w:tc>
          <w:tcPr>
            <w:tcW w:w="5165" w:type="dxa"/>
            <w:shd w:val="clear" w:color="auto" w:fill="auto"/>
            <w:vAlign w:val="bottom"/>
          </w:tcPr>
          <w:p w14:paraId="39D99746" w14:textId="77777777" w:rsidR="00996AD7" w:rsidRDefault="00996AD7">
            <w:pPr>
              <w:rPr>
                <w:rFonts w:ascii="宋体"/>
              </w:rPr>
            </w:pPr>
          </w:p>
        </w:tc>
        <w:tc>
          <w:tcPr>
            <w:tcW w:w="20" w:type="dxa"/>
            <w:shd w:val="clear" w:color="auto" w:fill="auto"/>
            <w:vAlign w:val="bottom"/>
          </w:tcPr>
          <w:p w14:paraId="39D99747" w14:textId="77777777" w:rsidR="00996AD7" w:rsidRDefault="00996AD7">
            <w:pPr>
              <w:rPr>
                <w:rFonts w:ascii="宋体"/>
              </w:rPr>
            </w:pPr>
          </w:p>
        </w:tc>
      </w:tr>
      <w:tr w:rsidR="00996AD7" w14:paraId="39D9974D" w14:textId="77777777">
        <w:trPr>
          <w:trHeight w:val="300"/>
        </w:trPr>
        <w:tc>
          <w:tcPr>
            <w:tcW w:w="0" w:type="auto"/>
            <w:gridSpan w:val="3"/>
            <w:shd w:val="clear" w:color="auto" w:fill="auto"/>
            <w:tcMar>
              <w:top w:w="0" w:type="dxa"/>
              <w:left w:w="20" w:type="dxa"/>
              <w:bottom w:w="0" w:type="dxa"/>
              <w:right w:w="20" w:type="dxa"/>
            </w:tcMar>
            <w:vAlign w:val="bottom"/>
          </w:tcPr>
          <w:p w14:paraId="39D99749"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74A" w14:textId="77777777" w:rsidR="00996AD7" w:rsidRDefault="00D96458">
            <w:pPr>
              <w:jc w:val="center"/>
              <w:textAlignment w:val="bottom"/>
            </w:pPr>
            <w:r>
              <w:rPr>
                <w:rFonts w:ascii="Arial" w:eastAsia="宋体" w:hAnsi="Arial" w:cs="Arial"/>
                <w:color w:val="0068B5"/>
                <w:sz w:val="20"/>
                <w:szCs w:val="20"/>
              </w:rPr>
              <w:t>PSG Revenue $B</w:t>
            </w:r>
          </w:p>
        </w:tc>
        <w:tc>
          <w:tcPr>
            <w:tcW w:w="0" w:type="auto"/>
            <w:gridSpan w:val="3"/>
            <w:shd w:val="clear" w:color="auto" w:fill="auto"/>
            <w:tcMar>
              <w:top w:w="0" w:type="dxa"/>
              <w:left w:w="20" w:type="dxa"/>
              <w:bottom w:w="0" w:type="dxa"/>
              <w:right w:w="20" w:type="dxa"/>
            </w:tcMar>
            <w:vAlign w:val="bottom"/>
          </w:tcPr>
          <w:p w14:paraId="39D9974B"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74C" w14:textId="77777777" w:rsidR="00996AD7" w:rsidRDefault="00D96458">
            <w:pPr>
              <w:jc w:val="center"/>
              <w:textAlignment w:val="bottom"/>
            </w:pPr>
            <w:r>
              <w:rPr>
                <w:rFonts w:ascii="Arial" w:eastAsia="宋体" w:hAnsi="Arial" w:cs="Arial"/>
                <w:color w:val="0068B5"/>
                <w:sz w:val="20"/>
                <w:szCs w:val="20"/>
              </w:rPr>
              <w:t>PSG Operating Income $B</w:t>
            </w:r>
          </w:p>
        </w:tc>
      </w:tr>
    </w:tbl>
    <w:p w14:paraId="39D9974E" w14:textId="77777777" w:rsidR="00996AD7" w:rsidRDefault="00D9645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00" wp14:editId="39D9A401">
            <wp:extent cx="304800" cy="304800"/>
            <wp:effectExtent l="0" t="0" r="0" b="0"/>
            <wp:docPr id="56" name="图片 109"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9" descr="IMG_29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02" wp14:editId="39D9A403">
            <wp:extent cx="304800" cy="304800"/>
            <wp:effectExtent l="0" t="0" r="0" b="0"/>
            <wp:docPr id="57" name="图片 110"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0" descr="IMG_30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752" w14:textId="77777777">
        <w:tc>
          <w:tcPr>
            <w:tcW w:w="50" w:type="pct"/>
            <w:shd w:val="clear" w:color="auto" w:fill="auto"/>
            <w:vAlign w:val="bottom"/>
          </w:tcPr>
          <w:p w14:paraId="39D9974F" w14:textId="77777777" w:rsidR="00996AD7" w:rsidRDefault="00996AD7">
            <w:pPr>
              <w:rPr>
                <w:rFonts w:ascii="宋体"/>
              </w:rPr>
            </w:pPr>
          </w:p>
        </w:tc>
        <w:tc>
          <w:tcPr>
            <w:tcW w:w="4945" w:type="pct"/>
            <w:shd w:val="clear" w:color="auto" w:fill="auto"/>
            <w:vAlign w:val="bottom"/>
          </w:tcPr>
          <w:p w14:paraId="39D99750" w14:textId="77777777" w:rsidR="00996AD7" w:rsidRDefault="00996AD7">
            <w:pPr>
              <w:rPr>
                <w:rFonts w:ascii="宋体"/>
              </w:rPr>
            </w:pPr>
          </w:p>
        </w:tc>
        <w:tc>
          <w:tcPr>
            <w:tcW w:w="5" w:type="pct"/>
            <w:shd w:val="clear" w:color="auto" w:fill="auto"/>
            <w:vAlign w:val="bottom"/>
          </w:tcPr>
          <w:p w14:paraId="39D99751" w14:textId="77777777" w:rsidR="00996AD7" w:rsidRDefault="00996AD7">
            <w:pPr>
              <w:rPr>
                <w:rFonts w:ascii="宋体"/>
              </w:rPr>
            </w:pPr>
          </w:p>
        </w:tc>
      </w:tr>
      <w:tr w:rsidR="00996AD7" w14:paraId="39D99754"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753" w14:textId="77777777" w:rsidR="00996AD7" w:rsidRDefault="00D96458">
            <w:pPr>
              <w:textAlignment w:val="bottom"/>
            </w:pPr>
            <w:r>
              <w:rPr>
                <w:rFonts w:ascii="Arial" w:eastAsia="宋体" w:hAnsi="Arial" w:cs="Arial"/>
                <w:color w:val="0068B5"/>
                <w:sz w:val="20"/>
                <w:szCs w:val="20"/>
              </w:rPr>
              <w:t>Revenue and Operating Income Summary</w:t>
            </w:r>
          </w:p>
        </w:tc>
      </w:tr>
    </w:tbl>
    <w:p w14:paraId="39D99755"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759" w14:textId="77777777">
        <w:tc>
          <w:tcPr>
            <w:tcW w:w="50" w:type="pct"/>
            <w:shd w:val="clear" w:color="auto" w:fill="auto"/>
            <w:vAlign w:val="bottom"/>
          </w:tcPr>
          <w:p w14:paraId="39D99756" w14:textId="77777777" w:rsidR="00996AD7" w:rsidRDefault="00996AD7">
            <w:pPr>
              <w:rPr>
                <w:rFonts w:ascii="宋体"/>
              </w:rPr>
            </w:pPr>
          </w:p>
        </w:tc>
        <w:tc>
          <w:tcPr>
            <w:tcW w:w="4945" w:type="pct"/>
            <w:shd w:val="clear" w:color="auto" w:fill="auto"/>
            <w:vAlign w:val="bottom"/>
          </w:tcPr>
          <w:p w14:paraId="39D99757" w14:textId="77777777" w:rsidR="00996AD7" w:rsidRDefault="00996AD7">
            <w:pPr>
              <w:rPr>
                <w:rFonts w:ascii="宋体"/>
              </w:rPr>
            </w:pPr>
          </w:p>
        </w:tc>
        <w:tc>
          <w:tcPr>
            <w:tcW w:w="5" w:type="pct"/>
            <w:shd w:val="clear" w:color="auto" w:fill="auto"/>
            <w:vAlign w:val="bottom"/>
          </w:tcPr>
          <w:p w14:paraId="39D99758" w14:textId="77777777" w:rsidR="00996AD7" w:rsidRDefault="00996AD7">
            <w:pPr>
              <w:rPr>
                <w:rFonts w:ascii="宋体"/>
              </w:rPr>
            </w:pPr>
          </w:p>
        </w:tc>
      </w:tr>
      <w:tr w:rsidR="00996AD7" w14:paraId="39D9975B"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75A" w14:textId="77777777" w:rsidR="00996AD7" w:rsidRDefault="00D96458">
            <w:pPr>
              <w:textAlignment w:val="bottom"/>
            </w:pPr>
            <w:r>
              <w:rPr>
                <w:rFonts w:ascii="Arial" w:eastAsia="宋体" w:hAnsi="Arial" w:cs="Arial"/>
                <w:color w:val="0068B5"/>
                <w:sz w:val="20"/>
                <w:szCs w:val="20"/>
              </w:rPr>
              <w:t>Q3 2021 vs. Q3 2020</w:t>
            </w:r>
          </w:p>
        </w:tc>
      </w:tr>
    </w:tbl>
    <w:p w14:paraId="39D9975C" w14:textId="77777777" w:rsidR="00996AD7" w:rsidRDefault="00D96458">
      <w:pPr>
        <w:spacing w:after="180"/>
      </w:pPr>
      <w:r>
        <w:rPr>
          <w:rFonts w:ascii="Arial" w:eastAsia="宋体" w:hAnsi="Arial" w:cs="Arial"/>
          <w:color w:val="262626"/>
          <w:sz w:val="18"/>
          <w:szCs w:val="18"/>
        </w:rPr>
        <w:t xml:space="preserve">Revenue was $478 million, up $67 million driven by recovery in all market segments from COVID-19 lows, led by embedded. Operating income was $76 million, up $36 million.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760" w14:textId="77777777">
        <w:tc>
          <w:tcPr>
            <w:tcW w:w="50" w:type="pct"/>
            <w:shd w:val="clear" w:color="auto" w:fill="auto"/>
            <w:vAlign w:val="bottom"/>
          </w:tcPr>
          <w:p w14:paraId="39D9975D" w14:textId="77777777" w:rsidR="00996AD7" w:rsidRDefault="00996AD7">
            <w:pPr>
              <w:rPr>
                <w:rFonts w:ascii="宋体"/>
              </w:rPr>
            </w:pPr>
          </w:p>
        </w:tc>
        <w:tc>
          <w:tcPr>
            <w:tcW w:w="4945" w:type="pct"/>
            <w:shd w:val="clear" w:color="auto" w:fill="auto"/>
            <w:vAlign w:val="bottom"/>
          </w:tcPr>
          <w:p w14:paraId="39D9975E" w14:textId="77777777" w:rsidR="00996AD7" w:rsidRDefault="00996AD7">
            <w:pPr>
              <w:rPr>
                <w:rFonts w:ascii="宋体"/>
              </w:rPr>
            </w:pPr>
          </w:p>
        </w:tc>
        <w:tc>
          <w:tcPr>
            <w:tcW w:w="5" w:type="pct"/>
            <w:shd w:val="clear" w:color="auto" w:fill="auto"/>
            <w:vAlign w:val="bottom"/>
          </w:tcPr>
          <w:p w14:paraId="39D9975F" w14:textId="77777777" w:rsidR="00996AD7" w:rsidRDefault="00996AD7">
            <w:pPr>
              <w:rPr>
                <w:rFonts w:ascii="宋体"/>
              </w:rPr>
            </w:pPr>
          </w:p>
        </w:tc>
      </w:tr>
      <w:tr w:rsidR="00996AD7" w14:paraId="39D99762" w14:textId="77777777">
        <w:tc>
          <w:tcPr>
            <w:tcW w:w="0" w:type="auto"/>
            <w:gridSpan w:val="3"/>
            <w:tcBorders>
              <w:bottom w:val="single" w:sz="8" w:space="0" w:color="929292"/>
            </w:tcBorders>
            <w:shd w:val="clear" w:color="auto" w:fill="auto"/>
            <w:tcMar>
              <w:top w:w="40" w:type="dxa"/>
              <w:left w:w="20" w:type="dxa"/>
              <w:bottom w:w="40" w:type="dxa"/>
              <w:right w:w="20" w:type="dxa"/>
            </w:tcMar>
            <w:vAlign w:val="bottom"/>
          </w:tcPr>
          <w:p w14:paraId="39D99761" w14:textId="77777777" w:rsidR="00996AD7" w:rsidRDefault="00D96458">
            <w:pPr>
              <w:textAlignment w:val="bottom"/>
            </w:pPr>
            <w:r>
              <w:rPr>
                <w:rFonts w:ascii="Arial" w:eastAsia="宋体" w:hAnsi="Arial" w:cs="Arial"/>
                <w:color w:val="0068B5"/>
                <w:sz w:val="20"/>
                <w:szCs w:val="20"/>
              </w:rPr>
              <w:t>YTD 2021 vs. YTD 2020</w:t>
            </w:r>
          </w:p>
        </w:tc>
      </w:tr>
    </w:tbl>
    <w:p w14:paraId="39D99763" w14:textId="77777777" w:rsidR="00996AD7" w:rsidRDefault="00D96458">
      <w:pPr>
        <w:spacing w:after="180"/>
      </w:pPr>
      <w:r>
        <w:rPr>
          <w:rFonts w:ascii="Arial" w:eastAsia="宋体" w:hAnsi="Arial" w:cs="Arial"/>
          <w:color w:val="262626"/>
          <w:sz w:val="18"/>
          <w:szCs w:val="18"/>
        </w:rPr>
        <w:t>Revenue was $1.5 billion, up $19 million driven by strengt</w:t>
      </w:r>
      <w:r>
        <w:rPr>
          <w:rFonts w:ascii="Arial" w:eastAsia="宋体" w:hAnsi="Arial" w:cs="Arial"/>
          <w:color w:val="262626"/>
          <w:sz w:val="18"/>
          <w:szCs w:val="18"/>
        </w:rPr>
        <w:t>h in embedded, partially offset by customer inventory digestion. Operating income was $246 million, up $29 million.</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996AD7" w14:paraId="39D9976D" w14:textId="77777777">
        <w:tc>
          <w:tcPr>
            <w:tcW w:w="50" w:type="pct"/>
            <w:shd w:val="clear" w:color="auto" w:fill="auto"/>
            <w:vAlign w:val="bottom"/>
          </w:tcPr>
          <w:p w14:paraId="39D99764" w14:textId="77777777" w:rsidR="00996AD7" w:rsidRDefault="00996AD7">
            <w:pPr>
              <w:rPr>
                <w:rFonts w:ascii="宋体"/>
              </w:rPr>
            </w:pPr>
          </w:p>
        </w:tc>
        <w:tc>
          <w:tcPr>
            <w:tcW w:w="212" w:type="pct"/>
            <w:shd w:val="clear" w:color="auto" w:fill="auto"/>
            <w:vAlign w:val="bottom"/>
          </w:tcPr>
          <w:p w14:paraId="39D99765" w14:textId="77777777" w:rsidR="00996AD7" w:rsidRDefault="00996AD7">
            <w:pPr>
              <w:rPr>
                <w:rFonts w:ascii="宋体"/>
              </w:rPr>
            </w:pPr>
          </w:p>
        </w:tc>
        <w:tc>
          <w:tcPr>
            <w:tcW w:w="5" w:type="pct"/>
            <w:shd w:val="clear" w:color="auto" w:fill="auto"/>
            <w:vAlign w:val="bottom"/>
          </w:tcPr>
          <w:p w14:paraId="39D99766" w14:textId="77777777" w:rsidR="00996AD7" w:rsidRDefault="00996AD7">
            <w:pPr>
              <w:rPr>
                <w:rFonts w:ascii="宋体"/>
              </w:rPr>
            </w:pPr>
          </w:p>
        </w:tc>
        <w:tc>
          <w:tcPr>
            <w:tcW w:w="50" w:type="pct"/>
            <w:shd w:val="clear" w:color="auto" w:fill="auto"/>
            <w:vAlign w:val="bottom"/>
          </w:tcPr>
          <w:p w14:paraId="39D99767" w14:textId="77777777" w:rsidR="00996AD7" w:rsidRDefault="00996AD7">
            <w:pPr>
              <w:rPr>
                <w:rFonts w:ascii="宋体"/>
              </w:rPr>
            </w:pPr>
          </w:p>
        </w:tc>
        <w:tc>
          <w:tcPr>
            <w:tcW w:w="2499" w:type="pct"/>
            <w:shd w:val="clear" w:color="auto" w:fill="auto"/>
            <w:vAlign w:val="bottom"/>
          </w:tcPr>
          <w:p w14:paraId="39D99768" w14:textId="77777777" w:rsidR="00996AD7" w:rsidRDefault="00996AD7">
            <w:pPr>
              <w:rPr>
                <w:rFonts w:ascii="宋体"/>
              </w:rPr>
            </w:pPr>
          </w:p>
        </w:tc>
        <w:tc>
          <w:tcPr>
            <w:tcW w:w="5" w:type="pct"/>
            <w:shd w:val="clear" w:color="auto" w:fill="auto"/>
            <w:vAlign w:val="bottom"/>
          </w:tcPr>
          <w:p w14:paraId="39D99769" w14:textId="77777777" w:rsidR="00996AD7" w:rsidRDefault="00996AD7">
            <w:pPr>
              <w:rPr>
                <w:rFonts w:ascii="宋体"/>
              </w:rPr>
            </w:pPr>
          </w:p>
        </w:tc>
        <w:tc>
          <w:tcPr>
            <w:tcW w:w="50" w:type="pct"/>
            <w:shd w:val="clear" w:color="auto" w:fill="auto"/>
            <w:vAlign w:val="bottom"/>
          </w:tcPr>
          <w:p w14:paraId="39D9976A" w14:textId="77777777" w:rsidR="00996AD7" w:rsidRDefault="00996AD7">
            <w:pPr>
              <w:rPr>
                <w:rFonts w:ascii="宋体"/>
              </w:rPr>
            </w:pPr>
          </w:p>
        </w:tc>
        <w:tc>
          <w:tcPr>
            <w:tcW w:w="2122" w:type="pct"/>
            <w:shd w:val="clear" w:color="auto" w:fill="auto"/>
            <w:vAlign w:val="bottom"/>
          </w:tcPr>
          <w:p w14:paraId="39D9976B" w14:textId="77777777" w:rsidR="00996AD7" w:rsidRDefault="00996AD7">
            <w:pPr>
              <w:rPr>
                <w:rFonts w:ascii="宋体"/>
              </w:rPr>
            </w:pPr>
          </w:p>
        </w:tc>
        <w:tc>
          <w:tcPr>
            <w:tcW w:w="5" w:type="pct"/>
            <w:shd w:val="clear" w:color="auto" w:fill="auto"/>
            <w:vAlign w:val="bottom"/>
          </w:tcPr>
          <w:p w14:paraId="39D9976C" w14:textId="77777777" w:rsidR="00996AD7" w:rsidRDefault="00996AD7">
            <w:pPr>
              <w:rPr>
                <w:rFonts w:ascii="宋体"/>
              </w:rPr>
            </w:pPr>
          </w:p>
        </w:tc>
      </w:tr>
      <w:tr w:rsidR="00996AD7" w14:paraId="39D9977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76E"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04" wp14:editId="39D9A405">
                  <wp:extent cx="304800" cy="304800"/>
                  <wp:effectExtent l="0" t="0" r="0" b="0"/>
                  <wp:docPr id="58" name="图片 11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1"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76F"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770" w14:textId="77777777" w:rsidR="00996AD7" w:rsidRDefault="00D96458">
            <w:pPr>
              <w:jc w:val="right"/>
              <w:textAlignment w:val="center"/>
            </w:pPr>
            <w:r>
              <w:rPr>
                <w:rFonts w:ascii="Arial" w:eastAsia="宋体" w:hAnsi="Arial" w:cs="Arial"/>
                <w:color w:val="262626"/>
                <w:sz w:val="16"/>
                <w:szCs w:val="16"/>
              </w:rPr>
              <w:t>31</w:t>
            </w:r>
          </w:p>
        </w:tc>
      </w:tr>
    </w:tbl>
    <w:p w14:paraId="39D99772" w14:textId="77777777" w:rsidR="00996AD7" w:rsidRDefault="00D96458">
      <w:r>
        <w:pict w14:anchorId="39D9A406">
          <v:rect id="_x0000_i1057" style="width:415.3pt;height:1.5pt" o:hralign="center" o:hrstd="t" o:hr="t" fillcolor="#a0a0a0" stroked="f"/>
        </w:pict>
      </w:r>
    </w:p>
    <w:p w14:paraId="39D99773" w14:textId="77777777" w:rsidR="00996AD7" w:rsidRDefault="00D96458">
      <w:pPr>
        <w:spacing w:after="180"/>
        <w:jc w:val="right"/>
      </w:pPr>
      <w:hyperlink r:id="rId58" w:anchor="i94e6cc3aa83643b8b968bd5bab038338_7" w:history="1">
        <w:r>
          <w:rPr>
            <w:rStyle w:val="a5"/>
            <w:rFonts w:ascii="Arial" w:eastAsia="宋体" w:hAnsi="Arial" w:cs="Arial"/>
            <w:b/>
            <w:bCs/>
            <w:color w:val="0068B5"/>
            <w:sz w:val="16"/>
            <w:szCs w:val="16"/>
          </w:rPr>
          <w:t>Table of Contents</w:t>
        </w:r>
      </w:hyperlink>
    </w:p>
    <w:p w14:paraId="39D99774"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96AD7" w14:paraId="39D9977B" w14:textId="77777777">
        <w:tc>
          <w:tcPr>
            <w:tcW w:w="50" w:type="pct"/>
            <w:shd w:val="clear" w:color="auto" w:fill="auto"/>
            <w:vAlign w:val="bottom"/>
          </w:tcPr>
          <w:p w14:paraId="39D99775" w14:textId="77777777" w:rsidR="00996AD7" w:rsidRDefault="00996AD7">
            <w:pPr>
              <w:rPr>
                <w:rFonts w:ascii="宋体"/>
              </w:rPr>
            </w:pPr>
          </w:p>
        </w:tc>
        <w:tc>
          <w:tcPr>
            <w:tcW w:w="4870" w:type="pct"/>
            <w:shd w:val="clear" w:color="auto" w:fill="auto"/>
            <w:vAlign w:val="bottom"/>
          </w:tcPr>
          <w:p w14:paraId="39D99776" w14:textId="77777777" w:rsidR="00996AD7" w:rsidRDefault="00996AD7">
            <w:pPr>
              <w:rPr>
                <w:rFonts w:ascii="宋体"/>
              </w:rPr>
            </w:pPr>
          </w:p>
        </w:tc>
        <w:tc>
          <w:tcPr>
            <w:tcW w:w="5" w:type="pct"/>
            <w:shd w:val="clear" w:color="auto" w:fill="auto"/>
            <w:vAlign w:val="bottom"/>
          </w:tcPr>
          <w:p w14:paraId="39D99777" w14:textId="77777777" w:rsidR="00996AD7" w:rsidRDefault="00996AD7">
            <w:pPr>
              <w:rPr>
                <w:rFonts w:ascii="宋体"/>
              </w:rPr>
            </w:pPr>
          </w:p>
        </w:tc>
        <w:tc>
          <w:tcPr>
            <w:tcW w:w="5" w:type="pct"/>
            <w:shd w:val="clear" w:color="auto" w:fill="auto"/>
            <w:vAlign w:val="bottom"/>
          </w:tcPr>
          <w:p w14:paraId="39D99778" w14:textId="77777777" w:rsidR="00996AD7" w:rsidRDefault="00996AD7">
            <w:pPr>
              <w:rPr>
                <w:rFonts w:ascii="宋体"/>
              </w:rPr>
            </w:pPr>
          </w:p>
        </w:tc>
        <w:tc>
          <w:tcPr>
            <w:tcW w:w="64" w:type="pct"/>
            <w:shd w:val="clear" w:color="auto" w:fill="auto"/>
            <w:vAlign w:val="bottom"/>
          </w:tcPr>
          <w:p w14:paraId="39D99779" w14:textId="77777777" w:rsidR="00996AD7" w:rsidRDefault="00996AD7">
            <w:pPr>
              <w:rPr>
                <w:rFonts w:ascii="宋体"/>
              </w:rPr>
            </w:pPr>
          </w:p>
        </w:tc>
        <w:tc>
          <w:tcPr>
            <w:tcW w:w="5" w:type="pct"/>
            <w:shd w:val="clear" w:color="auto" w:fill="auto"/>
            <w:vAlign w:val="bottom"/>
          </w:tcPr>
          <w:p w14:paraId="39D9977A" w14:textId="77777777" w:rsidR="00996AD7" w:rsidRDefault="00996AD7">
            <w:pPr>
              <w:rPr>
                <w:rFonts w:ascii="宋体"/>
              </w:rPr>
            </w:pPr>
          </w:p>
        </w:tc>
      </w:tr>
      <w:tr w:rsidR="00996AD7" w14:paraId="39D9977E" w14:textId="77777777">
        <w:tc>
          <w:tcPr>
            <w:tcW w:w="0" w:type="auto"/>
            <w:gridSpan w:val="3"/>
            <w:shd w:val="clear" w:color="auto" w:fill="004A86"/>
            <w:tcMar>
              <w:top w:w="40" w:type="dxa"/>
              <w:left w:w="20" w:type="dxa"/>
              <w:bottom w:w="40" w:type="dxa"/>
              <w:right w:w="20" w:type="dxa"/>
            </w:tcMar>
            <w:vAlign w:val="center"/>
          </w:tcPr>
          <w:p w14:paraId="39D9977C" w14:textId="77777777" w:rsidR="00996AD7" w:rsidRDefault="00D96458">
            <w:pPr>
              <w:textAlignment w:val="center"/>
            </w:pPr>
            <w:r>
              <w:rPr>
                <w:rFonts w:ascii="Arial" w:eastAsia="宋体" w:hAnsi="Arial" w:cs="Arial"/>
                <w:color w:val="FFFFFF"/>
                <w:sz w:val="36"/>
                <w:szCs w:val="36"/>
              </w:rPr>
              <w:t>Consolidated Results of Operations</w:t>
            </w:r>
          </w:p>
        </w:tc>
        <w:tc>
          <w:tcPr>
            <w:tcW w:w="0" w:type="auto"/>
            <w:gridSpan w:val="3"/>
            <w:shd w:val="clear" w:color="auto" w:fill="auto"/>
            <w:tcMar>
              <w:top w:w="0" w:type="dxa"/>
              <w:left w:w="20" w:type="dxa"/>
              <w:bottom w:w="0" w:type="dxa"/>
              <w:right w:w="20" w:type="dxa"/>
            </w:tcMar>
            <w:vAlign w:val="bottom"/>
          </w:tcPr>
          <w:p w14:paraId="39D9977D" w14:textId="77777777" w:rsidR="00996AD7" w:rsidRDefault="00996AD7">
            <w:pPr>
              <w:rPr>
                <w:rFonts w:ascii="宋体"/>
              </w:rPr>
            </w:pPr>
          </w:p>
        </w:tc>
      </w:tr>
      <w:tr w:rsidR="00996AD7" w14:paraId="39D99781" w14:textId="77777777">
        <w:trPr>
          <w:trHeight w:val="160"/>
        </w:trPr>
        <w:tc>
          <w:tcPr>
            <w:tcW w:w="0" w:type="auto"/>
            <w:gridSpan w:val="3"/>
            <w:shd w:val="clear" w:color="auto" w:fill="auto"/>
            <w:tcMar>
              <w:top w:w="0" w:type="dxa"/>
              <w:left w:w="20" w:type="dxa"/>
              <w:bottom w:w="0" w:type="dxa"/>
              <w:right w:w="20" w:type="dxa"/>
            </w:tcMar>
            <w:vAlign w:val="bottom"/>
          </w:tcPr>
          <w:p w14:paraId="39D9977F" w14:textId="77777777" w:rsidR="00996AD7" w:rsidRDefault="00996AD7">
            <w:pPr>
              <w:rPr>
                <w:rFonts w:ascii="宋体"/>
              </w:rPr>
            </w:pPr>
          </w:p>
        </w:tc>
        <w:tc>
          <w:tcPr>
            <w:tcW w:w="0" w:type="auto"/>
            <w:gridSpan w:val="3"/>
            <w:shd w:val="clear" w:color="auto" w:fill="00A3F6"/>
            <w:tcMar>
              <w:top w:w="0" w:type="dxa"/>
              <w:left w:w="20" w:type="dxa"/>
              <w:bottom w:w="0" w:type="dxa"/>
              <w:right w:w="20" w:type="dxa"/>
            </w:tcMar>
            <w:vAlign w:val="bottom"/>
          </w:tcPr>
          <w:p w14:paraId="39D99780" w14:textId="77777777" w:rsidR="00996AD7" w:rsidRDefault="00996AD7">
            <w:pPr>
              <w:rPr>
                <w:rFonts w:ascii="宋体"/>
              </w:rPr>
            </w:pPr>
          </w:p>
        </w:tc>
      </w:tr>
    </w:tbl>
    <w:p w14:paraId="39D99782"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1124"/>
        <w:gridCol w:w="39"/>
        <w:gridCol w:w="40"/>
        <w:gridCol w:w="33"/>
        <w:gridCol w:w="36"/>
        <w:gridCol w:w="114"/>
        <w:gridCol w:w="545"/>
        <w:gridCol w:w="36"/>
        <w:gridCol w:w="40"/>
        <w:gridCol w:w="33"/>
        <w:gridCol w:w="36"/>
        <w:gridCol w:w="91"/>
        <w:gridCol w:w="619"/>
        <w:gridCol w:w="166"/>
        <w:gridCol w:w="40"/>
        <w:gridCol w:w="31"/>
        <w:gridCol w:w="35"/>
        <w:gridCol w:w="113"/>
        <w:gridCol w:w="544"/>
        <w:gridCol w:w="35"/>
        <w:gridCol w:w="40"/>
        <w:gridCol w:w="31"/>
        <w:gridCol w:w="35"/>
        <w:gridCol w:w="91"/>
        <w:gridCol w:w="619"/>
        <w:gridCol w:w="166"/>
        <w:gridCol w:w="40"/>
        <w:gridCol w:w="31"/>
        <w:gridCol w:w="35"/>
        <w:gridCol w:w="113"/>
        <w:gridCol w:w="544"/>
        <w:gridCol w:w="35"/>
        <w:gridCol w:w="40"/>
        <w:gridCol w:w="31"/>
        <w:gridCol w:w="35"/>
        <w:gridCol w:w="91"/>
        <w:gridCol w:w="619"/>
        <w:gridCol w:w="166"/>
        <w:gridCol w:w="40"/>
        <w:gridCol w:w="31"/>
        <w:gridCol w:w="35"/>
        <w:gridCol w:w="113"/>
        <w:gridCol w:w="544"/>
        <w:gridCol w:w="35"/>
        <w:gridCol w:w="40"/>
        <w:gridCol w:w="31"/>
        <w:gridCol w:w="35"/>
        <w:gridCol w:w="91"/>
        <w:gridCol w:w="619"/>
        <w:gridCol w:w="166"/>
      </w:tblGrid>
      <w:tr w:rsidR="00996AD7" w14:paraId="39D997B6" w14:textId="77777777">
        <w:tc>
          <w:tcPr>
            <w:tcW w:w="50" w:type="pct"/>
            <w:shd w:val="clear" w:color="auto" w:fill="auto"/>
            <w:vAlign w:val="bottom"/>
          </w:tcPr>
          <w:p w14:paraId="39D99783" w14:textId="77777777" w:rsidR="00996AD7" w:rsidRDefault="00996AD7">
            <w:pPr>
              <w:rPr>
                <w:rFonts w:ascii="宋体"/>
              </w:rPr>
            </w:pPr>
          </w:p>
        </w:tc>
        <w:tc>
          <w:tcPr>
            <w:tcW w:w="1447" w:type="pct"/>
            <w:shd w:val="clear" w:color="auto" w:fill="auto"/>
            <w:vAlign w:val="bottom"/>
          </w:tcPr>
          <w:p w14:paraId="39D99784" w14:textId="77777777" w:rsidR="00996AD7" w:rsidRDefault="00996AD7">
            <w:pPr>
              <w:rPr>
                <w:rFonts w:ascii="宋体"/>
              </w:rPr>
            </w:pPr>
          </w:p>
        </w:tc>
        <w:tc>
          <w:tcPr>
            <w:tcW w:w="5" w:type="pct"/>
            <w:shd w:val="clear" w:color="auto" w:fill="auto"/>
            <w:vAlign w:val="bottom"/>
          </w:tcPr>
          <w:p w14:paraId="39D99785" w14:textId="77777777" w:rsidR="00996AD7" w:rsidRDefault="00996AD7">
            <w:pPr>
              <w:rPr>
                <w:rFonts w:ascii="宋体"/>
              </w:rPr>
            </w:pPr>
          </w:p>
        </w:tc>
        <w:tc>
          <w:tcPr>
            <w:tcW w:w="5" w:type="pct"/>
            <w:shd w:val="clear" w:color="auto" w:fill="auto"/>
            <w:vAlign w:val="bottom"/>
          </w:tcPr>
          <w:p w14:paraId="39D99786" w14:textId="77777777" w:rsidR="00996AD7" w:rsidRDefault="00996AD7">
            <w:pPr>
              <w:rPr>
                <w:rFonts w:ascii="宋体"/>
              </w:rPr>
            </w:pPr>
          </w:p>
        </w:tc>
        <w:tc>
          <w:tcPr>
            <w:tcW w:w="17" w:type="pct"/>
            <w:shd w:val="clear" w:color="auto" w:fill="auto"/>
            <w:vAlign w:val="bottom"/>
          </w:tcPr>
          <w:p w14:paraId="39D99787" w14:textId="77777777" w:rsidR="00996AD7" w:rsidRDefault="00996AD7">
            <w:pPr>
              <w:rPr>
                <w:rFonts w:ascii="宋体"/>
              </w:rPr>
            </w:pPr>
          </w:p>
        </w:tc>
        <w:tc>
          <w:tcPr>
            <w:tcW w:w="5" w:type="pct"/>
            <w:shd w:val="clear" w:color="auto" w:fill="auto"/>
            <w:vAlign w:val="bottom"/>
          </w:tcPr>
          <w:p w14:paraId="39D99788" w14:textId="77777777" w:rsidR="00996AD7" w:rsidRDefault="00996AD7">
            <w:pPr>
              <w:rPr>
                <w:rFonts w:ascii="宋体"/>
              </w:rPr>
            </w:pPr>
          </w:p>
        </w:tc>
        <w:tc>
          <w:tcPr>
            <w:tcW w:w="50" w:type="pct"/>
            <w:shd w:val="clear" w:color="auto" w:fill="auto"/>
            <w:vAlign w:val="bottom"/>
          </w:tcPr>
          <w:p w14:paraId="39D99789" w14:textId="77777777" w:rsidR="00996AD7" w:rsidRDefault="00996AD7">
            <w:pPr>
              <w:rPr>
                <w:rFonts w:ascii="宋体"/>
              </w:rPr>
            </w:pPr>
          </w:p>
        </w:tc>
        <w:tc>
          <w:tcPr>
            <w:tcW w:w="354" w:type="pct"/>
            <w:shd w:val="clear" w:color="auto" w:fill="auto"/>
            <w:vAlign w:val="bottom"/>
          </w:tcPr>
          <w:p w14:paraId="39D9978A" w14:textId="77777777" w:rsidR="00996AD7" w:rsidRDefault="00996AD7">
            <w:pPr>
              <w:rPr>
                <w:rFonts w:ascii="宋体"/>
              </w:rPr>
            </w:pPr>
          </w:p>
        </w:tc>
        <w:tc>
          <w:tcPr>
            <w:tcW w:w="5" w:type="pct"/>
            <w:shd w:val="clear" w:color="auto" w:fill="auto"/>
            <w:vAlign w:val="bottom"/>
          </w:tcPr>
          <w:p w14:paraId="39D9978B" w14:textId="77777777" w:rsidR="00996AD7" w:rsidRDefault="00996AD7">
            <w:pPr>
              <w:rPr>
                <w:rFonts w:ascii="宋体"/>
              </w:rPr>
            </w:pPr>
          </w:p>
        </w:tc>
        <w:tc>
          <w:tcPr>
            <w:tcW w:w="5" w:type="pct"/>
            <w:shd w:val="clear" w:color="auto" w:fill="auto"/>
            <w:vAlign w:val="bottom"/>
          </w:tcPr>
          <w:p w14:paraId="39D9978C" w14:textId="77777777" w:rsidR="00996AD7" w:rsidRDefault="00996AD7">
            <w:pPr>
              <w:rPr>
                <w:rFonts w:ascii="宋体"/>
              </w:rPr>
            </w:pPr>
          </w:p>
        </w:tc>
        <w:tc>
          <w:tcPr>
            <w:tcW w:w="17" w:type="pct"/>
            <w:shd w:val="clear" w:color="auto" w:fill="auto"/>
            <w:vAlign w:val="bottom"/>
          </w:tcPr>
          <w:p w14:paraId="39D9978D" w14:textId="77777777" w:rsidR="00996AD7" w:rsidRDefault="00996AD7">
            <w:pPr>
              <w:rPr>
                <w:rFonts w:ascii="宋体"/>
              </w:rPr>
            </w:pPr>
          </w:p>
        </w:tc>
        <w:tc>
          <w:tcPr>
            <w:tcW w:w="5" w:type="pct"/>
            <w:shd w:val="clear" w:color="auto" w:fill="auto"/>
            <w:vAlign w:val="bottom"/>
          </w:tcPr>
          <w:p w14:paraId="39D9978E" w14:textId="77777777" w:rsidR="00996AD7" w:rsidRDefault="00996AD7">
            <w:pPr>
              <w:rPr>
                <w:rFonts w:ascii="宋体"/>
              </w:rPr>
            </w:pPr>
          </w:p>
        </w:tc>
        <w:tc>
          <w:tcPr>
            <w:tcW w:w="50" w:type="pct"/>
            <w:shd w:val="clear" w:color="auto" w:fill="auto"/>
            <w:vAlign w:val="bottom"/>
          </w:tcPr>
          <w:p w14:paraId="39D9978F" w14:textId="77777777" w:rsidR="00996AD7" w:rsidRDefault="00996AD7">
            <w:pPr>
              <w:rPr>
                <w:rFonts w:ascii="宋体"/>
              </w:rPr>
            </w:pPr>
          </w:p>
        </w:tc>
        <w:tc>
          <w:tcPr>
            <w:tcW w:w="354" w:type="pct"/>
            <w:shd w:val="clear" w:color="auto" w:fill="auto"/>
            <w:vAlign w:val="bottom"/>
          </w:tcPr>
          <w:p w14:paraId="39D99790" w14:textId="77777777" w:rsidR="00996AD7" w:rsidRDefault="00996AD7">
            <w:pPr>
              <w:rPr>
                <w:rFonts w:ascii="宋体"/>
              </w:rPr>
            </w:pPr>
          </w:p>
        </w:tc>
        <w:tc>
          <w:tcPr>
            <w:tcW w:w="5" w:type="pct"/>
            <w:shd w:val="clear" w:color="auto" w:fill="auto"/>
            <w:vAlign w:val="bottom"/>
          </w:tcPr>
          <w:p w14:paraId="39D99791" w14:textId="77777777" w:rsidR="00996AD7" w:rsidRDefault="00996AD7">
            <w:pPr>
              <w:rPr>
                <w:rFonts w:ascii="宋体"/>
              </w:rPr>
            </w:pPr>
          </w:p>
        </w:tc>
        <w:tc>
          <w:tcPr>
            <w:tcW w:w="5" w:type="pct"/>
            <w:shd w:val="clear" w:color="auto" w:fill="auto"/>
            <w:vAlign w:val="bottom"/>
          </w:tcPr>
          <w:p w14:paraId="39D99792" w14:textId="77777777" w:rsidR="00996AD7" w:rsidRDefault="00996AD7">
            <w:pPr>
              <w:rPr>
                <w:rFonts w:ascii="宋体"/>
              </w:rPr>
            </w:pPr>
          </w:p>
        </w:tc>
        <w:tc>
          <w:tcPr>
            <w:tcW w:w="17" w:type="pct"/>
            <w:shd w:val="clear" w:color="auto" w:fill="auto"/>
            <w:vAlign w:val="bottom"/>
          </w:tcPr>
          <w:p w14:paraId="39D99793" w14:textId="77777777" w:rsidR="00996AD7" w:rsidRDefault="00996AD7">
            <w:pPr>
              <w:rPr>
                <w:rFonts w:ascii="宋体"/>
              </w:rPr>
            </w:pPr>
          </w:p>
        </w:tc>
        <w:tc>
          <w:tcPr>
            <w:tcW w:w="5" w:type="pct"/>
            <w:shd w:val="clear" w:color="auto" w:fill="auto"/>
            <w:vAlign w:val="bottom"/>
          </w:tcPr>
          <w:p w14:paraId="39D99794" w14:textId="77777777" w:rsidR="00996AD7" w:rsidRDefault="00996AD7">
            <w:pPr>
              <w:rPr>
                <w:rFonts w:ascii="宋体"/>
              </w:rPr>
            </w:pPr>
          </w:p>
        </w:tc>
        <w:tc>
          <w:tcPr>
            <w:tcW w:w="50" w:type="pct"/>
            <w:shd w:val="clear" w:color="auto" w:fill="auto"/>
            <w:vAlign w:val="bottom"/>
          </w:tcPr>
          <w:p w14:paraId="39D99795" w14:textId="77777777" w:rsidR="00996AD7" w:rsidRDefault="00996AD7">
            <w:pPr>
              <w:rPr>
                <w:rFonts w:ascii="宋体"/>
              </w:rPr>
            </w:pPr>
          </w:p>
        </w:tc>
        <w:tc>
          <w:tcPr>
            <w:tcW w:w="354" w:type="pct"/>
            <w:shd w:val="clear" w:color="auto" w:fill="auto"/>
            <w:vAlign w:val="bottom"/>
          </w:tcPr>
          <w:p w14:paraId="39D99796" w14:textId="77777777" w:rsidR="00996AD7" w:rsidRDefault="00996AD7">
            <w:pPr>
              <w:rPr>
                <w:rFonts w:ascii="宋体"/>
              </w:rPr>
            </w:pPr>
          </w:p>
        </w:tc>
        <w:tc>
          <w:tcPr>
            <w:tcW w:w="5" w:type="pct"/>
            <w:shd w:val="clear" w:color="auto" w:fill="auto"/>
            <w:vAlign w:val="bottom"/>
          </w:tcPr>
          <w:p w14:paraId="39D99797" w14:textId="77777777" w:rsidR="00996AD7" w:rsidRDefault="00996AD7">
            <w:pPr>
              <w:rPr>
                <w:rFonts w:ascii="宋体"/>
              </w:rPr>
            </w:pPr>
          </w:p>
        </w:tc>
        <w:tc>
          <w:tcPr>
            <w:tcW w:w="5" w:type="pct"/>
            <w:shd w:val="clear" w:color="auto" w:fill="auto"/>
            <w:vAlign w:val="bottom"/>
          </w:tcPr>
          <w:p w14:paraId="39D99798" w14:textId="77777777" w:rsidR="00996AD7" w:rsidRDefault="00996AD7">
            <w:pPr>
              <w:rPr>
                <w:rFonts w:ascii="宋体"/>
              </w:rPr>
            </w:pPr>
          </w:p>
        </w:tc>
        <w:tc>
          <w:tcPr>
            <w:tcW w:w="17" w:type="pct"/>
            <w:shd w:val="clear" w:color="auto" w:fill="auto"/>
            <w:vAlign w:val="bottom"/>
          </w:tcPr>
          <w:p w14:paraId="39D99799" w14:textId="77777777" w:rsidR="00996AD7" w:rsidRDefault="00996AD7">
            <w:pPr>
              <w:rPr>
                <w:rFonts w:ascii="宋体"/>
              </w:rPr>
            </w:pPr>
          </w:p>
        </w:tc>
        <w:tc>
          <w:tcPr>
            <w:tcW w:w="5" w:type="pct"/>
            <w:shd w:val="clear" w:color="auto" w:fill="auto"/>
            <w:vAlign w:val="bottom"/>
          </w:tcPr>
          <w:p w14:paraId="39D9979A" w14:textId="77777777" w:rsidR="00996AD7" w:rsidRDefault="00996AD7">
            <w:pPr>
              <w:rPr>
                <w:rFonts w:ascii="宋体"/>
              </w:rPr>
            </w:pPr>
          </w:p>
        </w:tc>
        <w:tc>
          <w:tcPr>
            <w:tcW w:w="50" w:type="pct"/>
            <w:shd w:val="clear" w:color="auto" w:fill="auto"/>
            <w:vAlign w:val="bottom"/>
          </w:tcPr>
          <w:p w14:paraId="39D9979B" w14:textId="77777777" w:rsidR="00996AD7" w:rsidRDefault="00996AD7">
            <w:pPr>
              <w:rPr>
                <w:rFonts w:ascii="宋体"/>
              </w:rPr>
            </w:pPr>
          </w:p>
        </w:tc>
        <w:tc>
          <w:tcPr>
            <w:tcW w:w="354" w:type="pct"/>
            <w:shd w:val="clear" w:color="auto" w:fill="auto"/>
            <w:vAlign w:val="bottom"/>
          </w:tcPr>
          <w:p w14:paraId="39D9979C" w14:textId="77777777" w:rsidR="00996AD7" w:rsidRDefault="00996AD7">
            <w:pPr>
              <w:rPr>
                <w:rFonts w:ascii="宋体"/>
              </w:rPr>
            </w:pPr>
          </w:p>
        </w:tc>
        <w:tc>
          <w:tcPr>
            <w:tcW w:w="5" w:type="pct"/>
            <w:shd w:val="clear" w:color="auto" w:fill="auto"/>
            <w:vAlign w:val="bottom"/>
          </w:tcPr>
          <w:p w14:paraId="39D9979D" w14:textId="77777777" w:rsidR="00996AD7" w:rsidRDefault="00996AD7">
            <w:pPr>
              <w:rPr>
                <w:rFonts w:ascii="宋体"/>
              </w:rPr>
            </w:pPr>
          </w:p>
        </w:tc>
        <w:tc>
          <w:tcPr>
            <w:tcW w:w="5" w:type="pct"/>
            <w:shd w:val="clear" w:color="auto" w:fill="auto"/>
            <w:vAlign w:val="bottom"/>
          </w:tcPr>
          <w:p w14:paraId="39D9979E" w14:textId="77777777" w:rsidR="00996AD7" w:rsidRDefault="00996AD7">
            <w:pPr>
              <w:rPr>
                <w:rFonts w:ascii="宋体"/>
              </w:rPr>
            </w:pPr>
          </w:p>
        </w:tc>
        <w:tc>
          <w:tcPr>
            <w:tcW w:w="17" w:type="pct"/>
            <w:shd w:val="clear" w:color="auto" w:fill="auto"/>
            <w:vAlign w:val="bottom"/>
          </w:tcPr>
          <w:p w14:paraId="39D9979F" w14:textId="77777777" w:rsidR="00996AD7" w:rsidRDefault="00996AD7">
            <w:pPr>
              <w:rPr>
                <w:rFonts w:ascii="宋体"/>
              </w:rPr>
            </w:pPr>
          </w:p>
        </w:tc>
        <w:tc>
          <w:tcPr>
            <w:tcW w:w="5" w:type="pct"/>
            <w:shd w:val="clear" w:color="auto" w:fill="auto"/>
            <w:vAlign w:val="bottom"/>
          </w:tcPr>
          <w:p w14:paraId="39D997A0" w14:textId="77777777" w:rsidR="00996AD7" w:rsidRDefault="00996AD7">
            <w:pPr>
              <w:rPr>
                <w:rFonts w:ascii="宋体"/>
              </w:rPr>
            </w:pPr>
          </w:p>
        </w:tc>
        <w:tc>
          <w:tcPr>
            <w:tcW w:w="50" w:type="pct"/>
            <w:shd w:val="clear" w:color="auto" w:fill="auto"/>
            <w:vAlign w:val="bottom"/>
          </w:tcPr>
          <w:p w14:paraId="39D997A1" w14:textId="77777777" w:rsidR="00996AD7" w:rsidRDefault="00996AD7">
            <w:pPr>
              <w:rPr>
                <w:rFonts w:ascii="宋体"/>
              </w:rPr>
            </w:pPr>
          </w:p>
        </w:tc>
        <w:tc>
          <w:tcPr>
            <w:tcW w:w="354" w:type="pct"/>
            <w:shd w:val="clear" w:color="auto" w:fill="auto"/>
            <w:vAlign w:val="bottom"/>
          </w:tcPr>
          <w:p w14:paraId="39D997A2" w14:textId="77777777" w:rsidR="00996AD7" w:rsidRDefault="00996AD7">
            <w:pPr>
              <w:rPr>
                <w:rFonts w:ascii="宋体"/>
              </w:rPr>
            </w:pPr>
          </w:p>
        </w:tc>
        <w:tc>
          <w:tcPr>
            <w:tcW w:w="5" w:type="pct"/>
            <w:shd w:val="clear" w:color="auto" w:fill="auto"/>
            <w:vAlign w:val="bottom"/>
          </w:tcPr>
          <w:p w14:paraId="39D997A3" w14:textId="77777777" w:rsidR="00996AD7" w:rsidRDefault="00996AD7">
            <w:pPr>
              <w:rPr>
                <w:rFonts w:ascii="宋体"/>
              </w:rPr>
            </w:pPr>
          </w:p>
        </w:tc>
        <w:tc>
          <w:tcPr>
            <w:tcW w:w="5" w:type="pct"/>
            <w:shd w:val="clear" w:color="auto" w:fill="auto"/>
            <w:vAlign w:val="bottom"/>
          </w:tcPr>
          <w:p w14:paraId="39D997A4" w14:textId="77777777" w:rsidR="00996AD7" w:rsidRDefault="00996AD7">
            <w:pPr>
              <w:rPr>
                <w:rFonts w:ascii="宋体"/>
              </w:rPr>
            </w:pPr>
          </w:p>
        </w:tc>
        <w:tc>
          <w:tcPr>
            <w:tcW w:w="17" w:type="pct"/>
            <w:shd w:val="clear" w:color="auto" w:fill="auto"/>
            <w:vAlign w:val="bottom"/>
          </w:tcPr>
          <w:p w14:paraId="39D997A5" w14:textId="77777777" w:rsidR="00996AD7" w:rsidRDefault="00996AD7">
            <w:pPr>
              <w:rPr>
                <w:rFonts w:ascii="宋体"/>
              </w:rPr>
            </w:pPr>
          </w:p>
        </w:tc>
        <w:tc>
          <w:tcPr>
            <w:tcW w:w="5" w:type="pct"/>
            <w:shd w:val="clear" w:color="auto" w:fill="auto"/>
            <w:vAlign w:val="bottom"/>
          </w:tcPr>
          <w:p w14:paraId="39D997A6" w14:textId="77777777" w:rsidR="00996AD7" w:rsidRDefault="00996AD7">
            <w:pPr>
              <w:rPr>
                <w:rFonts w:ascii="宋体"/>
              </w:rPr>
            </w:pPr>
          </w:p>
        </w:tc>
        <w:tc>
          <w:tcPr>
            <w:tcW w:w="50" w:type="pct"/>
            <w:shd w:val="clear" w:color="auto" w:fill="auto"/>
            <w:vAlign w:val="bottom"/>
          </w:tcPr>
          <w:p w14:paraId="39D997A7" w14:textId="77777777" w:rsidR="00996AD7" w:rsidRDefault="00996AD7">
            <w:pPr>
              <w:rPr>
                <w:rFonts w:ascii="宋体"/>
              </w:rPr>
            </w:pPr>
          </w:p>
        </w:tc>
        <w:tc>
          <w:tcPr>
            <w:tcW w:w="354" w:type="pct"/>
            <w:shd w:val="clear" w:color="auto" w:fill="auto"/>
            <w:vAlign w:val="bottom"/>
          </w:tcPr>
          <w:p w14:paraId="39D997A8" w14:textId="77777777" w:rsidR="00996AD7" w:rsidRDefault="00996AD7">
            <w:pPr>
              <w:rPr>
                <w:rFonts w:ascii="宋体"/>
              </w:rPr>
            </w:pPr>
          </w:p>
        </w:tc>
        <w:tc>
          <w:tcPr>
            <w:tcW w:w="5" w:type="pct"/>
            <w:shd w:val="clear" w:color="auto" w:fill="auto"/>
            <w:vAlign w:val="bottom"/>
          </w:tcPr>
          <w:p w14:paraId="39D997A9" w14:textId="77777777" w:rsidR="00996AD7" w:rsidRDefault="00996AD7">
            <w:pPr>
              <w:rPr>
                <w:rFonts w:ascii="宋体"/>
              </w:rPr>
            </w:pPr>
          </w:p>
        </w:tc>
        <w:tc>
          <w:tcPr>
            <w:tcW w:w="5" w:type="pct"/>
            <w:shd w:val="clear" w:color="auto" w:fill="auto"/>
            <w:vAlign w:val="bottom"/>
          </w:tcPr>
          <w:p w14:paraId="39D997AA" w14:textId="77777777" w:rsidR="00996AD7" w:rsidRDefault="00996AD7">
            <w:pPr>
              <w:rPr>
                <w:rFonts w:ascii="宋体"/>
              </w:rPr>
            </w:pPr>
          </w:p>
        </w:tc>
        <w:tc>
          <w:tcPr>
            <w:tcW w:w="17" w:type="pct"/>
            <w:shd w:val="clear" w:color="auto" w:fill="auto"/>
            <w:vAlign w:val="bottom"/>
          </w:tcPr>
          <w:p w14:paraId="39D997AB" w14:textId="77777777" w:rsidR="00996AD7" w:rsidRDefault="00996AD7">
            <w:pPr>
              <w:rPr>
                <w:rFonts w:ascii="宋体"/>
              </w:rPr>
            </w:pPr>
          </w:p>
        </w:tc>
        <w:tc>
          <w:tcPr>
            <w:tcW w:w="5" w:type="pct"/>
            <w:shd w:val="clear" w:color="auto" w:fill="auto"/>
            <w:vAlign w:val="bottom"/>
          </w:tcPr>
          <w:p w14:paraId="39D997AC" w14:textId="77777777" w:rsidR="00996AD7" w:rsidRDefault="00996AD7">
            <w:pPr>
              <w:rPr>
                <w:rFonts w:ascii="宋体"/>
              </w:rPr>
            </w:pPr>
          </w:p>
        </w:tc>
        <w:tc>
          <w:tcPr>
            <w:tcW w:w="50" w:type="pct"/>
            <w:shd w:val="clear" w:color="auto" w:fill="auto"/>
            <w:vAlign w:val="bottom"/>
          </w:tcPr>
          <w:p w14:paraId="39D997AD" w14:textId="77777777" w:rsidR="00996AD7" w:rsidRDefault="00996AD7">
            <w:pPr>
              <w:rPr>
                <w:rFonts w:ascii="宋体"/>
              </w:rPr>
            </w:pPr>
          </w:p>
        </w:tc>
        <w:tc>
          <w:tcPr>
            <w:tcW w:w="354" w:type="pct"/>
            <w:shd w:val="clear" w:color="auto" w:fill="auto"/>
            <w:vAlign w:val="bottom"/>
          </w:tcPr>
          <w:p w14:paraId="39D997AE" w14:textId="77777777" w:rsidR="00996AD7" w:rsidRDefault="00996AD7">
            <w:pPr>
              <w:rPr>
                <w:rFonts w:ascii="宋体"/>
              </w:rPr>
            </w:pPr>
          </w:p>
        </w:tc>
        <w:tc>
          <w:tcPr>
            <w:tcW w:w="5" w:type="pct"/>
            <w:shd w:val="clear" w:color="auto" w:fill="auto"/>
            <w:vAlign w:val="bottom"/>
          </w:tcPr>
          <w:p w14:paraId="39D997AF" w14:textId="77777777" w:rsidR="00996AD7" w:rsidRDefault="00996AD7">
            <w:pPr>
              <w:rPr>
                <w:rFonts w:ascii="宋体"/>
              </w:rPr>
            </w:pPr>
          </w:p>
        </w:tc>
        <w:tc>
          <w:tcPr>
            <w:tcW w:w="5" w:type="pct"/>
            <w:shd w:val="clear" w:color="auto" w:fill="auto"/>
            <w:vAlign w:val="bottom"/>
          </w:tcPr>
          <w:p w14:paraId="39D997B0" w14:textId="77777777" w:rsidR="00996AD7" w:rsidRDefault="00996AD7">
            <w:pPr>
              <w:rPr>
                <w:rFonts w:ascii="宋体"/>
              </w:rPr>
            </w:pPr>
          </w:p>
        </w:tc>
        <w:tc>
          <w:tcPr>
            <w:tcW w:w="17" w:type="pct"/>
            <w:shd w:val="clear" w:color="auto" w:fill="auto"/>
            <w:vAlign w:val="bottom"/>
          </w:tcPr>
          <w:p w14:paraId="39D997B1" w14:textId="77777777" w:rsidR="00996AD7" w:rsidRDefault="00996AD7">
            <w:pPr>
              <w:rPr>
                <w:rFonts w:ascii="宋体"/>
              </w:rPr>
            </w:pPr>
          </w:p>
        </w:tc>
        <w:tc>
          <w:tcPr>
            <w:tcW w:w="5" w:type="pct"/>
            <w:shd w:val="clear" w:color="auto" w:fill="auto"/>
            <w:vAlign w:val="bottom"/>
          </w:tcPr>
          <w:p w14:paraId="39D997B2" w14:textId="77777777" w:rsidR="00996AD7" w:rsidRDefault="00996AD7">
            <w:pPr>
              <w:rPr>
                <w:rFonts w:ascii="宋体"/>
              </w:rPr>
            </w:pPr>
          </w:p>
        </w:tc>
        <w:tc>
          <w:tcPr>
            <w:tcW w:w="50" w:type="pct"/>
            <w:shd w:val="clear" w:color="auto" w:fill="auto"/>
            <w:vAlign w:val="bottom"/>
          </w:tcPr>
          <w:p w14:paraId="39D997B3" w14:textId="77777777" w:rsidR="00996AD7" w:rsidRDefault="00996AD7">
            <w:pPr>
              <w:rPr>
                <w:rFonts w:ascii="宋体"/>
              </w:rPr>
            </w:pPr>
          </w:p>
        </w:tc>
        <w:tc>
          <w:tcPr>
            <w:tcW w:w="355" w:type="pct"/>
            <w:shd w:val="clear" w:color="auto" w:fill="auto"/>
            <w:vAlign w:val="bottom"/>
          </w:tcPr>
          <w:p w14:paraId="39D997B4" w14:textId="77777777" w:rsidR="00996AD7" w:rsidRDefault="00996AD7">
            <w:pPr>
              <w:rPr>
                <w:rFonts w:ascii="宋体"/>
              </w:rPr>
            </w:pPr>
          </w:p>
        </w:tc>
        <w:tc>
          <w:tcPr>
            <w:tcW w:w="5" w:type="pct"/>
            <w:shd w:val="clear" w:color="auto" w:fill="auto"/>
            <w:vAlign w:val="bottom"/>
          </w:tcPr>
          <w:p w14:paraId="39D997B5" w14:textId="77777777" w:rsidR="00996AD7" w:rsidRDefault="00996AD7">
            <w:pPr>
              <w:rPr>
                <w:rFonts w:ascii="宋体"/>
              </w:rPr>
            </w:pPr>
          </w:p>
        </w:tc>
      </w:tr>
      <w:tr w:rsidR="00996AD7" w14:paraId="39D997BC" w14:textId="77777777">
        <w:tc>
          <w:tcPr>
            <w:tcW w:w="0" w:type="auto"/>
            <w:gridSpan w:val="3"/>
            <w:shd w:val="clear" w:color="auto" w:fill="auto"/>
            <w:tcMar>
              <w:top w:w="0" w:type="dxa"/>
              <w:left w:w="20" w:type="dxa"/>
              <w:bottom w:w="0" w:type="dxa"/>
              <w:right w:w="20" w:type="dxa"/>
            </w:tcMar>
            <w:vAlign w:val="bottom"/>
          </w:tcPr>
          <w:p w14:paraId="39D997B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7B8" w14:textId="77777777" w:rsidR="00996AD7" w:rsidRDefault="00996AD7">
            <w:pPr>
              <w:rPr>
                <w:rFonts w:ascii="宋体"/>
              </w:rPr>
            </w:pPr>
          </w:p>
        </w:tc>
        <w:tc>
          <w:tcPr>
            <w:tcW w:w="0" w:type="auto"/>
            <w:gridSpan w:val="21"/>
            <w:tcBorders>
              <w:bottom w:val="single" w:sz="4" w:space="0" w:color="0068B5"/>
            </w:tcBorders>
            <w:shd w:val="clear" w:color="auto" w:fill="auto"/>
            <w:tcMar>
              <w:top w:w="40" w:type="dxa"/>
              <w:left w:w="20" w:type="dxa"/>
              <w:bottom w:w="40" w:type="dxa"/>
              <w:right w:w="20" w:type="dxa"/>
            </w:tcMar>
            <w:vAlign w:val="bottom"/>
          </w:tcPr>
          <w:p w14:paraId="39D997B9" w14:textId="77777777" w:rsidR="00996AD7" w:rsidRDefault="00D964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39D997BA" w14:textId="77777777" w:rsidR="00996AD7" w:rsidRDefault="00996AD7">
            <w:pPr>
              <w:rPr>
                <w:rFonts w:ascii="宋体"/>
              </w:rPr>
            </w:pPr>
          </w:p>
        </w:tc>
        <w:tc>
          <w:tcPr>
            <w:tcW w:w="0" w:type="auto"/>
            <w:gridSpan w:val="21"/>
            <w:tcBorders>
              <w:bottom w:val="single" w:sz="4" w:space="0" w:color="0068B5"/>
            </w:tcBorders>
            <w:shd w:val="clear" w:color="auto" w:fill="auto"/>
            <w:tcMar>
              <w:top w:w="40" w:type="dxa"/>
              <w:left w:w="20" w:type="dxa"/>
              <w:bottom w:w="40" w:type="dxa"/>
              <w:right w:w="20" w:type="dxa"/>
            </w:tcMar>
            <w:vAlign w:val="bottom"/>
          </w:tcPr>
          <w:p w14:paraId="39D997BB" w14:textId="77777777" w:rsidR="00996AD7" w:rsidRDefault="00D96458">
            <w:pPr>
              <w:jc w:val="center"/>
              <w:textAlignment w:val="bottom"/>
            </w:pPr>
            <w:r>
              <w:rPr>
                <w:rFonts w:ascii="Arial" w:eastAsia="宋体" w:hAnsi="Arial" w:cs="Arial"/>
                <w:b/>
                <w:bCs/>
                <w:color w:val="262626"/>
                <w:sz w:val="18"/>
                <w:szCs w:val="18"/>
              </w:rPr>
              <w:t>Nine Months Ended</w:t>
            </w:r>
          </w:p>
        </w:tc>
      </w:tr>
      <w:tr w:rsidR="00996AD7" w14:paraId="39D997C6" w14:textId="77777777">
        <w:tc>
          <w:tcPr>
            <w:tcW w:w="0" w:type="auto"/>
            <w:gridSpan w:val="3"/>
            <w:shd w:val="clear" w:color="auto" w:fill="auto"/>
            <w:tcMar>
              <w:top w:w="0" w:type="dxa"/>
              <w:left w:w="20" w:type="dxa"/>
              <w:bottom w:w="0" w:type="dxa"/>
              <w:right w:w="20" w:type="dxa"/>
            </w:tcMar>
            <w:vAlign w:val="bottom"/>
          </w:tcPr>
          <w:p w14:paraId="39D997B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7BE" w14:textId="77777777" w:rsidR="00996AD7" w:rsidRDefault="00996AD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39D997BF" w14:textId="77777777" w:rsidR="00996AD7" w:rsidRDefault="00D96458">
            <w:pPr>
              <w:jc w:val="center"/>
              <w:textAlignment w:val="bottom"/>
            </w:pPr>
            <w:r>
              <w:rPr>
                <w:rFonts w:ascii="Arial" w:eastAsia="宋体" w:hAnsi="Arial" w:cs="Arial"/>
                <w:b/>
                <w:bCs/>
                <w:color w:val="262626"/>
                <w:sz w:val="18"/>
                <w:szCs w:val="18"/>
              </w:rPr>
              <w:t>Q3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7C0" w14:textId="77777777" w:rsidR="00996AD7" w:rsidRDefault="00996AD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39D997C1" w14:textId="77777777" w:rsidR="00996AD7" w:rsidRDefault="00D96458">
            <w:pPr>
              <w:jc w:val="center"/>
              <w:textAlignment w:val="bottom"/>
            </w:pPr>
            <w:r>
              <w:rPr>
                <w:rFonts w:ascii="Arial" w:eastAsia="宋体" w:hAnsi="Arial" w:cs="Arial"/>
                <w:b/>
                <w:bCs/>
                <w:color w:val="262626"/>
                <w:sz w:val="18"/>
                <w:szCs w:val="18"/>
              </w:rPr>
              <w:t>Q3 2020</w:t>
            </w:r>
          </w:p>
        </w:tc>
        <w:tc>
          <w:tcPr>
            <w:tcW w:w="0" w:type="auto"/>
            <w:gridSpan w:val="3"/>
            <w:shd w:val="clear" w:color="auto" w:fill="auto"/>
            <w:tcMar>
              <w:top w:w="0" w:type="dxa"/>
              <w:left w:w="20" w:type="dxa"/>
              <w:bottom w:w="0" w:type="dxa"/>
              <w:right w:w="20" w:type="dxa"/>
            </w:tcMar>
            <w:vAlign w:val="bottom"/>
          </w:tcPr>
          <w:p w14:paraId="39D997C2" w14:textId="77777777" w:rsidR="00996AD7" w:rsidRDefault="00996AD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39D997C3" w14:textId="77777777" w:rsidR="00996AD7" w:rsidRDefault="00D96458">
            <w:pPr>
              <w:jc w:val="center"/>
              <w:textAlignment w:val="bottom"/>
            </w:pPr>
            <w:r>
              <w:rPr>
                <w:rFonts w:ascii="Arial" w:eastAsia="宋体" w:hAnsi="Arial" w:cs="Arial"/>
                <w:b/>
                <w:bCs/>
                <w:color w:val="262626"/>
                <w:sz w:val="18"/>
                <w:szCs w:val="18"/>
              </w:rPr>
              <w:t>YTD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7C4" w14:textId="77777777" w:rsidR="00996AD7" w:rsidRDefault="00996AD7">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39D997C5" w14:textId="77777777" w:rsidR="00996AD7" w:rsidRDefault="00D96458">
            <w:pPr>
              <w:jc w:val="center"/>
              <w:textAlignment w:val="bottom"/>
            </w:pPr>
            <w:r>
              <w:rPr>
                <w:rFonts w:ascii="Arial" w:eastAsia="宋体" w:hAnsi="Arial" w:cs="Arial"/>
                <w:b/>
                <w:bCs/>
                <w:color w:val="262626"/>
                <w:sz w:val="18"/>
                <w:szCs w:val="18"/>
              </w:rPr>
              <w:t>YTD 2020</w:t>
            </w:r>
          </w:p>
        </w:tc>
      </w:tr>
      <w:tr w:rsidR="00996AD7" w14:paraId="39D997D8" w14:textId="77777777">
        <w:tc>
          <w:tcPr>
            <w:tcW w:w="0" w:type="auto"/>
            <w:gridSpan w:val="3"/>
            <w:shd w:val="clear" w:color="auto" w:fill="auto"/>
            <w:tcMar>
              <w:top w:w="40" w:type="dxa"/>
              <w:left w:w="20" w:type="dxa"/>
              <w:bottom w:w="40" w:type="dxa"/>
              <w:right w:w="20" w:type="dxa"/>
            </w:tcMar>
            <w:vAlign w:val="bottom"/>
          </w:tcPr>
          <w:p w14:paraId="39D997C7" w14:textId="77777777" w:rsidR="00996AD7" w:rsidRDefault="00D96458">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39D997C8"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97C9" w14:textId="77777777" w:rsidR="00996AD7" w:rsidRDefault="00D96458">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97CA"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97CB" w14:textId="77777777" w:rsidR="00996AD7" w:rsidRDefault="00D9645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39D997CC"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97CD" w14:textId="77777777" w:rsidR="00996AD7" w:rsidRDefault="00D96458">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97CE"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97CF" w14:textId="77777777" w:rsidR="00996AD7" w:rsidRDefault="00D9645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39D997D0"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97D1" w14:textId="77777777" w:rsidR="00996AD7" w:rsidRDefault="00D96458">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97D2"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97D3" w14:textId="77777777" w:rsidR="00996AD7" w:rsidRDefault="00D9645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39D997D4"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97D5" w14:textId="77777777" w:rsidR="00996AD7" w:rsidRDefault="00D96458">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97D6"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97D7" w14:textId="77777777" w:rsidR="00996AD7" w:rsidRDefault="00D9645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r>
      <w:tr w:rsidR="00996AD7" w14:paraId="39D997F6"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97D9" w14:textId="77777777" w:rsidR="00996AD7" w:rsidRDefault="00D96458">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39D997DA"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7DB"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7DC" w14:textId="77777777" w:rsidR="00996AD7" w:rsidRDefault="00D96458">
            <w:pPr>
              <w:jc w:val="right"/>
              <w:textAlignment w:val="bottom"/>
            </w:pPr>
            <w:r>
              <w:rPr>
                <w:rFonts w:ascii="Arial" w:eastAsia="宋体" w:hAnsi="Arial" w:cs="Arial"/>
                <w:b/>
                <w:bCs/>
                <w:color w:val="0068B5"/>
                <w:sz w:val="18"/>
                <w:szCs w:val="18"/>
              </w:rPr>
              <w:t>19,192</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7D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7DE" w14:textId="77777777" w:rsidR="00996AD7" w:rsidRDefault="00996AD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39D997DF" w14:textId="77777777" w:rsidR="00996AD7" w:rsidRDefault="00D96458">
            <w:pPr>
              <w:jc w:val="right"/>
              <w:textAlignment w:val="bottom"/>
            </w:pPr>
            <w:r>
              <w:rPr>
                <w:rFonts w:ascii="Arial" w:eastAsia="宋体" w:hAnsi="Arial" w:cs="Arial"/>
                <w:b/>
                <w:bCs/>
                <w:color w:val="0068B5"/>
                <w:sz w:val="18"/>
                <w:szCs w:val="18"/>
              </w:rPr>
              <w:t>100.0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7E0" w14:textId="77777777" w:rsidR="00996AD7" w:rsidRDefault="00D964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7E1"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7E2" w14:textId="77777777" w:rsidR="00996AD7" w:rsidRDefault="00D96458">
            <w:pPr>
              <w:textAlignment w:val="bottom"/>
            </w:pPr>
            <w:r>
              <w:rPr>
                <w:rFonts w:ascii="Arial" w:eastAsia="宋体" w:hAnsi="Arial" w:cs="Arial"/>
                <w:b/>
                <w:bCs/>
                <w:color w:val="000000"/>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7E3" w14:textId="77777777" w:rsidR="00996AD7" w:rsidRDefault="00D96458">
            <w:pPr>
              <w:jc w:val="right"/>
              <w:textAlignment w:val="bottom"/>
            </w:pPr>
            <w:r>
              <w:rPr>
                <w:rFonts w:ascii="Arial" w:eastAsia="宋体" w:hAnsi="Arial" w:cs="Arial"/>
                <w:b/>
                <w:bCs/>
                <w:color w:val="000000"/>
                <w:sz w:val="18"/>
                <w:szCs w:val="18"/>
              </w:rPr>
              <w:t>18,333</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7E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7E5" w14:textId="77777777" w:rsidR="00996AD7" w:rsidRDefault="00996AD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39D997E6" w14:textId="77777777" w:rsidR="00996AD7" w:rsidRDefault="00D96458">
            <w:pPr>
              <w:jc w:val="right"/>
              <w:textAlignment w:val="bottom"/>
            </w:pPr>
            <w:r>
              <w:rPr>
                <w:rFonts w:ascii="Arial" w:eastAsia="宋体" w:hAnsi="Arial" w:cs="Arial"/>
                <w:b/>
                <w:bCs/>
                <w:color w:val="000000"/>
                <w:sz w:val="18"/>
                <w:szCs w:val="18"/>
              </w:rPr>
              <w:t>100.0</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7E7" w14:textId="77777777" w:rsidR="00996AD7" w:rsidRDefault="00D9645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39D997E8"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7E9"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7EA" w14:textId="77777777" w:rsidR="00996AD7" w:rsidRDefault="00D96458">
            <w:pPr>
              <w:jc w:val="right"/>
              <w:textAlignment w:val="bottom"/>
            </w:pPr>
            <w:r>
              <w:rPr>
                <w:rFonts w:ascii="Arial" w:eastAsia="宋体" w:hAnsi="Arial" w:cs="Arial"/>
                <w:b/>
                <w:bCs/>
                <w:color w:val="0068B5"/>
                <w:sz w:val="18"/>
                <w:szCs w:val="18"/>
              </w:rPr>
              <w:t>58,496</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7E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7EC" w14:textId="77777777" w:rsidR="00996AD7" w:rsidRDefault="00996AD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39D997ED" w14:textId="77777777" w:rsidR="00996AD7" w:rsidRDefault="00D96458">
            <w:pPr>
              <w:jc w:val="right"/>
              <w:textAlignment w:val="bottom"/>
            </w:pPr>
            <w:r>
              <w:rPr>
                <w:rFonts w:ascii="Arial" w:eastAsia="宋体" w:hAnsi="Arial" w:cs="Arial"/>
                <w:b/>
                <w:bCs/>
                <w:color w:val="0068B5"/>
                <w:sz w:val="18"/>
                <w:szCs w:val="18"/>
              </w:rPr>
              <w:t>100.0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7EE" w14:textId="77777777" w:rsidR="00996AD7" w:rsidRDefault="00D964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7EF"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7F0" w14:textId="77777777" w:rsidR="00996AD7" w:rsidRDefault="00D96458">
            <w:pPr>
              <w:textAlignment w:val="bottom"/>
            </w:pPr>
            <w:r>
              <w:rPr>
                <w:rFonts w:ascii="Arial" w:eastAsia="宋体" w:hAnsi="Arial" w:cs="Arial"/>
                <w:b/>
                <w:bCs/>
                <w:color w:val="000000"/>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7F1" w14:textId="77777777" w:rsidR="00996AD7" w:rsidRDefault="00D96458">
            <w:pPr>
              <w:jc w:val="right"/>
              <w:textAlignment w:val="bottom"/>
            </w:pPr>
            <w:r>
              <w:rPr>
                <w:rFonts w:ascii="Arial" w:eastAsia="宋体" w:hAnsi="Arial" w:cs="Arial"/>
                <w:b/>
                <w:bCs/>
                <w:color w:val="000000"/>
                <w:sz w:val="18"/>
                <w:szCs w:val="18"/>
              </w:rPr>
              <w:t>57,889</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7F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7F3" w14:textId="77777777" w:rsidR="00996AD7" w:rsidRDefault="00996AD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39D997F4" w14:textId="77777777" w:rsidR="00996AD7" w:rsidRDefault="00D96458">
            <w:pPr>
              <w:jc w:val="right"/>
              <w:textAlignment w:val="bottom"/>
            </w:pPr>
            <w:r>
              <w:rPr>
                <w:rFonts w:ascii="Arial" w:eastAsia="宋体" w:hAnsi="Arial" w:cs="Arial"/>
                <w:b/>
                <w:bCs/>
                <w:color w:val="000000"/>
                <w:sz w:val="18"/>
                <w:szCs w:val="18"/>
              </w:rPr>
              <w:t>100.0</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7F5" w14:textId="77777777" w:rsidR="00996AD7" w:rsidRDefault="00D96458">
            <w:pPr>
              <w:jc w:val="right"/>
              <w:textAlignment w:val="bottom"/>
            </w:pPr>
            <w:r>
              <w:rPr>
                <w:rFonts w:ascii="Arial" w:eastAsia="宋体" w:hAnsi="Arial" w:cs="Arial"/>
                <w:b/>
                <w:bCs/>
                <w:color w:val="000000"/>
                <w:sz w:val="18"/>
                <w:szCs w:val="18"/>
              </w:rPr>
              <w:t>%</w:t>
            </w:r>
          </w:p>
        </w:tc>
      </w:tr>
      <w:tr w:rsidR="00996AD7" w14:paraId="39D99810" w14:textId="77777777">
        <w:tc>
          <w:tcPr>
            <w:tcW w:w="0" w:type="auto"/>
            <w:gridSpan w:val="3"/>
            <w:shd w:val="clear" w:color="auto" w:fill="auto"/>
            <w:tcMar>
              <w:top w:w="40" w:type="dxa"/>
              <w:left w:w="20" w:type="dxa"/>
              <w:bottom w:w="40" w:type="dxa"/>
              <w:right w:w="20" w:type="dxa"/>
            </w:tcMar>
          </w:tcPr>
          <w:p w14:paraId="39D997F7" w14:textId="77777777" w:rsidR="00996AD7" w:rsidRDefault="00D96458">
            <w:pPr>
              <w:textAlignment w:val="top"/>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39D997F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7F9" w14:textId="77777777" w:rsidR="00996AD7" w:rsidRDefault="00D96458">
            <w:pPr>
              <w:jc w:val="right"/>
              <w:textAlignment w:val="bottom"/>
            </w:pPr>
            <w:r>
              <w:rPr>
                <w:rFonts w:ascii="Arial" w:eastAsia="宋体" w:hAnsi="Arial" w:cs="Arial"/>
                <w:color w:val="0068B5"/>
                <w:sz w:val="18"/>
                <w:szCs w:val="18"/>
              </w:rPr>
              <w:t>8,446 </w:t>
            </w:r>
          </w:p>
        </w:tc>
        <w:tc>
          <w:tcPr>
            <w:tcW w:w="0" w:type="auto"/>
            <w:shd w:val="clear" w:color="auto" w:fill="auto"/>
            <w:tcMar>
              <w:top w:w="40" w:type="dxa"/>
              <w:left w:w="0" w:type="dxa"/>
              <w:bottom w:w="40" w:type="dxa"/>
              <w:right w:w="20" w:type="dxa"/>
            </w:tcMar>
            <w:vAlign w:val="bottom"/>
          </w:tcPr>
          <w:p w14:paraId="39D997F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7F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7FC" w14:textId="77777777" w:rsidR="00996AD7" w:rsidRDefault="00D96458">
            <w:pPr>
              <w:jc w:val="right"/>
              <w:textAlignment w:val="bottom"/>
            </w:pPr>
            <w:r>
              <w:rPr>
                <w:rFonts w:ascii="Arial" w:eastAsia="宋体" w:hAnsi="Arial" w:cs="Arial"/>
                <w:color w:val="0068B5"/>
                <w:sz w:val="18"/>
                <w:szCs w:val="18"/>
              </w:rPr>
              <w:t>44.0 </w:t>
            </w:r>
          </w:p>
        </w:tc>
        <w:tc>
          <w:tcPr>
            <w:tcW w:w="0" w:type="auto"/>
            <w:shd w:val="clear" w:color="auto" w:fill="auto"/>
            <w:tcMar>
              <w:top w:w="40" w:type="dxa"/>
              <w:left w:w="0" w:type="dxa"/>
              <w:bottom w:w="40" w:type="dxa"/>
              <w:right w:w="20" w:type="dxa"/>
            </w:tcMar>
            <w:vAlign w:val="bottom"/>
          </w:tcPr>
          <w:p w14:paraId="39D997FD"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7F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7FF" w14:textId="77777777" w:rsidR="00996AD7" w:rsidRDefault="00D96458">
            <w:pPr>
              <w:jc w:val="right"/>
              <w:textAlignment w:val="bottom"/>
            </w:pPr>
            <w:r>
              <w:rPr>
                <w:rFonts w:ascii="Arial" w:eastAsia="宋体" w:hAnsi="Arial" w:cs="Arial"/>
                <w:color w:val="000000"/>
                <w:sz w:val="18"/>
                <w:szCs w:val="18"/>
              </w:rPr>
              <w:t>8,592 </w:t>
            </w:r>
          </w:p>
        </w:tc>
        <w:tc>
          <w:tcPr>
            <w:tcW w:w="0" w:type="auto"/>
            <w:shd w:val="clear" w:color="auto" w:fill="auto"/>
            <w:tcMar>
              <w:top w:w="40" w:type="dxa"/>
              <w:left w:w="0" w:type="dxa"/>
              <w:bottom w:w="40" w:type="dxa"/>
              <w:right w:w="20" w:type="dxa"/>
            </w:tcMar>
            <w:vAlign w:val="bottom"/>
          </w:tcPr>
          <w:p w14:paraId="39D9980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0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02" w14:textId="77777777" w:rsidR="00996AD7" w:rsidRDefault="00D96458">
            <w:pPr>
              <w:jc w:val="right"/>
              <w:textAlignment w:val="bottom"/>
            </w:pPr>
            <w:r>
              <w:rPr>
                <w:rFonts w:ascii="Arial" w:eastAsia="宋体" w:hAnsi="Arial" w:cs="Arial"/>
                <w:color w:val="000000"/>
                <w:sz w:val="18"/>
                <w:szCs w:val="18"/>
              </w:rPr>
              <w:t>46.9 </w:t>
            </w:r>
          </w:p>
        </w:tc>
        <w:tc>
          <w:tcPr>
            <w:tcW w:w="0" w:type="auto"/>
            <w:shd w:val="clear" w:color="auto" w:fill="auto"/>
            <w:tcMar>
              <w:top w:w="40" w:type="dxa"/>
              <w:left w:w="0" w:type="dxa"/>
              <w:bottom w:w="40" w:type="dxa"/>
              <w:right w:w="20" w:type="dxa"/>
            </w:tcMar>
            <w:vAlign w:val="bottom"/>
          </w:tcPr>
          <w:p w14:paraId="39D99803" w14:textId="77777777" w:rsidR="00996AD7" w:rsidRDefault="00D964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39D9980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05" w14:textId="77777777" w:rsidR="00996AD7" w:rsidRDefault="00D96458">
            <w:pPr>
              <w:jc w:val="right"/>
              <w:textAlignment w:val="bottom"/>
            </w:pPr>
            <w:r>
              <w:rPr>
                <w:rFonts w:ascii="Arial" w:eastAsia="宋体" w:hAnsi="Arial" w:cs="Arial"/>
                <w:color w:val="0068B5"/>
                <w:sz w:val="18"/>
                <w:szCs w:val="18"/>
              </w:rPr>
              <w:t>25,690 </w:t>
            </w:r>
          </w:p>
        </w:tc>
        <w:tc>
          <w:tcPr>
            <w:tcW w:w="0" w:type="auto"/>
            <w:shd w:val="clear" w:color="auto" w:fill="auto"/>
            <w:tcMar>
              <w:top w:w="40" w:type="dxa"/>
              <w:left w:w="0" w:type="dxa"/>
              <w:bottom w:w="40" w:type="dxa"/>
              <w:right w:w="20" w:type="dxa"/>
            </w:tcMar>
            <w:vAlign w:val="bottom"/>
          </w:tcPr>
          <w:p w14:paraId="39D9980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0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08" w14:textId="77777777" w:rsidR="00996AD7" w:rsidRDefault="00D96458">
            <w:pPr>
              <w:jc w:val="right"/>
              <w:textAlignment w:val="bottom"/>
            </w:pPr>
            <w:r>
              <w:rPr>
                <w:rFonts w:ascii="Arial" w:eastAsia="宋体" w:hAnsi="Arial" w:cs="Arial"/>
                <w:color w:val="0068B5"/>
                <w:sz w:val="18"/>
                <w:szCs w:val="18"/>
              </w:rPr>
              <w:t>43.9 </w:t>
            </w:r>
          </w:p>
        </w:tc>
        <w:tc>
          <w:tcPr>
            <w:tcW w:w="0" w:type="auto"/>
            <w:shd w:val="clear" w:color="auto" w:fill="auto"/>
            <w:tcMar>
              <w:top w:w="40" w:type="dxa"/>
              <w:left w:w="0" w:type="dxa"/>
              <w:bottom w:w="40" w:type="dxa"/>
              <w:right w:w="20" w:type="dxa"/>
            </w:tcMar>
            <w:vAlign w:val="bottom"/>
          </w:tcPr>
          <w:p w14:paraId="39D99809"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0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0B" w14:textId="77777777" w:rsidR="00996AD7" w:rsidRDefault="00D96458">
            <w:pPr>
              <w:jc w:val="right"/>
              <w:textAlignment w:val="bottom"/>
            </w:pPr>
            <w:r>
              <w:rPr>
                <w:rFonts w:ascii="Arial" w:eastAsia="宋体" w:hAnsi="Arial" w:cs="Arial"/>
                <w:color w:val="000000"/>
                <w:sz w:val="18"/>
                <w:szCs w:val="18"/>
              </w:rPr>
              <w:t>25,625 </w:t>
            </w:r>
          </w:p>
        </w:tc>
        <w:tc>
          <w:tcPr>
            <w:tcW w:w="0" w:type="auto"/>
            <w:shd w:val="clear" w:color="auto" w:fill="auto"/>
            <w:tcMar>
              <w:top w:w="40" w:type="dxa"/>
              <w:left w:w="0" w:type="dxa"/>
              <w:bottom w:w="40" w:type="dxa"/>
              <w:right w:w="20" w:type="dxa"/>
            </w:tcMar>
            <w:vAlign w:val="bottom"/>
          </w:tcPr>
          <w:p w14:paraId="39D9980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0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0E" w14:textId="77777777" w:rsidR="00996AD7" w:rsidRDefault="00D96458">
            <w:pPr>
              <w:jc w:val="right"/>
              <w:textAlignment w:val="bottom"/>
            </w:pPr>
            <w:r>
              <w:rPr>
                <w:rFonts w:ascii="Arial" w:eastAsia="宋体" w:hAnsi="Arial" w:cs="Arial"/>
                <w:color w:val="000000"/>
                <w:sz w:val="18"/>
                <w:szCs w:val="18"/>
              </w:rPr>
              <w:t>44.3 </w:t>
            </w:r>
          </w:p>
        </w:tc>
        <w:tc>
          <w:tcPr>
            <w:tcW w:w="0" w:type="auto"/>
            <w:shd w:val="clear" w:color="auto" w:fill="auto"/>
            <w:tcMar>
              <w:top w:w="40" w:type="dxa"/>
              <w:left w:w="0" w:type="dxa"/>
              <w:bottom w:w="40" w:type="dxa"/>
              <w:right w:w="20" w:type="dxa"/>
            </w:tcMar>
            <w:vAlign w:val="bottom"/>
          </w:tcPr>
          <w:p w14:paraId="39D9980F" w14:textId="77777777" w:rsidR="00996AD7" w:rsidRDefault="00D96458">
            <w:pPr>
              <w:jc w:val="right"/>
              <w:textAlignment w:val="bottom"/>
            </w:pPr>
            <w:r>
              <w:rPr>
                <w:rFonts w:ascii="Arial" w:eastAsia="宋体" w:hAnsi="Arial" w:cs="Arial"/>
                <w:color w:val="000000"/>
                <w:sz w:val="18"/>
                <w:szCs w:val="18"/>
              </w:rPr>
              <w:t>%</w:t>
            </w:r>
          </w:p>
        </w:tc>
      </w:tr>
      <w:tr w:rsidR="00996AD7" w14:paraId="39D9982A" w14:textId="77777777">
        <w:tc>
          <w:tcPr>
            <w:tcW w:w="0" w:type="auto"/>
            <w:gridSpan w:val="3"/>
            <w:shd w:val="clear" w:color="auto" w:fill="auto"/>
            <w:tcMar>
              <w:top w:w="40" w:type="dxa"/>
              <w:left w:w="20" w:type="dxa"/>
              <w:bottom w:w="40" w:type="dxa"/>
              <w:right w:w="20" w:type="dxa"/>
            </w:tcMar>
          </w:tcPr>
          <w:p w14:paraId="39D99811" w14:textId="77777777" w:rsidR="00996AD7" w:rsidRDefault="00D96458">
            <w:pPr>
              <w:textAlignment w:val="top"/>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39D99812"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13" w14:textId="77777777" w:rsidR="00996AD7" w:rsidRDefault="00D96458">
            <w:pPr>
              <w:jc w:val="right"/>
              <w:textAlignment w:val="bottom"/>
            </w:pPr>
            <w:r>
              <w:rPr>
                <w:rFonts w:ascii="Arial" w:eastAsia="宋体" w:hAnsi="Arial" w:cs="Arial"/>
                <w:b/>
                <w:bCs/>
                <w:color w:val="0068B5"/>
                <w:sz w:val="18"/>
                <w:szCs w:val="18"/>
              </w:rPr>
              <w:t>10,746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1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15"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16" w14:textId="77777777" w:rsidR="00996AD7" w:rsidRDefault="00D96458">
            <w:pPr>
              <w:jc w:val="right"/>
              <w:textAlignment w:val="bottom"/>
            </w:pPr>
            <w:r>
              <w:rPr>
                <w:rFonts w:ascii="Arial" w:eastAsia="宋体" w:hAnsi="Arial" w:cs="Arial"/>
                <w:b/>
                <w:bCs/>
                <w:color w:val="0068B5"/>
                <w:sz w:val="18"/>
                <w:szCs w:val="18"/>
              </w:rPr>
              <w:t>56.0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17" w14:textId="77777777" w:rsidR="00996AD7" w:rsidRDefault="00D964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18"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19" w14:textId="77777777" w:rsidR="00996AD7" w:rsidRDefault="00D96458">
            <w:pPr>
              <w:jc w:val="right"/>
              <w:textAlignment w:val="bottom"/>
            </w:pPr>
            <w:r>
              <w:rPr>
                <w:rFonts w:ascii="Arial" w:eastAsia="宋体" w:hAnsi="Arial" w:cs="Arial"/>
                <w:b/>
                <w:bCs/>
                <w:color w:val="000000"/>
                <w:sz w:val="18"/>
                <w:szCs w:val="18"/>
              </w:rPr>
              <w:t>9,741</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1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1B"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1C" w14:textId="77777777" w:rsidR="00996AD7" w:rsidRDefault="00D96458">
            <w:pPr>
              <w:jc w:val="right"/>
              <w:textAlignment w:val="bottom"/>
            </w:pPr>
            <w:r>
              <w:rPr>
                <w:rFonts w:ascii="Arial" w:eastAsia="宋体" w:hAnsi="Arial" w:cs="Arial"/>
                <w:b/>
                <w:bCs/>
                <w:color w:val="000000"/>
                <w:sz w:val="18"/>
                <w:szCs w:val="18"/>
              </w:rPr>
              <w:t>53.1</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1D" w14:textId="77777777" w:rsidR="00996AD7" w:rsidRDefault="00D9645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39D9981E"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1F" w14:textId="77777777" w:rsidR="00996AD7" w:rsidRDefault="00D96458">
            <w:pPr>
              <w:jc w:val="right"/>
              <w:textAlignment w:val="bottom"/>
            </w:pPr>
            <w:r>
              <w:rPr>
                <w:rFonts w:ascii="Arial" w:eastAsia="宋体" w:hAnsi="Arial" w:cs="Arial"/>
                <w:b/>
                <w:bCs/>
                <w:color w:val="0068B5"/>
                <w:sz w:val="18"/>
                <w:szCs w:val="18"/>
              </w:rPr>
              <w:t>32,806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2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21"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22" w14:textId="77777777" w:rsidR="00996AD7" w:rsidRDefault="00D96458">
            <w:pPr>
              <w:jc w:val="right"/>
              <w:textAlignment w:val="bottom"/>
            </w:pPr>
            <w:r>
              <w:rPr>
                <w:rFonts w:ascii="Arial" w:eastAsia="宋体" w:hAnsi="Arial" w:cs="Arial"/>
                <w:b/>
                <w:bCs/>
                <w:color w:val="0068B5"/>
                <w:sz w:val="18"/>
                <w:szCs w:val="18"/>
              </w:rPr>
              <w:t>56.1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23" w14:textId="77777777" w:rsidR="00996AD7" w:rsidRDefault="00D964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24"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25" w14:textId="77777777" w:rsidR="00996AD7" w:rsidRDefault="00D96458">
            <w:pPr>
              <w:jc w:val="right"/>
              <w:textAlignment w:val="bottom"/>
            </w:pPr>
            <w:r>
              <w:rPr>
                <w:rFonts w:ascii="Arial" w:eastAsia="宋体" w:hAnsi="Arial" w:cs="Arial"/>
                <w:b/>
                <w:bCs/>
                <w:color w:val="000000"/>
                <w:sz w:val="18"/>
                <w:szCs w:val="18"/>
              </w:rPr>
              <w:t>32,264</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2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2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28" w14:textId="77777777" w:rsidR="00996AD7" w:rsidRDefault="00D96458">
            <w:pPr>
              <w:jc w:val="right"/>
              <w:textAlignment w:val="bottom"/>
            </w:pPr>
            <w:r>
              <w:rPr>
                <w:rFonts w:ascii="Arial" w:eastAsia="宋体" w:hAnsi="Arial" w:cs="Arial"/>
                <w:b/>
                <w:bCs/>
                <w:color w:val="000000"/>
                <w:sz w:val="18"/>
                <w:szCs w:val="18"/>
              </w:rPr>
              <w:t>55.7</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29" w14:textId="77777777" w:rsidR="00996AD7" w:rsidRDefault="00D96458">
            <w:pPr>
              <w:jc w:val="right"/>
              <w:textAlignment w:val="bottom"/>
            </w:pPr>
            <w:r>
              <w:rPr>
                <w:rFonts w:ascii="Arial" w:eastAsia="宋体" w:hAnsi="Arial" w:cs="Arial"/>
                <w:b/>
                <w:bCs/>
                <w:color w:val="000000"/>
                <w:sz w:val="18"/>
                <w:szCs w:val="18"/>
              </w:rPr>
              <w:t>%</w:t>
            </w:r>
          </w:p>
        </w:tc>
      </w:tr>
      <w:tr w:rsidR="00996AD7" w14:paraId="39D99844" w14:textId="77777777">
        <w:tc>
          <w:tcPr>
            <w:tcW w:w="0" w:type="auto"/>
            <w:gridSpan w:val="3"/>
            <w:shd w:val="clear" w:color="auto" w:fill="auto"/>
            <w:tcMar>
              <w:top w:w="40" w:type="dxa"/>
              <w:left w:w="20" w:type="dxa"/>
              <w:bottom w:w="40" w:type="dxa"/>
              <w:right w:w="20" w:type="dxa"/>
            </w:tcMar>
          </w:tcPr>
          <w:p w14:paraId="39D9982B" w14:textId="77777777" w:rsidR="00996AD7" w:rsidRDefault="00D96458">
            <w:pPr>
              <w:textAlignment w:val="top"/>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vAlign w:val="bottom"/>
          </w:tcPr>
          <w:p w14:paraId="39D9982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2D" w14:textId="77777777" w:rsidR="00996AD7" w:rsidRDefault="00D96458">
            <w:pPr>
              <w:jc w:val="right"/>
              <w:textAlignment w:val="bottom"/>
            </w:pPr>
            <w:r>
              <w:rPr>
                <w:rFonts w:ascii="Arial" w:eastAsia="宋体" w:hAnsi="Arial" w:cs="Arial"/>
                <w:color w:val="0068B5"/>
                <w:sz w:val="18"/>
                <w:szCs w:val="18"/>
              </w:rPr>
              <w:t>3,803 </w:t>
            </w:r>
          </w:p>
        </w:tc>
        <w:tc>
          <w:tcPr>
            <w:tcW w:w="0" w:type="auto"/>
            <w:shd w:val="clear" w:color="auto" w:fill="auto"/>
            <w:tcMar>
              <w:top w:w="40" w:type="dxa"/>
              <w:left w:w="0" w:type="dxa"/>
              <w:bottom w:w="40" w:type="dxa"/>
              <w:right w:w="20" w:type="dxa"/>
            </w:tcMar>
            <w:vAlign w:val="bottom"/>
          </w:tcPr>
          <w:p w14:paraId="39D9982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2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30" w14:textId="77777777" w:rsidR="00996AD7" w:rsidRDefault="00D96458">
            <w:pPr>
              <w:jc w:val="right"/>
              <w:textAlignment w:val="bottom"/>
            </w:pPr>
            <w:r>
              <w:rPr>
                <w:rFonts w:ascii="Arial" w:eastAsia="宋体" w:hAnsi="Arial" w:cs="Arial"/>
                <w:color w:val="0068B5"/>
                <w:sz w:val="18"/>
                <w:szCs w:val="18"/>
              </w:rPr>
              <w:t>19.8 </w:t>
            </w:r>
          </w:p>
        </w:tc>
        <w:tc>
          <w:tcPr>
            <w:tcW w:w="0" w:type="auto"/>
            <w:shd w:val="clear" w:color="auto" w:fill="auto"/>
            <w:tcMar>
              <w:top w:w="40" w:type="dxa"/>
              <w:left w:w="0" w:type="dxa"/>
              <w:bottom w:w="40" w:type="dxa"/>
              <w:right w:w="20" w:type="dxa"/>
            </w:tcMar>
            <w:vAlign w:val="bottom"/>
          </w:tcPr>
          <w:p w14:paraId="39D99831"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3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33" w14:textId="77777777" w:rsidR="00996AD7" w:rsidRDefault="00D96458">
            <w:pPr>
              <w:jc w:val="right"/>
              <w:textAlignment w:val="bottom"/>
            </w:pPr>
            <w:r>
              <w:rPr>
                <w:rFonts w:ascii="Arial" w:eastAsia="宋体" w:hAnsi="Arial" w:cs="Arial"/>
                <w:color w:val="000000"/>
                <w:sz w:val="18"/>
                <w:szCs w:val="18"/>
              </w:rPr>
              <w:t>3,272 </w:t>
            </w:r>
          </w:p>
        </w:tc>
        <w:tc>
          <w:tcPr>
            <w:tcW w:w="0" w:type="auto"/>
            <w:shd w:val="clear" w:color="auto" w:fill="auto"/>
            <w:tcMar>
              <w:top w:w="40" w:type="dxa"/>
              <w:left w:w="0" w:type="dxa"/>
              <w:bottom w:w="40" w:type="dxa"/>
              <w:right w:w="20" w:type="dxa"/>
            </w:tcMar>
            <w:vAlign w:val="bottom"/>
          </w:tcPr>
          <w:p w14:paraId="39D9983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3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36" w14:textId="77777777" w:rsidR="00996AD7" w:rsidRDefault="00D96458">
            <w:pPr>
              <w:jc w:val="right"/>
              <w:textAlignment w:val="bottom"/>
            </w:pPr>
            <w:r>
              <w:rPr>
                <w:rFonts w:ascii="Arial" w:eastAsia="宋体" w:hAnsi="Arial" w:cs="Arial"/>
                <w:color w:val="000000"/>
                <w:sz w:val="18"/>
                <w:szCs w:val="18"/>
              </w:rPr>
              <w:t>17.8 </w:t>
            </w:r>
          </w:p>
        </w:tc>
        <w:tc>
          <w:tcPr>
            <w:tcW w:w="0" w:type="auto"/>
            <w:shd w:val="clear" w:color="auto" w:fill="auto"/>
            <w:tcMar>
              <w:top w:w="40" w:type="dxa"/>
              <w:left w:w="0" w:type="dxa"/>
              <w:bottom w:w="40" w:type="dxa"/>
              <w:right w:w="20" w:type="dxa"/>
            </w:tcMar>
            <w:vAlign w:val="bottom"/>
          </w:tcPr>
          <w:p w14:paraId="39D99837" w14:textId="77777777" w:rsidR="00996AD7" w:rsidRDefault="00D964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39D9983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39" w14:textId="77777777" w:rsidR="00996AD7" w:rsidRDefault="00D96458">
            <w:pPr>
              <w:jc w:val="right"/>
              <w:textAlignment w:val="bottom"/>
            </w:pPr>
            <w:r>
              <w:rPr>
                <w:rFonts w:ascii="Arial" w:eastAsia="宋体" w:hAnsi="Arial" w:cs="Arial"/>
                <w:color w:val="0068B5"/>
                <w:sz w:val="18"/>
                <w:szCs w:val="18"/>
              </w:rPr>
              <w:t>11,141 </w:t>
            </w:r>
          </w:p>
        </w:tc>
        <w:tc>
          <w:tcPr>
            <w:tcW w:w="0" w:type="auto"/>
            <w:shd w:val="clear" w:color="auto" w:fill="auto"/>
            <w:tcMar>
              <w:top w:w="40" w:type="dxa"/>
              <w:left w:w="0" w:type="dxa"/>
              <w:bottom w:w="40" w:type="dxa"/>
              <w:right w:w="20" w:type="dxa"/>
            </w:tcMar>
            <w:vAlign w:val="bottom"/>
          </w:tcPr>
          <w:p w14:paraId="39D9983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3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3C" w14:textId="77777777" w:rsidR="00996AD7" w:rsidRDefault="00D96458">
            <w:pPr>
              <w:jc w:val="right"/>
              <w:textAlignment w:val="bottom"/>
            </w:pPr>
            <w:r>
              <w:rPr>
                <w:rFonts w:ascii="Arial" w:eastAsia="宋体" w:hAnsi="Arial" w:cs="Arial"/>
                <w:color w:val="0068B5"/>
                <w:sz w:val="18"/>
                <w:szCs w:val="18"/>
              </w:rPr>
              <w:t>19.0 </w:t>
            </w:r>
          </w:p>
        </w:tc>
        <w:tc>
          <w:tcPr>
            <w:tcW w:w="0" w:type="auto"/>
            <w:shd w:val="clear" w:color="auto" w:fill="auto"/>
            <w:tcMar>
              <w:top w:w="40" w:type="dxa"/>
              <w:left w:w="0" w:type="dxa"/>
              <w:bottom w:w="40" w:type="dxa"/>
              <w:right w:w="20" w:type="dxa"/>
            </w:tcMar>
            <w:vAlign w:val="bottom"/>
          </w:tcPr>
          <w:p w14:paraId="39D9983D"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3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3F" w14:textId="77777777" w:rsidR="00996AD7" w:rsidRDefault="00D96458">
            <w:pPr>
              <w:jc w:val="right"/>
              <w:textAlignment w:val="bottom"/>
            </w:pPr>
            <w:r>
              <w:rPr>
                <w:rFonts w:ascii="Arial" w:eastAsia="宋体" w:hAnsi="Arial" w:cs="Arial"/>
                <w:color w:val="000000"/>
                <w:sz w:val="18"/>
                <w:szCs w:val="18"/>
              </w:rPr>
              <w:t>9,901 </w:t>
            </w:r>
          </w:p>
        </w:tc>
        <w:tc>
          <w:tcPr>
            <w:tcW w:w="0" w:type="auto"/>
            <w:shd w:val="clear" w:color="auto" w:fill="auto"/>
            <w:tcMar>
              <w:top w:w="40" w:type="dxa"/>
              <w:left w:w="0" w:type="dxa"/>
              <w:bottom w:w="40" w:type="dxa"/>
              <w:right w:w="20" w:type="dxa"/>
            </w:tcMar>
            <w:vAlign w:val="bottom"/>
          </w:tcPr>
          <w:p w14:paraId="39D9984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4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42" w14:textId="77777777" w:rsidR="00996AD7" w:rsidRDefault="00D96458">
            <w:pPr>
              <w:jc w:val="right"/>
              <w:textAlignment w:val="bottom"/>
            </w:pPr>
            <w:r>
              <w:rPr>
                <w:rFonts w:ascii="Arial" w:eastAsia="宋体" w:hAnsi="Arial" w:cs="Arial"/>
                <w:color w:val="000000"/>
                <w:sz w:val="18"/>
                <w:szCs w:val="18"/>
              </w:rPr>
              <w:t>17.1 </w:t>
            </w:r>
          </w:p>
        </w:tc>
        <w:tc>
          <w:tcPr>
            <w:tcW w:w="0" w:type="auto"/>
            <w:shd w:val="clear" w:color="auto" w:fill="auto"/>
            <w:tcMar>
              <w:top w:w="40" w:type="dxa"/>
              <w:left w:w="0" w:type="dxa"/>
              <w:bottom w:w="40" w:type="dxa"/>
              <w:right w:w="20" w:type="dxa"/>
            </w:tcMar>
            <w:vAlign w:val="bottom"/>
          </w:tcPr>
          <w:p w14:paraId="39D99843" w14:textId="77777777" w:rsidR="00996AD7" w:rsidRDefault="00D96458">
            <w:pPr>
              <w:jc w:val="right"/>
              <w:textAlignment w:val="bottom"/>
            </w:pPr>
            <w:r>
              <w:rPr>
                <w:rFonts w:ascii="Arial" w:eastAsia="宋体" w:hAnsi="Arial" w:cs="Arial"/>
                <w:color w:val="000000"/>
                <w:sz w:val="18"/>
                <w:szCs w:val="18"/>
              </w:rPr>
              <w:t>%</w:t>
            </w:r>
          </w:p>
        </w:tc>
      </w:tr>
      <w:tr w:rsidR="00996AD7" w14:paraId="39D9985E" w14:textId="77777777">
        <w:tc>
          <w:tcPr>
            <w:tcW w:w="0" w:type="auto"/>
            <w:gridSpan w:val="3"/>
            <w:shd w:val="clear" w:color="auto" w:fill="auto"/>
            <w:tcMar>
              <w:top w:w="40" w:type="dxa"/>
              <w:left w:w="20" w:type="dxa"/>
              <w:bottom w:w="40" w:type="dxa"/>
              <w:right w:w="20" w:type="dxa"/>
            </w:tcMar>
            <w:vAlign w:val="bottom"/>
          </w:tcPr>
          <w:p w14:paraId="39D99845" w14:textId="77777777" w:rsidR="00996AD7" w:rsidRDefault="00D96458">
            <w:pPr>
              <w:textAlignment w:val="bottom"/>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vAlign w:val="bottom"/>
          </w:tcPr>
          <w:p w14:paraId="39D9984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47" w14:textId="77777777" w:rsidR="00996AD7" w:rsidRDefault="00D96458">
            <w:pPr>
              <w:jc w:val="right"/>
              <w:textAlignment w:val="bottom"/>
            </w:pPr>
            <w:r>
              <w:rPr>
                <w:rFonts w:ascii="Arial" w:eastAsia="宋体" w:hAnsi="Arial" w:cs="Arial"/>
                <w:color w:val="0068B5"/>
                <w:sz w:val="18"/>
                <w:szCs w:val="18"/>
              </w:rPr>
              <w:t>1,674 </w:t>
            </w:r>
          </w:p>
        </w:tc>
        <w:tc>
          <w:tcPr>
            <w:tcW w:w="0" w:type="auto"/>
            <w:shd w:val="clear" w:color="auto" w:fill="auto"/>
            <w:tcMar>
              <w:top w:w="40" w:type="dxa"/>
              <w:left w:w="0" w:type="dxa"/>
              <w:bottom w:w="40" w:type="dxa"/>
              <w:right w:w="20" w:type="dxa"/>
            </w:tcMar>
            <w:vAlign w:val="bottom"/>
          </w:tcPr>
          <w:p w14:paraId="39D9984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4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4A" w14:textId="77777777" w:rsidR="00996AD7" w:rsidRDefault="00D96458">
            <w:pPr>
              <w:jc w:val="right"/>
              <w:textAlignment w:val="bottom"/>
            </w:pPr>
            <w:r>
              <w:rPr>
                <w:rFonts w:ascii="Arial" w:eastAsia="宋体" w:hAnsi="Arial" w:cs="Arial"/>
                <w:color w:val="0068B5"/>
                <w:sz w:val="18"/>
                <w:szCs w:val="18"/>
              </w:rPr>
              <w:t>8.7 </w:t>
            </w:r>
          </w:p>
        </w:tc>
        <w:tc>
          <w:tcPr>
            <w:tcW w:w="0" w:type="auto"/>
            <w:shd w:val="clear" w:color="auto" w:fill="auto"/>
            <w:tcMar>
              <w:top w:w="40" w:type="dxa"/>
              <w:left w:w="0" w:type="dxa"/>
              <w:bottom w:w="40" w:type="dxa"/>
              <w:right w:w="20" w:type="dxa"/>
            </w:tcMar>
            <w:vAlign w:val="bottom"/>
          </w:tcPr>
          <w:p w14:paraId="39D9984B"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4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4D" w14:textId="77777777" w:rsidR="00996AD7" w:rsidRDefault="00D96458">
            <w:pPr>
              <w:jc w:val="right"/>
              <w:textAlignment w:val="bottom"/>
            </w:pPr>
            <w:r>
              <w:rPr>
                <w:rFonts w:ascii="Arial" w:eastAsia="宋体" w:hAnsi="Arial" w:cs="Arial"/>
                <w:color w:val="000000"/>
                <w:sz w:val="18"/>
                <w:szCs w:val="18"/>
              </w:rPr>
              <w:t>1,435 </w:t>
            </w:r>
          </w:p>
        </w:tc>
        <w:tc>
          <w:tcPr>
            <w:tcW w:w="0" w:type="auto"/>
            <w:shd w:val="clear" w:color="auto" w:fill="auto"/>
            <w:tcMar>
              <w:top w:w="40" w:type="dxa"/>
              <w:left w:w="0" w:type="dxa"/>
              <w:bottom w:w="40" w:type="dxa"/>
              <w:right w:w="20" w:type="dxa"/>
            </w:tcMar>
            <w:vAlign w:val="bottom"/>
          </w:tcPr>
          <w:p w14:paraId="39D9984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4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50" w14:textId="77777777" w:rsidR="00996AD7" w:rsidRDefault="00D96458">
            <w:pPr>
              <w:jc w:val="right"/>
              <w:textAlignment w:val="bottom"/>
            </w:pPr>
            <w:r>
              <w:rPr>
                <w:rFonts w:ascii="Arial" w:eastAsia="宋体" w:hAnsi="Arial" w:cs="Arial"/>
                <w:color w:val="000000"/>
                <w:sz w:val="18"/>
                <w:szCs w:val="18"/>
              </w:rPr>
              <w:t>7.8 </w:t>
            </w:r>
          </w:p>
        </w:tc>
        <w:tc>
          <w:tcPr>
            <w:tcW w:w="0" w:type="auto"/>
            <w:shd w:val="clear" w:color="auto" w:fill="auto"/>
            <w:tcMar>
              <w:top w:w="40" w:type="dxa"/>
              <w:left w:w="0" w:type="dxa"/>
              <w:bottom w:w="40" w:type="dxa"/>
              <w:right w:w="20" w:type="dxa"/>
            </w:tcMar>
            <w:vAlign w:val="bottom"/>
          </w:tcPr>
          <w:p w14:paraId="39D99851" w14:textId="77777777" w:rsidR="00996AD7" w:rsidRDefault="00D964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39D9985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53" w14:textId="77777777" w:rsidR="00996AD7" w:rsidRDefault="00D96458">
            <w:pPr>
              <w:jc w:val="right"/>
              <w:textAlignment w:val="bottom"/>
            </w:pPr>
            <w:r>
              <w:rPr>
                <w:rFonts w:ascii="Arial" w:eastAsia="宋体" w:hAnsi="Arial" w:cs="Arial"/>
                <w:color w:val="0068B5"/>
                <w:sz w:val="18"/>
                <w:szCs w:val="18"/>
              </w:rPr>
              <w:t>4,601 </w:t>
            </w:r>
          </w:p>
        </w:tc>
        <w:tc>
          <w:tcPr>
            <w:tcW w:w="0" w:type="auto"/>
            <w:shd w:val="clear" w:color="auto" w:fill="auto"/>
            <w:tcMar>
              <w:top w:w="40" w:type="dxa"/>
              <w:left w:w="0" w:type="dxa"/>
              <w:bottom w:w="40" w:type="dxa"/>
              <w:right w:w="20" w:type="dxa"/>
            </w:tcMar>
            <w:vAlign w:val="bottom"/>
          </w:tcPr>
          <w:p w14:paraId="39D9985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5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56" w14:textId="77777777" w:rsidR="00996AD7" w:rsidRDefault="00D96458">
            <w:pPr>
              <w:jc w:val="right"/>
              <w:textAlignment w:val="bottom"/>
            </w:pPr>
            <w:r>
              <w:rPr>
                <w:rFonts w:ascii="Arial" w:eastAsia="宋体" w:hAnsi="Arial" w:cs="Arial"/>
                <w:color w:val="0068B5"/>
                <w:sz w:val="18"/>
                <w:szCs w:val="18"/>
              </w:rPr>
              <w:t>7.9 </w:t>
            </w:r>
          </w:p>
        </w:tc>
        <w:tc>
          <w:tcPr>
            <w:tcW w:w="0" w:type="auto"/>
            <w:shd w:val="clear" w:color="auto" w:fill="auto"/>
            <w:tcMar>
              <w:top w:w="40" w:type="dxa"/>
              <w:left w:w="0" w:type="dxa"/>
              <w:bottom w:w="40" w:type="dxa"/>
              <w:right w:w="20" w:type="dxa"/>
            </w:tcMar>
            <w:vAlign w:val="bottom"/>
          </w:tcPr>
          <w:p w14:paraId="39D99857"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5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59" w14:textId="77777777" w:rsidR="00996AD7" w:rsidRDefault="00D96458">
            <w:pPr>
              <w:jc w:val="right"/>
              <w:textAlignment w:val="bottom"/>
            </w:pPr>
            <w:r>
              <w:rPr>
                <w:rFonts w:ascii="Arial" w:eastAsia="宋体" w:hAnsi="Arial" w:cs="Arial"/>
                <w:color w:val="000000"/>
                <w:sz w:val="18"/>
                <w:szCs w:val="18"/>
              </w:rPr>
              <w:t>4,423 </w:t>
            </w:r>
          </w:p>
        </w:tc>
        <w:tc>
          <w:tcPr>
            <w:tcW w:w="0" w:type="auto"/>
            <w:shd w:val="clear" w:color="auto" w:fill="auto"/>
            <w:tcMar>
              <w:top w:w="40" w:type="dxa"/>
              <w:left w:w="0" w:type="dxa"/>
              <w:bottom w:w="40" w:type="dxa"/>
              <w:right w:w="20" w:type="dxa"/>
            </w:tcMar>
            <w:vAlign w:val="bottom"/>
          </w:tcPr>
          <w:p w14:paraId="39D9985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5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5C" w14:textId="77777777" w:rsidR="00996AD7" w:rsidRDefault="00D96458">
            <w:pPr>
              <w:jc w:val="right"/>
              <w:textAlignment w:val="bottom"/>
            </w:pPr>
            <w:r>
              <w:rPr>
                <w:rFonts w:ascii="Arial" w:eastAsia="宋体" w:hAnsi="Arial" w:cs="Arial"/>
                <w:color w:val="000000"/>
                <w:sz w:val="18"/>
                <w:szCs w:val="18"/>
              </w:rPr>
              <w:t>7.6 </w:t>
            </w:r>
          </w:p>
        </w:tc>
        <w:tc>
          <w:tcPr>
            <w:tcW w:w="0" w:type="auto"/>
            <w:shd w:val="clear" w:color="auto" w:fill="auto"/>
            <w:tcMar>
              <w:top w:w="40" w:type="dxa"/>
              <w:left w:w="0" w:type="dxa"/>
              <w:bottom w:w="40" w:type="dxa"/>
              <w:right w:w="20" w:type="dxa"/>
            </w:tcMar>
            <w:vAlign w:val="bottom"/>
          </w:tcPr>
          <w:p w14:paraId="39D9985D" w14:textId="77777777" w:rsidR="00996AD7" w:rsidRDefault="00D96458">
            <w:pPr>
              <w:jc w:val="right"/>
              <w:textAlignment w:val="bottom"/>
            </w:pPr>
            <w:r>
              <w:rPr>
                <w:rFonts w:ascii="Arial" w:eastAsia="宋体" w:hAnsi="Arial" w:cs="Arial"/>
                <w:color w:val="000000"/>
                <w:sz w:val="18"/>
                <w:szCs w:val="18"/>
              </w:rPr>
              <w:t>%</w:t>
            </w:r>
          </w:p>
        </w:tc>
      </w:tr>
      <w:tr w:rsidR="00996AD7" w14:paraId="39D99878" w14:textId="77777777">
        <w:tc>
          <w:tcPr>
            <w:tcW w:w="0" w:type="auto"/>
            <w:gridSpan w:val="3"/>
            <w:shd w:val="clear" w:color="auto" w:fill="auto"/>
            <w:tcMar>
              <w:top w:w="40" w:type="dxa"/>
              <w:left w:w="20" w:type="dxa"/>
              <w:bottom w:w="40" w:type="dxa"/>
              <w:right w:w="20" w:type="dxa"/>
            </w:tcMar>
          </w:tcPr>
          <w:p w14:paraId="39D9985F" w14:textId="77777777" w:rsidR="00996AD7" w:rsidRDefault="00D96458">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39D9986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61" w14:textId="77777777" w:rsidR="00996AD7" w:rsidRDefault="00D96458">
            <w:pPr>
              <w:jc w:val="right"/>
              <w:textAlignment w:val="bottom"/>
            </w:pPr>
            <w:r>
              <w:rPr>
                <w:rFonts w:ascii="Arial" w:eastAsia="宋体" w:hAnsi="Arial" w:cs="Arial"/>
                <w:color w:val="0068B5"/>
                <w:sz w:val="18"/>
                <w:szCs w:val="18"/>
              </w:rPr>
              <w:t>42 </w:t>
            </w:r>
          </w:p>
        </w:tc>
        <w:tc>
          <w:tcPr>
            <w:tcW w:w="0" w:type="auto"/>
            <w:shd w:val="clear" w:color="auto" w:fill="auto"/>
            <w:tcMar>
              <w:top w:w="40" w:type="dxa"/>
              <w:left w:w="0" w:type="dxa"/>
              <w:bottom w:w="40" w:type="dxa"/>
              <w:right w:w="20" w:type="dxa"/>
            </w:tcMar>
            <w:vAlign w:val="bottom"/>
          </w:tcPr>
          <w:p w14:paraId="39D9986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6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64" w14:textId="77777777" w:rsidR="00996AD7" w:rsidRDefault="00D96458">
            <w:pPr>
              <w:jc w:val="right"/>
              <w:textAlignment w:val="bottom"/>
            </w:pPr>
            <w:r>
              <w:rPr>
                <w:rFonts w:ascii="Arial" w:eastAsia="宋体" w:hAnsi="Arial" w:cs="Arial"/>
                <w:color w:val="0068B5"/>
                <w:sz w:val="18"/>
                <w:szCs w:val="18"/>
              </w:rPr>
              <w:t>0.2 </w:t>
            </w:r>
          </w:p>
        </w:tc>
        <w:tc>
          <w:tcPr>
            <w:tcW w:w="0" w:type="auto"/>
            <w:shd w:val="clear" w:color="auto" w:fill="auto"/>
            <w:tcMar>
              <w:top w:w="40" w:type="dxa"/>
              <w:left w:w="0" w:type="dxa"/>
              <w:bottom w:w="40" w:type="dxa"/>
              <w:right w:w="20" w:type="dxa"/>
            </w:tcMar>
            <w:vAlign w:val="bottom"/>
          </w:tcPr>
          <w:p w14:paraId="39D99865"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6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67" w14:textId="77777777" w:rsidR="00996AD7" w:rsidRDefault="00D96458">
            <w:pPr>
              <w:jc w:val="right"/>
              <w:textAlignment w:val="bottom"/>
            </w:pPr>
            <w:r>
              <w:rPr>
                <w:rFonts w:ascii="Arial" w:eastAsia="宋体" w:hAnsi="Arial" w:cs="Arial"/>
                <w:color w:val="000000"/>
                <w:sz w:val="18"/>
                <w:szCs w:val="18"/>
              </w:rPr>
              <w:t>(25)</w:t>
            </w:r>
          </w:p>
        </w:tc>
        <w:tc>
          <w:tcPr>
            <w:tcW w:w="0" w:type="auto"/>
            <w:shd w:val="clear" w:color="auto" w:fill="auto"/>
            <w:tcMar>
              <w:top w:w="40" w:type="dxa"/>
              <w:left w:w="0" w:type="dxa"/>
              <w:bottom w:w="40" w:type="dxa"/>
              <w:right w:w="20" w:type="dxa"/>
            </w:tcMar>
            <w:vAlign w:val="bottom"/>
          </w:tcPr>
          <w:p w14:paraId="39D9986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6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6A" w14:textId="77777777" w:rsidR="00996AD7" w:rsidRDefault="00D96458">
            <w:pPr>
              <w:jc w:val="right"/>
              <w:textAlignment w:val="bottom"/>
            </w:pPr>
            <w:r>
              <w:rPr>
                <w:rFonts w:ascii="Arial" w:eastAsia="宋体" w:hAnsi="Arial" w:cs="Arial"/>
                <w:color w:val="000000"/>
                <w:sz w:val="18"/>
                <w:szCs w:val="18"/>
              </w:rPr>
              <w:t>(0.1)</w:t>
            </w:r>
          </w:p>
        </w:tc>
        <w:tc>
          <w:tcPr>
            <w:tcW w:w="0" w:type="auto"/>
            <w:shd w:val="clear" w:color="auto" w:fill="auto"/>
            <w:tcMar>
              <w:top w:w="40" w:type="dxa"/>
              <w:left w:w="0" w:type="dxa"/>
              <w:bottom w:w="40" w:type="dxa"/>
              <w:right w:w="20" w:type="dxa"/>
            </w:tcMar>
            <w:vAlign w:val="bottom"/>
          </w:tcPr>
          <w:p w14:paraId="39D9986B" w14:textId="77777777" w:rsidR="00996AD7" w:rsidRDefault="00D964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39D9986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6D" w14:textId="77777777" w:rsidR="00996AD7" w:rsidRDefault="00D96458">
            <w:pPr>
              <w:jc w:val="right"/>
              <w:textAlignment w:val="bottom"/>
            </w:pPr>
            <w:r>
              <w:rPr>
                <w:rFonts w:ascii="Arial" w:eastAsia="宋体" w:hAnsi="Arial" w:cs="Arial"/>
                <w:color w:val="0068B5"/>
                <w:sz w:val="18"/>
                <w:szCs w:val="18"/>
              </w:rPr>
              <w:t>2,597 </w:t>
            </w:r>
          </w:p>
        </w:tc>
        <w:tc>
          <w:tcPr>
            <w:tcW w:w="0" w:type="auto"/>
            <w:shd w:val="clear" w:color="auto" w:fill="auto"/>
            <w:tcMar>
              <w:top w:w="40" w:type="dxa"/>
              <w:left w:w="0" w:type="dxa"/>
              <w:bottom w:w="40" w:type="dxa"/>
              <w:right w:w="20" w:type="dxa"/>
            </w:tcMar>
            <w:vAlign w:val="bottom"/>
          </w:tcPr>
          <w:p w14:paraId="39D9986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6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70" w14:textId="77777777" w:rsidR="00996AD7" w:rsidRDefault="00D96458">
            <w:pPr>
              <w:jc w:val="right"/>
              <w:textAlignment w:val="bottom"/>
            </w:pPr>
            <w:r>
              <w:rPr>
                <w:rFonts w:ascii="Arial" w:eastAsia="宋体" w:hAnsi="Arial" w:cs="Arial"/>
                <w:color w:val="0068B5"/>
                <w:sz w:val="18"/>
                <w:szCs w:val="18"/>
              </w:rPr>
              <w:t>4.4 </w:t>
            </w:r>
          </w:p>
        </w:tc>
        <w:tc>
          <w:tcPr>
            <w:tcW w:w="0" w:type="auto"/>
            <w:shd w:val="clear" w:color="auto" w:fill="auto"/>
            <w:tcMar>
              <w:top w:w="40" w:type="dxa"/>
              <w:left w:w="0" w:type="dxa"/>
              <w:bottom w:w="40" w:type="dxa"/>
              <w:right w:w="20" w:type="dxa"/>
            </w:tcMar>
            <w:vAlign w:val="bottom"/>
          </w:tcPr>
          <w:p w14:paraId="39D99871"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7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73" w14:textId="77777777" w:rsidR="00996AD7" w:rsidRDefault="00D96458">
            <w:pPr>
              <w:jc w:val="right"/>
              <w:textAlignment w:val="bottom"/>
            </w:pPr>
            <w:r>
              <w:rPr>
                <w:rFonts w:ascii="Arial" w:eastAsia="宋体" w:hAnsi="Arial" w:cs="Arial"/>
                <w:color w:val="000000"/>
                <w:sz w:val="18"/>
                <w:szCs w:val="18"/>
              </w:rPr>
              <w:t>146 </w:t>
            </w:r>
          </w:p>
        </w:tc>
        <w:tc>
          <w:tcPr>
            <w:tcW w:w="0" w:type="auto"/>
            <w:shd w:val="clear" w:color="auto" w:fill="auto"/>
            <w:tcMar>
              <w:top w:w="40" w:type="dxa"/>
              <w:left w:w="0" w:type="dxa"/>
              <w:bottom w:w="40" w:type="dxa"/>
              <w:right w:w="20" w:type="dxa"/>
            </w:tcMar>
            <w:vAlign w:val="bottom"/>
          </w:tcPr>
          <w:p w14:paraId="39D9987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7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76" w14:textId="77777777" w:rsidR="00996AD7" w:rsidRDefault="00D96458">
            <w:pPr>
              <w:jc w:val="right"/>
              <w:textAlignment w:val="bottom"/>
            </w:pPr>
            <w:r>
              <w:rPr>
                <w:rFonts w:ascii="Arial" w:eastAsia="宋体" w:hAnsi="Arial" w:cs="Arial"/>
                <w:color w:val="000000"/>
                <w:sz w:val="18"/>
                <w:szCs w:val="18"/>
              </w:rPr>
              <w:t>0.3 </w:t>
            </w:r>
          </w:p>
        </w:tc>
        <w:tc>
          <w:tcPr>
            <w:tcW w:w="0" w:type="auto"/>
            <w:shd w:val="clear" w:color="auto" w:fill="auto"/>
            <w:tcMar>
              <w:top w:w="40" w:type="dxa"/>
              <w:left w:w="0" w:type="dxa"/>
              <w:bottom w:w="40" w:type="dxa"/>
              <w:right w:w="20" w:type="dxa"/>
            </w:tcMar>
            <w:vAlign w:val="bottom"/>
          </w:tcPr>
          <w:p w14:paraId="39D99877" w14:textId="77777777" w:rsidR="00996AD7" w:rsidRDefault="00D96458">
            <w:pPr>
              <w:jc w:val="right"/>
              <w:textAlignment w:val="bottom"/>
            </w:pPr>
            <w:r>
              <w:rPr>
                <w:rFonts w:ascii="Arial" w:eastAsia="宋体" w:hAnsi="Arial" w:cs="Arial"/>
                <w:color w:val="000000"/>
                <w:sz w:val="18"/>
                <w:szCs w:val="18"/>
              </w:rPr>
              <w:t>%</w:t>
            </w:r>
          </w:p>
        </w:tc>
      </w:tr>
      <w:tr w:rsidR="00996AD7" w14:paraId="39D99892" w14:textId="77777777">
        <w:tc>
          <w:tcPr>
            <w:tcW w:w="0" w:type="auto"/>
            <w:gridSpan w:val="3"/>
            <w:shd w:val="clear" w:color="auto" w:fill="auto"/>
            <w:tcMar>
              <w:top w:w="40" w:type="dxa"/>
              <w:left w:w="20" w:type="dxa"/>
              <w:bottom w:w="40" w:type="dxa"/>
              <w:right w:w="20" w:type="dxa"/>
            </w:tcMar>
          </w:tcPr>
          <w:p w14:paraId="39D99879" w14:textId="77777777" w:rsidR="00996AD7" w:rsidRDefault="00D96458">
            <w:pPr>
              <w:textAlignment w:val="top"/>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vAlign w:val="bottom"/>
          </w:tcPr>
          <w:p w14:paraId="39D9987A"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7B" w14:textId="77777777" w:rsidR="00996AD7" w:rsidRDefault="00D96458">
            <w:pPr>
              <w:jc w:val="right"/>
              <w:textAlignment w:val="bottom"/>
            </w:pPr>
            <w:r>
              <w:rPr>
                <w:rFonts w:ascii="Arial" w:eastAsia="宋体" w:hAnsi="Arial" w:cs="Arial"/>
                <w:b/>
                <w:bCs/>
                <w:color w:val="0068B5"/>
                <w:sz w:val="18"/>
                <w:szCs w:val="18"/>
              </w:rPr>
              <w:t>5,227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7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7D"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7E" w14:textId="77777777" w:rsidR="00996AD7" w:rsidRDefault="00D96458">
            <w:pPr>
              <w:jc w:val="right"/>
              <w:textAlignment w:val="bottom"/>
            </w:pPr>
            <w:r>
              <w:rPr>
                <w:rFonts w:ascii="Arial" w:eastAsia="宋体" w:hAnsi="Arial" w:cs="Arial"/>
                <w:b/>
                <w:bCs/>
                <w:color w:val="0068B5"/>
                <w:sz w:val="18"/>
                <w:szCs w:val="18"/>
              </w:rPr>
              <w:t>27.2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7F" w14:textId="77777777" w:rsidR="00996AD7" w:rsidRDefault="00D964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80"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81" w14:textId="77777777" w:rsidR="00996AD7" w:rsidRDefault="00D96458">
            <w:pPr>
              <w:jc w:val="right"/>
              <w:textAlignment w:val="bottom"/>
            </w:pPr>
            <w:r>
              <w:rPr>
                <w:rFonts w:ascii="Arial" w:eastAsia="宋体" w:hAnsi="Arial" w:cs="Arial"/>
                <w:b/>
                <w:bCs/>
                <w:color w:val="000000"/>
                <w:sz w:val="18"/>
                <w:szCs w:val="18"/>
              </w:rPr>
              <w:t>5,059</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8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83"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84" w14:textId="77777777" w:rsidR="00996AD7" w:rsidRDefault="00D96458">
            <w:pPr>
              <w:jc w:val="right"/>
              <w:textAlignment w:val="bottom"/>
            </w:pPr>
            <w:r>
              <w:rPr>
                <w:rFonts w:ascii="Arial" w:eastAsia="宋体" w:hAnsi="Arial" w:cs="Arial"/>
                <w:b/>
                <w:bCs/>
                <w:color w:val="000000"/>
                <w:sz w:val="18"/>
                <w:szCs w:val="18"/>
              </w:rPr>
              <w:t>27.6</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85" w14:textId="77777777" w:rsidR="00996AD7" w:rsidRDefault="00D9645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39D99886"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87" w14:textId="77777777" w:rsidR="00996AD7" w:rsidRDefault="00D96458">
            <w:pPr>
              <w:jc w:val="right"/>
              <w:textAlignment w:val="bottom"/>
            </w:pPr>
            <w:r>
              <w:rPr>
                <w:rFonts w:ascii="Arial" w:eastAsia="宋体" w:hAnsi="Arial" w:cs="Arial"/>
                <w:b/>
                <w:bCs/>
                <w:color w:val="0068B5"/>
                <w:sz w:val="18"/>
                <w:szCs w:val="18"/>
              </w:rPr>
              <w:t>14,467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8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89"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8A" w14:textId="77777777" w:rsidR="00996AD7" w:rsidRDefault="00D96458">
            <w:pPr>
              <w:jc w:val="right"/>
              <w:textAlignment w:val="bottom"/>
            </w:pPr>
            <w:r>
              <w:rPr>
                <w:rFonts w:ascii="Arial" w:eastAsia="宋体" w:hAnsi="Arial" w:cs="Arial"/>
                <w:b/>
                <w:bCs/>
                <w:color w:val="0068B5"/>
                <w:sz w:val="18"/>
                <w:szCs w:val="18"/>
              </w:rPr>
              <w:t>24.7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8B" w14:textId="77777777" w:rsidR="00996AD7" w:rsidRDefault="00D964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8C"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8D" w14:textId="77777777" w:rsidR="00996AD7" w:rsidRDefault="00D96458">
            <w:pPr>
              <w:jc w:val="right"/>
              <w:textAlignment w:val="bottom"/>
            </w:pPr>
            <w:r>
              <w:rPr>
                <w:rFonts w:ascii="Arial" w:eastAsia="宋体" w:hAnsi="Arial" w:cs="Arial"/>
                <w:b/>
                <w:bCs/>
                <w:color w:val="000000"/>
                <w:sz w:val="18"/>
                <w:szCs w:val="18"/>
              </w:rPr>
              <w:t>17,794</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8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8F"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90" w14:textId="77777777" w:rsidR="00996AD7" w:rsidRDefault="00D96458">
            <w:pPr>
              <w:jc w:val="right"/>
              <w:textAlignment w:val="bottom"/>
            </w:pPr>
            <w:r>
              <w:rPr>
                <w:rFonts w:ascii="Arial" w:eastAsia="宋体" w:hAnsi="Arial" w:cs="Arial"/>
                <w:b/>
                <w:bCs/>
                <w:color w:val="000000"/>
                <w:sz w:val="18"/>
                <w:szCs w:val="18"/>
              </w:rPr>
              <w:t>30.7</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91" w14:textId="77777777" w:rsidR="00996AD7" w:rsidRDefault="00D96458">
            <w:pPr>
              <w:jc w:val="right"/>
              <w:textAlignment w:val="bottom"/>
            </w:pPr>
            <w:r>
              <w:rPr>
                <w:rFonts w:ascii="Arial" w:eastAsia="宋体" w:hAnsi="Arial" w:cs="Arial"/>
                <w:b/>
                <w:bCs/>
                <w:color w:val="000000"/>
                <w:sz w:val="18"/>
                <w:szCs w:val="18"/>
              </w:rPr>
              <w:t>%</w:t>
            </w:r>
          </w:p>
        </w:tc>
      </w:tr>
      <w:tr w:rsidR="00996AD7" w14:paraId="39D998AC" w14:textId="77777777">
        <w:tc>
          <w:tcPr>
            <w:tcW w:w="0" w:type="auto"/>
            <w:gridSpan w:val="3"/>
            <w:shd w:val="clear" w:color="auto" w:fill="auto"/>
            <w:tcMar>
              <w:top w:w="40" w:type="dxa"/>
              <w:left w:w="20" w:type="dxa"/>
              <w:bottom w:w="40" w:type="dxa"/>
              <w:right w:w="20" w:type="dxa"/>
            </w:tcMar>
            <w:vAlign w:val="bottom"/>
          </w:tcPr>
          <w:p w14:paraId="39D99893" w14:textId="77777777" w:rsidR="00996AD7" w:rsidRDefault="00D96458">
            <w:pPr>
              <w:textAlignment w:val="bottom"/>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39D9989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95" w14:textId="77777777" w:rsidR="00996AD7" w:rsidRDefault="00D96458">
            <w:pPr>
              <w:jc w:val="right"/>
              <w:textAlignment w:val="bottom"/>
            </w:pPr>
            <w:r>
              <w:rPr>
                <w:rFonts w:ascii="Arial" w:eastAsia="宋体" w:hAnsi="Arial" w:cs="Arial"/>
                <w:color w:val="0068B5"/>
                <w:sz w:val="18"/>
                <w:szCs w:val="18"/>
              </w:rPr>
              <w:t>1,707 </w:t>
            </w:r>
          </w:p>
        </w:tc>
        <w:tc>
          <w:tcPr>
            <w:tcW w:w="0" w:type="auto"/>
            <w:shd w:val="clear" w:color="auto" w:fill="auto"/>
            <w:tcMar>
              <w:top w:w="40" w:type="dxa"/>
              <w:left w:w="0" w:type="dxa"/>
              <w:bottom w:w="40" w:type="dxa"/>
              <w:right w:w="20" w:type="dxa"/>
            </w:tcMar>
            <w:vAlign w:val="bottom"/>
          </w:tcPr>
          <w:p w14:paraId="39D9989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9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98" w14:textId="77777777" w:rsidR="00996AD7" w:rsidRDefault="00D96458">
            <w:pPr>
              <w:jc w:val="right"/>
              <w:textAlignment w:val="bottom"/>
            </w:pPr>
            <w:r>
              <w:rPr>
                <w:rFonts w:ascii="Arial" w:eastAsia="宋体" w:hAnsi="Arial" w:cs="Arial"/>
                <w:color w:val="0068B5"/>
                <w:sz w:val="18"/>
                <w:szCs w:val="18"/>
              </w:rPr>
              <w:t>8.9 </w:t>
            </w:r>
          </w:p>
        </w:tc>
        <w:tc>
          <w:tcPr>
            <w:tcW w:w="0" w:type="auto"/>
            <w:shd w:val="clear" w:color="auto" w:fill="auto"/>
            <w:tcMar>
              <w:top w:w="40" w:type="dxa"/>
              <w:left w:w="0" w:type="dxa"/>
              <w:bottom w:w="40" w:type="dxa"/>
              <w:right w:w="20" w:type="dxa"/>
            </w:tcMar>
            <w:vAlign w:val="bottom"/>
          </w:tcPr>
          <w:p w14:paraId="39D99899"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9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9B" w14:textId="77777777" w:rsidR="00996AD7" w:rsidRDefault="00D96458">
            <w:pPr>
              <w:jc w:val="right"/>
              <w:textAlignment w:val="bottom"/>
            </w:pPr>
            <w:r>
              <w:rPr>
                <w:rFonts w:ascii="Arial" w:eastAsia="宋体" w:hAnsi="Arial" w:cs="Arial"/>
                <w:color w:val="000000"/>
                <w:sz w:val="18"/>
                <w:szCs w:val="18"/>
              </w:rPr>
              <w:t>56 </w:t>
            </w:r>
          </w:p>
        </w:tc>
        <w:tc>
          <w:tcPr>
            <w:tcW w:w="0" w:type="auto"/>
            <w:shd w:val="clear" w:color="auto" w:fill="auto"/>
            <w:tcMar>
              <w:top w:w="40" w:type="dxa"/>
              <w:left w:w="0" w:type="dxa"/>
              <w:bottom w:w="40" w:type="dxa"/>
              <w:right w:w="20" w:type="dxa"/>
            </w:tcMar>
            <w:vAlign w:val="bottom"/>
          </w:tcPr>
          <w:p w14:paraId="39D9989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9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9E" w14:textId="77777777" w:rsidR="00996AD7" w:rsidRDefault="00D96458">
            <w:pPr>
              <w:jc w:val="right"/>
              <w:textAlignment w:val="bottom"/>
            </w:pPr>
            <w:r>
              <w:rPr>
                <w:rFonts w:ascii="Arial" w:eastAsia="宋体" w:hAnsi="Arial" w:cs="Arial"/>
                <w:color w:val="000000"/>
                <w:sz w:val="18"/>
                <w:szCs w:val="18"/>
              </w:rPr>
              <w:t>0.3 </w:t>
            </w:r>
          </w:p>
        </w:tc>
        <w:tc>
          <w:tcPr>
            <w:tcW w:w="0" w:type="auto"/>
            <w:shd w:val="clear" w:color="auto" w:fill="auto"/>
            <w:tcMar>
              <w:top w:w="40" w:type="dxa"/>
              <w:left w:w="0" w:type="dxa"/>
              <w:bottom w:w="40" w:type="dxa"/>
              <w:right w:w="20" w:type="dxa"/>
            </w:tcMar>
            <w:vAlign w:val="bottom"/>
          </w:tcPr>
          <w:p w14:paraId="39D9989F" w14:textId="77777777" w:rsidR="00996AD7" w:rsidRDefault="00D964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39D998A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A1" w14:textId="77777777" w:rsidR="00996AD7" w:rsidRDefault="00D96458">
            <w:pPr>
              <w:jc w:val="right"/>
              <w:textAlignment w:val="bottom"/>
            </w:pPr>
            <w:r>
              <w:rPr>
                <w:rFonts w:ascii="Arial" w:eastAsia="宋体" w:hAnsi="Arial" w:cs="Arial"/>
                <w:color w:val="0068B5"/>
                <w:sz w:val="18"/>
                <w:szCs w:val="18"/>
              </w:rPr>
              <w:t>2,370 </w:t>
            </w:r>
          </w:p>
        </w:tc>
        <w:tc>
          <w:tcPr>
            <w:tcW w:w="0" w:type="auto"/>
            <w:shd w:val="clear" w:color="auto" w:fill="auto"/>
            <w:tcMar>
              <w:top w:w="40" w:type="dxa"/>
              <w:left w:w="0" w:type="dxa"/>
              <w:bottom w:w="40" w:type="dxa"/>
              <w:right w:w="20" w:type="dxa"/>
            </w:tcMar>
            <w:vAlign w:val="bottom"/>
          </w:tcPr>
          <w:p w14:paraId="39D998A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A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A4" w14:textId="77777777" w:rsidR="00996AD7" w:rsidRDefault="00D96458">
            <w:pPr>
              <w:jc w:val="right"/>
              <w:textAlignment w:val="bottom"/>
            </w:pPr>
            <w:r>
              <w:rPr>
                <w:rFonts w:ascii="Arial" w:eastAsia="宋体" w:hAnsi="Arial" w:cs="Arial"/>
                <w:color w:val="0068B5"/>
                <w:sz w:val="18"/>
                <w:szCs w:val="18"/>
              </w:rPr>
              <w:t>4.1 </w:t>
            </w:r>
          </w:p>
        </w:tc>
        <w:tc>
          <w:tcPr>
            <w:tcW w:w="0" w:type="auto"/>
            <w:shd w:val="clear" w:color="auto" w:fill="auto"/>
            <w:tcMar>
              <w:top w:w="40" w:type="dxa"/>
              <w:left w:w="0" w:type="dxa"/>
              <w:bottom w:w="40" w:type="dxa"/>
              <w:right w:w="20" w:type="dxa"/>
            </w:tcMar>
            <w:vAlign w:val="bottom"/>
          </w:tcPr>
          <w:p w14:paraId="39D998A5"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A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A7" w14:textId="77777777" w:rsidR="00996AD7" w:rsidRDefault="00D96458">
            <w:pPr>
              <w:jc w:val="right"/>
              <w:textAlignment w:val="bottom"/>
            </w:pPr>
            <w:r>
              <w:rPr>
                <w:rFonts w:ascii="Arial" w:eastAsia="宋体" w:hAnsi="Arial" w:cs="Arial"/>
                <w:color w:val="000000"/>
                <w:sz w:val="18"/>
                <w:szCs w:val="18"/>
              </w:rPr>
              <w:t>212 </w:t>
            </w:r>
          </w:p>
        </w:tc>
        <w:tc>
          <w:tcPr>
            <w:tcW w:w="0" w:type="auto"/>
            <w:shd w:val="clear" w:color="auto" w:fill="auto"/>
            <w:tcMar>
              <w:top w:w="40" w:type="dxa"/>
              <w:left w:w="0" w:type="dxa"/>
              <w:bottom w:w="40" w:type="dxa"/>
              <w:right w:w="20" w:type="dxa"/>
            </w:tcMar>
            <w:vAlign w:val="bottom"/>
          </w:tcPr>
          <w:p w14:paraId="39D998A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A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AA" w14:textId="77777777" w:rsidR="00996AD7" w:rsidRDefault="00D96458">
            <w:pPr>
              <w:jc w:val="right"/>
              <w:textAlignment w:val="bottom"/>
            </w:pPr>
            <w:r>
              <w:rPr>
                <w:rFonts w:ascii="Arial" w:eastAsia="宋体" w:hAnsi="Arial" w:cs="Arial"/>
                <w:color w:val="000000"/>
                <w:sz w:val="18"/>
                <w:szCs w:val="18"/>
              </w:rPr>
              <w:t>0.4 </w:t>
            </w:r>
          </w:p>
        </w:tc>
        <w:tc>
          <w:tcPr>
            <w:tcW w:w="0" w:type="auto"/>
            <w:shd w:val="clear" w:color="auto" w:fill="auto"/>
            <w:tcMar>
              <w:top w:w="40" w:type="dxa"/>
              <w:left w:w="0" w:type="dxa"/>
              <w:bottom w:w="40" w:type="dxa"/>
              <w:right w:w="20" w:type="dxa"/>
            </w:tcMar>
            <w:vAlign w:val="bottom"/>
          </w:tcPr>
          <w:p w14:paraId="39D998AB" w14:textId="77777777" w:rsidR="00996AD7" w:rsidRDefault="00D96458">
            <w:pPr>
              <w:jc w:val="right"/>
              <w:textAlignment w:val="bottom"/>
            </w:pPr>
            <w:r>
              <w:rPr>
                <w:rFonts w:ascii="Arial" w:eastAsia="宋体" w:hAnsi="Arial" w:cs="Arial"/>
                <w:color w:val="000000"/>
                <w:sz w:val="18"/>
                <w:szCs w:val="18"/>
              </w:rPr>
              <w:t>%</w:t>
            </w:r>
          </w:p>
        </w:tc>
      </w:tr>
      <w:tr w:rsidR="00996AD7" w14:paraId="39D998C6" w14:textId="77777777">
        <w:tc>
          <w:tcPr>
            <w:tcW w:w="0" w:type="auto"/>
            <w:gridSpan w:val="3"/>
            <w:shd w:val="clear" w:color="auto" w:fill="auto"/>
            <w:tcMar>
              <w:top w:w="40" w:type="dxa"/>
              <w:left w:w="20" w:type="dxa"/>
              <w:bottom w:w="40" w:type="dxa"/>
              <w:right w:w="20" w:type="dxa"/>
            </w:tcMar>
          </w:tcPr>
          <w:p w14:paraId="39D998AD" w14:textId="77777777" w:rsidR="00996AD7" w:rsidRDefault="00D96458">
            <w:pPr>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39D998A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AF" w14:textId="77777777" w:rsidR="00996AD7" w:rsidRDefault="00D96458">
            <w:pPr>
              <w:jc w:val="right"/>
              <w:textAlignment w:val="bottom"/>
            </w:pPr>
            <w:r>
              <w:rPr>
                <w:rFonts w:ascii="Arial" w:eastAsia="宋体" w:hAnsi="Arial" w:cs="Arial"/>
                <w:color w:val="0068B5"/>
                <w:sz w:val="18"/>
                <w:szCs w:val="18"/>
              </w:rPr>
              <w:t>(76)</w:t>
            </w:r>
          </w:p>
        </w:tc>
        <w:tc>
          <w:tcPr>
            <w:tcW w:w="0" w:type="auto"/>
            <w:shd w:val="clear" w:color="auto" w:fill="auto"/>
            <w:tcMar>
              <w:top w:w="40" w:type="dxa"/>
              <w:left w:w="0" w:type="dxa"/>
              <w:bottom w:w="40" w:type="dxa"/>
              <w:right w:w="20" w:type="dxa"/>
            </w:tcMar>
            <w:vAlign w:val="bottom"/>
          </w:tcPr>
          <w:p w14:paraId="39D998B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B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B2" w14:textId="77777777" w:rsidR="00996AD7" w:rsidRDefault="00D96458">
            <w:pPr>
              <w:jc w:val="right"/>
              <w:textAlignment w:val="bottom"/>
            </w:pPr>
            <w:r>
              <w:rPr>
                <w:rFonts w:ascii="Arial" w:eastAsia="宋体" w:hAnsi="Arial" w:cs="Arial"/>
                <w:color w:val="0068B5"/>
                <w:sz w:val="18"/>
                <w:szCs w:val="18"/>
              </w:rPr>
              <w:t>(0.4)</w:t>
            </w:r>
          </w:p>
        </w:tc>
        <w:tc>
          <w:tcPr>
            <w:tcW w:w="0" w:type="auto"/>
            <w:shd w:val="clear" w:color="auto" w:fill="auto"/>
            <w:tcMar>
              <w:top w:w="40" w:type="dxa"/>
              <w:left w:w="0" w:type="dxa"/>
              <w:bottom w:w="40" w:type="dxa"/>
              <w:right w:w="20" w:type="dxa"/>
            </w:tcMar>
            <w:vAlign w:val="bottom"/>
          </w:tcPr>
          <w:p w14:paraId="39D998B3"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B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B5" w14:textId="77777777" w:rsidR="00996AD7" w:rsidRDefault="00D96458">
            <w:pPr>
              <w:jc w:val="right"/>
              <w:textAlignment w:val="bottom"/>
            </w:pPr>
            <w:r>
              <w:rPr>
                <w:rFonts w:ascii="Arial" w:eastAsia="宋体" w:hAnsi="Arial" w:cs="Arial"/>
                <w:color w:val="000000"/>
                <w:sz w:val="18"/>
                <w:szCs w:val="18"/>
              </w:rPr>
              <w:t>(74)</w:t>
            </w:r>
          </w:p>
        </w:tc>
        <w:tc>
          <w:tcPr>
            <w:tcW w:w="0" w:type="auto"/>
            <w:shd w:val="clear" w:color="auto" w:fill="auto"/>
            <w:tcMar>
              <w:top w:w="40" w:type="dxa"/>
              <w:left w:w="0" w:type="dxa"/>
              <w:bottom w:w="40" w:type="dxa"/>
              <w:right w:w="20" w:type="dxa"/>
            </w:tcMar>
            <w:vAlign w:val="bottom"/>
          </w:tcPr>
          <w:p w14:paraId="39D998B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B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B8" w14:textId="77777777" w:rsidR="00996AD7" w:rsidRDefault="00D96458">
            <w:pPr>
              <w:jc w:val="right"/>
              <w:textAlignment w:val="bottom"/>
            </w:pPr>
            <w:r>
              <w:rPr>
                <w:rFonts w:ascii="Arial" w:eastAsia="宋体" w:hAnsi="Arial" w:cs="Arial"/>
                <w:color w:val="000000"/>
                <w:sz w:val="18"/>
                <w:szCs w:val="18"/>
              </w:rPr>
              <w:t>(0.4)</w:t>
            </w:r>
          </w:p>
        </w:tc>
        <w:tc>
          <w:tcPr>
            <w:tcW w:w="0" w:type="auto"/>
            <w:shd w:val="clear" w:color="auto" w:fill="auto"/>
            <w:tcMar>
              <w:top w:w="40" w:type="dxa"/>
              <w:left w:w="0" w:type="dxa"/>
              <w:bottom w:w="40" w:type="dxa"/>
              <w:right w:w="20" w:type="dxa"/>
            </w:tcMar>
            <w:vAlign w:val="bottom"/>
          </w:tcPr>
          <w:p w14:paraId="39D998B9" w14:textId="77777777" w:rsidR="00996AD7" w:rsidRDefault="00D964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39D998B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BB" w14:textId="77777777" w:rsidR="00996AD7" w:rsidRDefault="00D96458">
            <w:pPr>
              <w:jc w:val="right"/>
              <w:textAlignment w:val="bottom"/>
            </w:pPr>
            <w:r>
              <w:rPr>
                <w:rFonts w:ascii="Arial" w:eastAsia="宋体" w:hAnsi="Arial" w:cs="Arial"/>
                <w:color w:val="0068B5"/>
                <w:sz w:val="18"/>
                <w:szCs w:val="18"/>
              </w:rPr>
              <w:t>(328)</w:t>
            </w:r>
          </w:p>
        </w:tc>
        <w:tc>
          <w:tcPr>
            <w:tcW w:w="0" w:type="auto"/>
            <w:shd w:val="clear" w:color="auto" w:fill="auto"/>
            <w:tcMar>
              <w:top w:w="40" w:type="dxa"/>
              <w:left w:w="0" w:type="dxa"/>
              <w:bottom w:w="40" w:type="dxa"/>
              <w:right w:w="20" w:type="dxa"/>
            </w:tcMar>
            <w:vAlign w:val="bottom"/>
          </w:tcPr>
          <w:p w14:paraId="39D998B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B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BE" w14:textId="77777777" w:rsidR="00996AD7" w:rsidRDefault="00D96458">
            <w:pPr>
              <w:jc w:val="right"/>
              <w:textAlignment w:val="bottom"/>
            </w:pPr>
            <w:r>
              <w:rPr>
                <w:rFonts w:ascii="Arial" w:eastAsia="宋体" w:hAnsi="Arial" w:cs="Arial"/>
                <w:color w:val="0068B5"/>
                <w:sz w:val="18"/>
                <w:szCs w:val="18"/>
              </w:rPr>
              <w:t>(0.6)</w:t>
            </w:r>
          </w:p>
        </w:tc>
        <w:tc>
          <w:tcPr>
            <w:tcW w:w="0" w:type="auto"/>
            <w:shd w:val="clear" w:color="auto" w:fill="auto"/>
            <w:tcMar>
              <w:top w:w="40" w:type="dxa"/>
              <w:left w:w="0" w:type="dxa"/>
              <w:bottom w:w="40" w:type="dxa"/>
              <w:right w:w="20" w:type="dxa"/>
            </w:tcMar>
            <w:vAlign w:val="bottom"/>
          </w:tcPr>
          <w:p w14:paraId="39D998BF"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C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C1" w14:textId="77777777" w:rsidR="00996AD7" w:rsidRDefault="00D96458">
            <w:pPr>
              <w:jc w:val="right"/>
              <w:textAlignment w:val="bottom"/>
            </w:pPr>
            <w:r>
              <w:rPr>
                <w:rFonts w:ascii="Arial" w:eastAsia="宋体" w:hAnsi="Arial" w:cs="Arial"/>
                <w:color w:val="000000"/>
                <w:sz w:val="18"/>
                <w:szCs w:val="18"/>
              </w:rPr>
              <w:t>(416)</w:t>
            </w:r>
          </w:p>
        </w:tc>
        <w:tc>
          <w:tcPr>
            <w:tcW w:w="0" w:type="auto"/>
            <w:shd w:val="clear" w:color="auto" w:fill="auto"/>
            <w:tcMar>
              <w:top w:w="40" w:type="dxa"/>
              <w:left w:w="0" w:type="dxa"/>
              <w:bottom w:w="40" w:type="dxa"/>
              <w:right w:w="20" w:type="dxa"/>
            </w:tcMar>
            <w:vAlign w:val="bottom"/>
          </w:tcPr>
          <w:p w14:paraId="39D998C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C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C4" w14:textId="77777777" w:rsidR="00996AD7" w:rsidRDefault="00D96458">
            <w:pPr>
              <w:jc w:val="right"/>
              <w:textAlignment w:val="bottom"/>
            </w:pPr>
            <w:r>
              <w:rPr>
                <w:rFonts w:ascii="Arial" w:eastAsia="宋体" w:hAnsi="Arial" w:cs="Arial"/>
                <w:color w:val="000000"/>
                <w:sz w:val="18"/>
                <w:szCs w:val="18"/>
              </w:rPr>
              <w:t>(0.7)</w:t>
            </w:r>
          </w:p>
        </w:tc>
        <w:tc>
          <w:tcPr>
            <w:tcW w:w="0" w:type="auto"/>
            <w:shd w:val="clear" w:color="auto" w:fill="auto"/>
            <w:tcMar>
              <w:top w:w="40" w:type="dxa"/>
              <w:left w:w="0" w:type="dxa"/>
              <w:bottom w:w="40" w:type="dxa"/>
              <w:right w:w="20" w:type="dxa"/>
            </w:tcMar>
            <w:vAlign w:val="bottom"/>
          </w:tcPr>
          <w:p w14:paraId="39D998C5" w14:textId="77777777" w:rsidR="00996AD7" w:rsidRDefault="00D96458">
            <w:pPr>
              <w:jc w:val="right"/>
              <w:textAlignment w:val="bottom"/>
            </w:pPr>
            <w:r>
              <w:rPr>
                <w:rFonts w:ascii="Arial" w:eastAsia="宋体" w:hAnsi="Arial" w:cs="Arial"/>
                <w:color w:val="000000"/>
                <w:sz w:val="18"/>
                <w:szCs w:val="18"/>
              </w:rPr>
              <w:t>%</w:t>
            </w:r>
          </w:p>
        </w:tc>
      </w:tr>
      <w:tr w:rsidR="00996AD7" w14:paraId="39D998E0" w14:textId="77777777">
        <w:tc>
          <w:tcPr>
            <w:tcW w:w="0" w:type="auto"/>
            <w:gridSpan w:val="3"/>
            <w:shd w:val="clear" w:color="auto" w:fill="auto"/>
            <w:tcMar>
              <w:top w:w="40" w:type="dxa"/>
              <w:left w:w="20" w:type="dxa"/>
              <w:bottom w:w="40" w:type="dxa"/>
              <w:right w:w="20" w:type="dxa"/>
            </w:tcMar>
          </w:tcPr>
          <w:p w14:paraId="39D998C7" w14:textId="77777777" w:rsidR="00996AD7" w:rsidRDefault="00D96458">
            <w:pPr>
              <w:textAlignment w:val="top"/>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39D998C8"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C9" w14:textId="77777777" w:rsidR="00996AD7" w:rsidRDefault="00D96458">
            <w:pPr>
              <w:jc w:val="right"/>
              <w:textAlignment w:val="bottom"/>
            </w:pPr>
            <w:r>
              <w:rPr>
                <w:rFonts w:ascii="Arial" w:eastAsia="宋体" w:hAnsi="Arial" w:cs="Arial"/>
                <w:b/>
                <w:bCs/>
                <w:color w:val="0068B5"/>
                <w:sz w:val="18"/>
                <w:szCs w:val="18"/>
              </w:rPr>
              <w:t>6,858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C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CB"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CC" w14:textId="77777777" w:rsidR="00996AD7" w:rsidRDefault="00D96458">
            <w:pPr>
              <w:jc w:val="right"/>
              <w:textAlignment w:val="bottom"/>
            </w:pPr>
            <w:r>
              <w:rPr>
                <w:rFonts w:ascii="Arial" w:eastAsia="宋体" w:hAnsi="Arial" w:cs="Arial"/>
                <w:b/>
                <w:bCs/>
                <w:color w:val="0068B5"/>
                <w:sz w:val="18"/>
                <w:szCs w:val="18"/>
              </w:rPr>
              <w:t>35.7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CD" w14:textId="77777777" w:rsidR="00996AD7" w:rsidRDefault="00D964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CE"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CF" w14:textId="77777777" w:rsidR="00996AD7" w:rsidRDefault="00D96458">
            <w:pPr>
              <w:jc w:val="right"/>
              <w:textAlignment w:val="bottom"/>
            </w:pPr>
            <w:r>
              <w:rPr>
                <w:rFonts w:ascii="Arial" w:eastAsia="宋体" w:hAnsi="Arial" w:cs="Arial"/>
                <w:b/>
                <w:bCs/>
                <w:color w:val="000000"/>
                <w:sz w:val="18"/>
                <w:szCs w:val="18"/>
              </w:rPr>
              <w:t>5,041</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D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D1"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D2" w14:textId="77777777" w:rsidR="00996AD7" w:rsidRDefault="00D96458">
            <w:pPr>
              <w:jc w:val="right"/>
              <w:textAlignment w:val="bottom"/>
            </w:pPr>
            <w:r>
              <w:rPr>
                <w:rFonts w:ascii="Arial" w:eastAsia="宋体" w:hAnsi="Arial" w:cs="Arial"/>
                <w:b/>
                <w:bCs/>
                <w:color w:val="000000"/>
                <w:sz w:val="18"/>
                <w:szCs w:val="18"/>
              </w:rPr>
              <w:t>27.5</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D3" w14:textId="77777777" w:rsidR="00996AD7" w:rsidRDefault="00D9645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39D998D4"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D5" w14:textId="77777777" w:rsidR="00996AD7" w:rsidRDefault="00D96458">
            <w:pPr>
              <w:jc w:val="right"/>
              <w:textAlignment w:val="bottom"/>
            </w:pPr>
            <w:r>
              <w:rPr>
                <w:rFonts w:ascii="Arial" w:eastAsia="宋体" w:hAnsi="Arial" w:cs="Arial"/>
                <w:b/>
                <w:bCs/>
                <w:color w:val="0068B5"/>
                <w:sz w:val="18"/>
                <w:szCs w:val="18"/>
              </w:rPr>
              <w:t>16,509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D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D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D8" w14:textId="77777777" w:rsidR="00996AD7" w:rsidRDefault="00D96458">
            <w:pPr>
              <w:jc w:val="right"/>
              <w:textAlignment w:val="bottom"/>
            </w:pPr>
            <w:r>
              <w:rPr>
                <w:rFonts w:ascii="Arial" w:eastAsia="宋体" w:hAnsi="Arial" w:cs="Arial"/>
                <w:b/>
                <w:bCs/>
                <w:color w:val="0068B5"/>
                <w:sz w:val="18"/>
                <w:szCs w:val="18"/>
              </w:rPr>
              <w:t>28.2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D9" w14:textId="77777777" w:rsidR="00996AD7" w:rsidRDefault="00D964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DA"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DB" w14:textId="77777777" w:rsidR="00996AD7" w:rsidRDefault="00D96458">
            <w:pPr>
              <w:jc w:val="right"/>
              <w:textAlignment w:val="bottom"/>
            </w:pPr>
            <w:r>
              <w:rPr>
                <w:rFonts w:ascii="Arial" w:eastAsia="宋体" w:hAnsi="Arial" w:cs="Arial"/>
                <w:b/>
                <w:bCs/>
                <w:color w:val="000000"/>
                <w:sz w:val="18"/>
                <w:szCs w:val="18"/>
              </w:rPr>
              <w:t>17,590</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D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DD"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8DE" w14:textId="77777777" w:rsidR="00996AD7" w:rsidRDefault="00D96458">
            <w:pPr>
              <w:jc w:val="right"/>
              <w:textAlignment w:val="bottom"/>
            </w:pPr>
            <w:r>
              <w:rPr>
                <w:rFonts w:ascii="Arial" w:eastAsia="宋体" w:hAnsi="Arial" w:cs="Arial"/>
                <w:b/>
                <w:bCs/>
                <w:color w:val="000000"/>
                <w:sz w:val="18"/>
                <w:szCs w:val="18"/>
              </w:rPr>
              <w:t>30.4</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DF" w14:textId="77777777" w:rsidR="00996AD7" w:rsidRDefault="00D96458">
            <w:pPr>
              <w:jc w:val="right"/>
              <w:textAlignment w:val="bottom"/>
            </w:pPr>
            <w:r>
              <w:rPr>
                <w:rFonts w:ascii="Arial" w:eastAsia="宋体" w:hAnsi="Arial" w:cs="Arial"/>
                <w:b/>
                <w:bCs/>
                <w:color w:val="000000"/>
                <w:sz w:val="18"/>
                <w:szCs w:val="18"/>
              </w:rPr>
              <w:t>%</w:t>
            </w:r>
          </w:p>
        </w:tc>
      </w:tr>
      <w:tr w:rsidR="00996AD7" w14:paraId="39D998FA" w14:textId="77777777">
        <w:tc>
          <w:tcPr>
            <w:tcW w:w="0" w:type="auto"/>
            <w:gridSpan w:val="3"/>
            <w:shd w:val="clear" w:color="auto" w:fill="auto"/>
            <w:tcMar>
              <w:top w:w="40" w:type="dxa"/>
              <w:left w:w="20" w:type="dxa"/>
              <w:bottom w:w="40" w:type="dxa"/>
              <w:right w:w="20" w:type="dxa"/>
            </w:tcMar>
          </w:tcPr>
          <w:p w14:paraId="39D998E1" w14:textId="77777777" w:rsidR="00996AD7" w:rsidRDefault="00D96458">
            <w:pPr>
              <w:textAlignment w:val="top"/>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vAlign w:val="bottom"/>
          </w:tcPr>
          <w:p w14:paraId="39D998E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E3" w14:textId="77777777" w:rsidR="00996AD7" w:rsidRDefault="00D96458">
            <w:pPr>
              <w:jc w:val="right"/>
              <w:textAlignment w:val="bottom"/>
            </w:pPr>
            <w:r>
              <w:rPr>
                <w:rFonts w:ascii="Arial" w:eastAsia="宋体" w:hAnsi="Arial" w:cs="Arial"/>
                <w:color w:val="0068B5"/>
                <w:sz w:val="18"/>
                <w:szCs w:val="18"/>
              </w:rPr>
              <w:t>35 </w:t>
            </w:r>
          </w:p>
        </w:tc>
        <w:tc>
          <w:tcPr>
            <w:tcW w:w="0" w:type="auto"/>
            <w:shd w:val="clear" w:color="auto" w:fill="auto"/>
            <w:tcMar>
              <w:top w:w="40" w:type="dxa"/>
              <w:left w:w="0" w:type="dxa"/>
              <w:bottom w:w="40" w:type="dxa"/>
              <w:right w:w="20" w:type="dxa"/>
            </w:tcMar>
            <w:vAlign w:val="bottom"/>
          </w:tcPr>
          <w:p w14:paraId="39D998E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E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E6" w14:textId="77777777" w:rsidR="00996AD7" w:rsidRDefault="00D96458">
            <w:pPr>
              <w:jc w:val="right"/>
              <w:textAlignment w:val="bottom"/>
            </w:pPr>
            <w:r>
              <w:rPr>
                <w:rFonts w:ascii="Arial" w:eastAsia="宋体" w:hAnsi="Arial" w:cs="Arial"/>
                <w:color w:val="0068B5"/>
                <w:sz w:val="18"/>
                <w:szCs w:val="18"/>
              </w:rPr>
              <w:t>0.2 </w:t>
            </w:r>
          </w:p>
        </w:tc>
        <w:tc>
          <w:tcPr>
            <w:tcW w:w="0" w:type="auto"/>
            <w:shd w:val="clear" w:color="auto" w:fill="auto"/>
            <w:tcMar>
              <w:top w:w="40" w:type="dxa"/>
              <w:left w:w="0" w:type="dxa"/>
              <w:bottom w:w="40" w:type="dxa"/>
              <w:right w:w="20" w:type="dxa"/>
            </w:tcMar>
            <w:vAlign w:val="bottom"/>
          </w:tcPr>
          <w:p w14:paraId="39D998E7"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E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E9" w14:textId="77777777" w:rsidR="00996AD7" w:rsidRDefault="00D96458">
            <w:pPr>
              <w:jc w:val="right"/>
              <w:textAlignment w:val="bottom"/>
            </w:pPr>
            <w:r>
              <w:rPr>
                <w:rFonts w:ascii="Arial" w:eastAsia="宋体" w:hAnsi="Arial" w:cs="Arial"/>
                <w:color w:val="000000"/>
                <w:sz w:val="18"/>
                <w:szCs w:val="18"/>
              </w:rPr>
              <w:t>765 </w:t>
            </w:r>
          </w:p>
        </w:tc>
        <w:tc>
          <w:tcPr>
            <w:tcW w:w="0" w:type="auto"/>
            <w:shd w:val="clear" w:color="auto" w:fill="auto"/>
            <w:tcMar>
              <w:top w:w="40" w:type="dxa"/>
              <w:left w:w="0" w:type="dxa"/>
              <w:bottom w:w="40" w:type="dxa"/>
              <w:right w:w="20" w:type="dxa"/>
            </w:tcMar>
            <w:vAlign w:val="bottom"/>
          </w:tcPr>
          <w:p w14:paraId="39D998E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E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EC" w14:textId="77777777" w:rsidR="00996AD7" w:rsidRDefault="00D96458">
            <w:pPr>
              <w:jc w:val="right"/>
              <w:textAlignment w:val="bottom"/>
            </w:pPr>
            <w:r>
              <w:rPr>
                <w:rFonts w:ascii="Arial" w:eastAsia="宋体" w:hAnsi="Arial" w:cs="Arial"/>
                <w:color w:val="000000"/>
                <w:sz w:val="18"/>
                <w:szCs w:val="18"/>
              </w:rPr>
              <w:t>4.2 </w:t>
            </w:r>
          </w:p>
        </w:tc>
        <w:tc>
          <w:tcPr>
            <w:tcW w:w="0" w:type="auto"/>
            <w:shd w:val="clear" w:color="auto" w:fill="auto"/>
            <w:tcMar>
              <w:top w:w="40" w:type="dxa"/>
              <w:left w:w="0" w:type="dxa"/>
              <w:bottom w:w="40" w:type="dxa"/>
              <w:right w:w="20" w:type="dxa"/>
            </w:tcMar>
            <w:vAlign w:val="bottom"/>
          </w:tcPr>
          <w:p w14:paraId="39D998ED" w14:textId="77777777" w:rsidR="00996AD7" w:rsidRDefault="00D964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39D998EE"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EF" w14:textId="77777777" w:rsidR="00996AD7" w:rsidRDefault="00D96458">
            <w:pPr>
              <w:jc w:val="right"/>
              <w:textAlignment w:val="bottom"/>
            </w:pPr>
            <w:r>
              <w:rPr>
                <w:rFonts w:ascii="Arial" w:eastAsia="宋体" w:hAnsi="Arial" w:cs="Arial"/>
                <w:color w:val="0068B5"/>
                <w:sz w:val="18"/>
                <w:szCs w:val="18"/>
              </w:rPr>
              <w:t>1,264 </w:t>
            </w:r>
          </w:p>
        </w:tc>
        <w:tc>
          <w:tcPr>
            <w:tcW w:w="0" w:type="auto"/>
            <w:shd w:val="clear" w:color="auto" w:fill="auto"/>
            <w:tcMar>
              <w:top w:w="40" w:type="dxa"/>
              <w:left w:w="0" w:type="dxa"/>
              <w:bottom w:w="40" w:type="dxa"/>
              <w:right w:w="20" w:type="dxa"/>
            </w:tcMar>
            <w:vAlign w:val="bottom"/>
          </w:tcPr>
          <w:p w14:paraId="39D998F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F1"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F2" w14:textId="77777777" w:rsidR="00996AD7" w:rsidRDefault="00D96458">
            <w:pPr>
              <w:jc w:val="right"/>
              <w:textAlignment w:val="bottom"/>
            </w:pPr>
            <w:r>
              <w:rPr>
                <w:rFonts w:ascii="Arial" w:eastAsia="宋体" w:hAnsi="Arial" w:cs="Arial"/>
                <w:color w:val="0068B5"/>
                <w:sz w:val="18"/>
                <w:szCs w:val="18"/>
              </w:rPr>
              <w:t>2.2 </w:t>
            </w:r>
          </w:p>
        </w:tc>
        <w:tc>
          <w:tcPr>
            <w:tcW w:w="0" w:type="auto"/>
            <w:shd w:val="clear" w:color="auto" w:fill="auto"/>
            <w:tcMar>
              <w:top w:w="40" w:type="dxa"/>
              <w:left w:w="0" w:type="dxa"/>
              <w:bottom w:w="40" w:type="dxa"/>
              <w:right w:w="20" w:type="dxa"/>
            </w:tcMar>
            <w:vAlign w:val="bottom"/>
          </w:tcPr>
          <w:p w14:paraId="39D998F3"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8F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F5" w14:textId="77777777" w:rsidR="00996AD7" w:rsidRDefault="00D96458">
            <w:pPr>
              <w:jc w:val="right"/>
              <w:textAlignment w:val="bottom"/>
            </w:pPr>
            <w:r>
              <w:rPr>
                <w:rFonts w:ascii="Arial" w:eastAsia="宋体" w:hAnsi="Arial" w:cs="Arial"/>
                <w:color w:val="000000"/>
                <w:sz w:val="18"/>
                <w:szCs w:val="18"/>
              </w:rPr>
              <w:t>2,548 </w:t>
            </w:r>
          </w:p>
        </w:tc>
        <w:tc>
          <w:tcPr>
            <w:tcW w:w="0" w:type="auto"/>
            <w:shd w:val="clear" w:color="auto" w:fill="auto"/>
            <w:tcMar>
              <w:top w:w="40" w:type="dxa"/>
              <w:left w:w="0" w:type="dxa"/>
              <w:bottom w:w="40" w:type="dxa"/>
              <w:right w:w="20" w:type="dxa"/>
            </w:tcMar>
            <w:vAlign w:val="bottom"/>
          </w:tcPr>
          <w:p w14:paraId="39D998F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8F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8F8" w14:textId="77777777" w:rsidR="00996AD7" w:rsidRDefault="00D96458">
            <w:pPr>
              <w:jc w:val="right"/>
              <w:textAlignment w:val="bottom"/>
            </w:pPr>
            <w:r>
              <w:rPr>
                <w:rFonts w:ascii="Arial" w:eastAsia="宋体" w:hAnsi="Arial" w:cs="Arial"/>
                <w:color w:val="000000"/>
                <w:sz w:val="18"/>
                <w:szCs w:val="18"/>
              </w:rPr>
              <w:t>4.4 </w:t>
            </w:r>
          </w:p>
        </w:tc>
        <w:tc>
          <w:tcPr>
            <w:tcW w:w="0" w:type="auto"/>
            <w:shd w:val="clear" w:color="auto" w:fill="auto"/>
            <w:tcMar>
              <w:top w:w="40" w:type="dxa"/>
              <w:left w:w="0" w:type="dxa"/>
              <w:bottom w:w="40" w:type="dxa"/>
              <w:right w:w="20" w:type="dxa"/>
            </w:tcMar>
            <w:vAlign w:val="bottom"/>
          </w:tcPr>
          <w:p w14:paraId="39D998F9" w14:textId="77777777" w:rsidR="00996AD7" w:rsidRDefault="00D96458">
            <w:pPr>
              <w:jc w:val="right"/>
              <w:textAlignment w:val="bottom"/>
            </w:pPr>
            <w:r>
              <w:rPr>
                <w:rFonts w:ascii="Arial" w:eastAsia="宋体" w:hAnsi="Arial" w:cs="Arial"/>
                <w:color w:val="000000"/>
                <w:sz w:val="18"/>
                <w:szCs w:val="18"/>
              </w:rPr>
              <w:t>%</w:t>
            </w:r>
          </w:p>
        </w:tc>
      </w:tr>
      <w:tr w:rsidR="00996AD7" w14:paraId="39D99918" w14:textId="77777777">
        <w:tc>
          <w:tcPr>
            <w:tcW w:w="0" w:type="auto"/>
            <w:gridSpan w:val="3"/>
            <w:shd w:val="clear" w:color="auto" w:fill="auto"/>
            <w:tcMar>
              <w:top w:w="40" w:type="dxa"/>
              <w:left w:w="20" w:type="dxa"/>
              <w:bottom w:w="40" w:type="dxa"/>
              <w:right w:w="20" w:type="dxa"/>
            </w:tcMar>
          </w:tcPr>
          <w:p w14:paraId="39D998FB" w14:textId="77777777" w:rsidR="00996AD7" w:rsidRDefault="00D96458">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39D998FC"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8FD"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8FE" w14:textId="77777777" w:rsidR="00996AD7" w:rsidRDefault="00D96458">
            <w:pPr>
              <w:jc w:val="right"/>
              <w:textAlignment w:val="bottom"/>
            </w:pPr>
            <w:r>
              <w:rPr>
                <w:rFonts w:ascii="Arial" w:eastAsia="宋体" w:hAnsi="Arial" w:cs="Arial"/>
                <w:b/>
                <w:bCs/>
                <w:color w:val="0068B5"/>
                <w:sz w:val="18"/>
                <w:szCs w:val="18"/>
              </w:rPr>
              <w:t>6,823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8F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00"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901" w14:textId="77777777" w:rsidR="00996AD7" w:rsidRDefault="00D96458">
            <w:pPr>
              <w:jc w:val="right"/>
              <w:textAlignment w:val="bottom"/>
            </w:pPr>
            <w:r>
              <w:rPr>
                <w:rFonts w:ascii="Arial" w:eastAsia="宋体" w:hAnsi="Arial" w:cs="Arial"/>
                <w:b/>
                <w:bCs/>
                <w:color w:val="0068B5"/>
                <w:sz w:val="18"/>
                <w:szCs w:val="18"/>
              </w:rPr>
              <w:t>35.6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902" w14:textId="77777777" w:rsidR="00996AD7" w:rsidRDefault="00D964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903"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904" w14:textId="77777777" w:rsidR="00996AD7" w:rsidRDefault="00D96458">
            <w:pPr>
              <w:textAlignment w:val="bottom"/>
            </w:pPr>
            <w:r>
              <w:rPr>
                <w:rFonts w:ascii="Arial" w:eastAsia="宋体" w:hAnsi="Arial" w:cs="Arial"/>
                <w:b/>
                <w:bCs/>
                <w:color w:val="000000"/>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905" w14:textId="77777777" w:rsidR="00996AD7" w:rsidRDefault="00D96458">
            <w:pPr>
              <w:jc w:val="right"/>
              <w:textAlignment w:val="bottom"/>
            </w:pPr>
            <w:r>
              <w:rPr>
                <w:rFonts w:ascii="Arial" w:eastAsia="宋体" w:hAnsi="Arial" w:cs="Arial"/>
                <w:b/>
                <w:bCs/>
                <w:color w:val="000000"/>
                <w:sz w:val="18"/>
                <w:szCs w:val="18"/>
              </w:rPr>
              <w:t>4,276</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90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0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908" w14:textId="77777777" w:rsidR="00996AD7" w:rsidRDefault="00D96458">
            <w:pPr>
              <w:jc w:val="right"/>
              <w:textAlignment w:val="bottom"/>
            </w:pPr>
            <w:r>
              <w:rPr>
                <w:rFonts w:ascii="Arial" w:eastAsia="宋体" w:hAnsi="Arial" w:cs="Arial"/>
                <w:b/>
                <w:bCs/>
                <w:color w:val="000000"/>
                <w:sz w:val="18"/>
                <w:szCs w:val="18"/>
              </w:rPr>
              <w:t>23.3</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909" w14:textId="77777777" w:rsidR="00996AD7" w:rsidRDefault="00D9645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39D9990A"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90B"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90C" w14:textId="77777777" w:rsidR="00996AD7" w:rsidRDefault="00D96458">
            <w:pPr>
              <w:jc w:val="right"/>
              <w:textAlignment w:val="bottom"/>
            </w:pPr>
            <w:r>
              <w:rPr>
                <w:rFonts w:ascii="Arial" w:eastAsia="宋体" w:hAnsi="Arial" w:cs="Arial"/>
                <w:b/>
                <w:bCs/>
                <w:color w:val="0068B5"/>
                <w:sz w:val="18"/>
                <w:szCs w:val="18"/>
              </w:rPr>
              <w:t>15,245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90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0E"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90F" w14:textId="77777777" w:rsidR="00996AD7" w:rsidRDefault="00D96458">
            <w:pPr>
              <w:jc w:val="right"/>
              <w:textAlignment w:val="bottom"/>
            </w:pPr>
            <w:r>
              <w:rPr>
                <w:rFonts w:ascii="Arial" w:eastAsia="宋体" w:hAnsi="Arial" w:cs="Arial"/>
                <w:b/>
                <w:bCs/>
                <w:color w:val="0068B5"/>
                <w:sz w:val="18"/>
                <w:szCs w:val="18"/>
              </w:rPr>
              <w:t>26.1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910" w14:textId="77777777" w:rsidR="00996AD7" w:rsidRDefault="00D964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911"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912" w14:textId="77777777" w:rsidR="00996AD7" w:rsidRDefault="00D96458">
            <w:pPr>
              <w:textAlignment w:val="bottom"/>
            </w:pPr>
            <w:r>
              <w:rPr>
                <w:rFonts w:ascii="Arial" w:eastAsia="宋体" w:hAnsi="Arial" w:cs="Arial"/>
                <w:b/>
                <w:bCs/>
                <w:color w:val="000000"/>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913" w14:textId="77777777" w:rsidR="00996AD7" w:rsidRDefault="00D96458">
            <w:pPr>
              <w:jc w:val="right"/>
              <w:textAlignment w:val="bottom"/>
            </w:pPr>
            <w:r>
              <w:rPr>
                <w:rFonts w:ascii="Arial" w:eastAsia="宋体" w:hAnsi="Arial" w:cs="Arial"/>
                <w:b/>
                <w:bCs/>
                <w:color w:val="000000"/>
                <w:sz w:val="18"/>
                <w:szCs w:val="18"/>
              </w:rPr>
              <w:t>15,042</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91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15"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916" w14:textId="77777777" w:rsidR="00996AD7" w:rsidRDefault="00D96458">
            <w:pPr>
              <w:jc w:val="right"/>
              <w:textAlignment w:val="bottom"/>
            </w:pPr>
            <w:r>
              <w:rPr>
                <w:rFonts w:ascii="Arial" w:eastAsia="宋体" w:hAnsi="Arial" w:cs="Arial"/>
                <w:b/>
                <w:bCs/>
                <w:color w:val="000000"/>
                <w:sz w:val="18"/>
                <w:szCs w:val="18"/>
              </w:rPr>
              <w:t>26.0</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917" w14:textId="77777777" w:rsidR="00996AD7" w:rsidRDefault="00D96458">
            <w:pPr>
              <w:jc w:val="right"/>
              <w:textAlignment w:val="bottom"/>
            </w:pPr>
            <w:r>
              <w:rPr>
                <w:rFonts w:ascii="Arial" w:eastAsia="宋体" w:hAnsi="Arial" w:cs="Arial"/>
                <w:b/>
                <w:bCs/>
                <w:color w:val="000000"/>
                <w:sz w:val="18"/>
                <w:szCs w:val="18"/>
              </w:rPr>
              <w:t>%</w:t>
            </w:r>
          </w:p>
        </w:tc>
      </w:tr>
      <w:tr w:rsidR="00996AD7" w14:paraId="39D9992A" w14:textId="77777777">
        <w:trPr>
          <w:hidden/>
        </w:trPr>
        <w:tc>
          <w:tcPr>
            <w:tcW w:w="0" w:type="auto"/>
            <w:gridSpan w:val="3"/>
            <w:shd w:val="clear" w:color="auto" w:fill="auto"/>
            <w:vAlign w:val="bottom"/>
          </w:tcPr>
          <w:p w14:paraId="39D99919" w14:textId="77777777" w:rsidR="00996AD7" w:rsidRDefault="00996AD7">
            <w:pPr>
              <w:rPr>
                <w:rFonts w:ascii="宋体"/>
                <w:vanish/>
              </w:rPr>
            </w:pPr>
          </w:p>
        </w:tc>
        <w:tc>
          <w:tcPr>
            <w:tcW w:w="0" w:type="auto"/>
            <w:gridSpan w:val="3"/>
            <w:shd w:val="clear" w:color="auto" w:fill="auto"/>
            <w:vAlign w:val="bottom"/>
          </w:tcPr>
          <w:p w14:paraId="39D9991A" w14:textId="77777777" w:rsidR="00996AD7" w:rsidRDefault="00996AD7">
            <w:pPr>
              <w:rPr>
                <w:rFonts w:ascii="宋体"/>
                <w:vanish/>
              </w:rPr>
            </w:pPr>
          </w:p>
        </w:tc>
        <w:tc>
          <w:tcPr>
            <w:tcW w:w="0" w:type="auto"/>
            <w:gridSpan w:val="3"/>
            <w:shd w:val="clear" w:color="auto" w:fill="auto"/>
            <w:vAlign w:val="bottom"/>
          </w:tcPr>
          <w:p w14:paraId="39D9991B" w14:textId="77777777" w:rsidR="00996AD7" w:rsidRDefault="00996AD7">
            <w:pPr>
              <w:rPr>
                <w:rFonts w:ascii="宋体"/>
                <w:vanish/>
              </w:rPr>
            </w:pPr>
          </w:p>
        </w:tc>
        <w:tc>
          <w:tcPr>
            <w:tcW w:w="0" w:type="auto"/>
            <w:gridSpan w:val="3"/>
            <w:shd w:val="clear" w:color="auto" w:fill="auto"/>
            <w:vAlign w:val="bottom"/>
          </w:tcPr>
          <w:p w14:paraId="39D9991C" w14:textId="77777777" w:rsidR="00996AD7" w:rsidRDefault="00996AD7">
            <w:pPr>
              <w:rPr>
                <w:rFonts w:ascii="宋体"/>
                <w:vanish/>
              </w:rPr>
            </w:pPr>
          </w:p>
        </w:tc>
        <w:tc>
          <w:tcPr>
            <w:tcW w:w="0" w:type="auto"/>
            <w:gridSpan w:val="3"/>
            <w:shd w:val="clear" w:color="auto" w:fill="auto"/>
            <w:vAlign w:val="bottom"/>
          </w:tcPr>
          <w:p w14:paraId="39D9991D" w14:textId="77777777" w:rsidR="00996AD7" w:rsidRDefault="00996AD7">
            <w:pPr>
              <w:rPr>
                <w:rFonts w:ascii="宋体"/>
                <w:vanish/>
              </w:rPr>
            </w:pPr>
          </w:p>
        </w:tc>
        <w:tc>
          <w:tcPr>
            <w:tcW w:w="0" w:type="auto"/>
            <w:gridSpan w:val="3"/>
            <w:shd w:val="clear" w:color="auto" w:fill="auto"/>
            <w:vAlign w:val="bottom"/>
          </w:tcPr>
          <w:p w14:paraId="39D9991E" w14:textId="77777777" w:rsidR="00996AD7" w:rsidRDefault="00996AD7">
            <w:pPr>
              <w:rPr>
                <w:rFonts w:ascii="宋体"/>
                <w:vanish/>
              </w:rPr>
            </w:pPr>
          </w:p>
        </w:tc>
        <w:tc>
          <w:tcPr>
            <w:tcW w:w="0" w:type="auto"/>
            <w:gridSpan w:val="3"/>
            <w:shd w:val="clear" w:color="auto" w:fill="auto"/>
            <w:vAlign w:val="bottom"/>
          </w:tcPr>
          <w:p w14:paraId="39D9991F" w14:textId="77777777" w:rsidR="00996AD7" w:rsidRDefault="00996AD7">
            <w:pPr>
              <w:rPr>
                <w:rFonts w:ascii="宋体"/>
                <w:vanish/>
              </w:rPr>
            </w:pPr>
          </w:p>
        </w:tc>
        <w:tc>
          <w:tcPr>
            <w:tcW w:w="0" w:type="auto"/>
            <w:gridSpan w:val="3"/>
            <w:shd w:val="clear" w:color="auto" w:fill="auto"/>
            <w:vAlign w:val="bottom"/>
          </w:tcPr>
          <w:p w14:paraId="39D99920" w14:textId="77777777" w:rsidR="00996AD7" w:rsidRDefault="00996AD7">
            <w:pPr>
              <w:rPr>
                <w:rFonts w:ascii="宋体"/>
                <w:vanish/>
              </w:rPr>
            </w:pPr>
          </w:p>
        </w:tc>
        <w:tc>
          <w:tcPr>
            <w:tcW w:w="0" w:type="auto"/>
            <w:gridSpan w:val="3"/>
            <w:shd w:val="clear" w:color="auto" w:fill="auto"/>
            <w:vAlign w:val="bottom"/>
          </w:tcPr>
          <w:p w14:paraId="39D99921" w14:textId="77777777" w:rsidR="00996AD7" w:rsidRDefault="00996AD7">
            <w:pPr>
              <w:rPr>
                <w:rFonts w:ascii="宋体"/>
                <w:vanish/>
              </w:rPr>
            </w:pPr>
          </w:p>
        </w:tc>
        <w:tc>
          <w:tcPr>
            <w:tcW w:w="0" w:type="auto"/>
            <w:gridSpan w:val="3"/>
            <w:shd w:val="clear" w:color="auto" w:fill="auto"/>
            <w:vAlign w:val="bottom"/>
          </w:tcPr>
          <w:p w14:paraId="39D99922" w14:textId="77777777" w:rsidR="00996AD7" w:rsidRDefault="00996AD7">
            <w:pPr>
              <w:rPr>
                <w:rFonts w:ascii="宋体"/>
                <w:vanish/>
              </w:rPr>
            </w:pPr>
          </w:p>
        </w:tc>
        <w:tc>
          <w:tcPr>
            <w:tcW w:w="0" w:type="auto"/>
            <w:gridSpan w:val="3"/>
            <w:shd w:val="clear" w:color="auto" w:fill="auto"/>
            <w:vAlign w:val="bottom"/>
          </w:tcPr>
          <w:p w14:paraId="39D99923" w14:textId="77777777" w:rsidR="00996AD7" w:rsidRDefault="00996AD7">
            <w:pPr>
              <w:rPr>
                <w:rFonts w:ascii="宋体"/>
                <w:vanish/>
              </w:rPr>
            </w:pPr>
          </w:p>
        </w:tc>
        <w:tc>
          <w:tcPr>
            <w:tcW w:w="0" w:type="auto"/>
            <w:gridSpan w:val="3"/>
            <w:shd w:val="clear" w:color="auto" w:fill="auto"/>
            <w:vAlign w:val="bottom"/>
          </w:tcPr>
          <w:p w14:paraId="39D99924" w14:textId="77777777" w:rsidR="00996AD7" w:rsidRDefault="00996AD7">
            <w:pPr>
              <w:rPr>
                <w:rFonts w:ascii="宋体"/>
                <w:vanish/>
              </w:rPr>
            </w:pPr>
          </w:p>
        </w:tc>
        <w:tc>
          <w:tcPr>
            <w:tcW w:w="0" w:type="auto"/>
            <w:gridSpan w:val="3"/>
            <w:shd w:val="clear" w:color="auto" w:fill="auto"/>
            <w:vAlign w:val="bottom"/>
          </w:tcPr>
          <w:p w14:paraId="39D99925" w14:textId="77777777" w:rsidR="00996AD7" w:rsidRDefault="00996AD7">
            <w:pPr>
              <w:rPr>
                <w:rFonts w:ascii="宋体"/>
                <w:vanish/>
              </w:rPr>
            </w:pPr>
          </w:p>
        </w:tc>
        <w:tc>
          <w:tcPr>
            <w:tcW w:w="0" w:type="auto"/>
            <w:gridSpan w:val="3"/>
            <w:shd w:val="clear" w:color="auto" w:fill="auto"/>
            <w:vAlign w:val="bottom"/>
          </w:tcPr>
          <w:p w14:paraId="39D99926" w14:textId="77777777" w:rsidR="00996AD7" w:rsidRDefault="00996AD7">
            <w:pPr>
              <w:rPr>
                <w:rFonts w:ascii="宋体"/>
                <w:vanish/>
              </w:rPr>
            </w:pPr>
          </w:p>
        </w:tc>
        <w:tc>
          <w:tcPr>
            <w:tcW w:w="0" w:type="auto"/>
            <w:gridSpan w:val="3"/>
            <w:shd w:val="clear" w:color="auto" w:fill="auto"/>
            <w:vAlign w:val="bottom"/>
          </w:tcPr>
          <w:p w14:paraId="39D99927" w14:textId="77777777" w:rsidR="00996AD7" w:rsidRDefault="00996AD7">
            <w:pPr>
              <w:rPr>
                <w:rFonts w:ascii="宋体"/>
                <w:vanish/>
              </w:rPr>
            </w:pPr>
          </w:p>
        </w:tc>
        <w:tc>
          <w:tcPr>
            <w:tcW w:w="0" w:type="auto"/>
            <w:gridSpan w:val="3"/>
            <w:shd w:val="clear" w:color="auto" w:fill="auto"/>
            <w:vAlign w:val="bottom"/>
          </w:tcPr>
          <w:p w14:paraId="39D99928" w14:textId="77777777" w:rsidR="00996AD7" w:rsidRDefault="00996AD7">
            <w:pPr>
              <w:rPr>
                <w:rFonts w:ascii="宋体"/>
                <w:vanish/>
              </w:rPr>
            </w:pPr>
          </w:p>
        </w:tc>
        <w:tc>
          <w:tcPr>
            <w:tcW w:w="0" w:type="auto"/>
            <w:gridSpan w:val="3"/>
            <w:shd w:val="clear" w:color="auto" w:fill="auto"/>
            <w:vAlign w:val="bottom"/>
          </w:tcPr>
          <w:p w14:paraId="39D99929" w14:textId="77777777" w:rsidR="00996AD7" w:rsidRDefault="00996AD7">
            <w:pPr>
              <w:rPr>
                <w:rFonts w:ascii="宋体"/>
                <w:vanish/>
              </w:rPr>
            </w:pPr>
          </w:p>
        </w:tc>
      </w:tr>
      <w:tr w:rsidR="00996AD7" w14:paraId="39D99944" w14:textId="77777777">
        <w:tc>
          <w:tcPr>
            <w:tcW w:w="0" w:type="auto"/>
            <w:gridSpan w:val="3"/>
            <w:shd w:val="clear" w:color="auto" w:fill="auto"/>
            <w:tcMar>
              <w:top w:w="40" w:type="dxa"/>
              <w:left w:w="20" w:type="dxa"/>
              <w:bottom w:w="40" w:type="dxa"/>
              <w:right w:w="20" w:type="dxa"/>
            </w:tcMar>
          </w:tcPr>
          <w:p w14:paraId="39D9992B" w14:textId="77777777" w:rsidR="00996AD7" w:rsidRDefault="00D96458">
            <w:pPr>
              <w:textAlignment w:val="top"/>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39D9992C" w14:textId="77777777" w:rsidR="00996AD7" w:rsidRDefault="00996AD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39D9992D" w14:textId="77777777" w:rsidR="00996AD7" w:rsidRDefault="00D96458">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39D9992E" w14:textId="77777777" w:rsidR="00996AD7" w:rsidRDefault="00D96458">
            <w:pPr>
              <w:jc w:val="right"/>
              <w:textAlignment w:val="bottom"/>
            </w:pPr>
            <w:r>
              <w:rPr>
                <w:rFonts w:ascii="Arial" w:eastAsia="宋体" w:hAnsi="Arial" w:cs="Arial"/>
                <w:b/>
                <w:bCs/>
                <w:color w:val="0068B5"/>
                <w:sz w:val="18"/>
                <w:szCs w:val="18"/>
              </w:rPr>
              <w:t>1.67</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39D9992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30"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993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932" w14:textId="77777777" w:rsidR="00996AD7" w:rsidRDefault="00996AD7">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39D99933" w14:textId="77777777" w:rsidR="00996AD7" w:rsidRDefault="00D96458">
            <w:pPr>
              <w:textAlignment w:val="bottom"/>
            </w:pPr>
            <w:r>
              <w:rPr>
                <w:rFonts w:ascii="Arial" w:eastAsia="宋体" w:hAnsi="Arial" w:cs="Arial"/>
                <w:b/>
                <w:bCs/>
                <w:color w:val="000000"/>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39D99934" w14:textId="77777777" w:rsidR="00996AD7" w:rsidRDefault="00D96458">
            <w:pPr>
              <w:jc w:val="right"/>
              <w:textAlignment w:val="bottom"/>
            </w:pPr>
            <w:r>
              <w:rPr>
                <w:rFonts w:ascii="Arial" w:eastAsia="宋体" w:hAnsi="Arial" w:cs="Arial"/>
                <w:b/>
                <w:bCs/>
                <w:color w:val="000000"/>
                <w:sz w:val="18"/>
                <w:szCs w:val="18"/>
              </w:rPr>
              <w:t>1.02</w:t>
            </w:r>
            <w:r>
              <w:rPr>
                <w:rFonts w:ascii="Arial" w:eastAsia="宋体" w:hAnsi="Arial" w:cs="Arial"/>
                <w:color w:val="000000"/>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39D9993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36"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993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938" w14:textId="77777777" w:rsidR="00996AD7" w:rsidRDefault="00996AD7">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39D99939" w14:textId="77777777" w:rsidR="00996AD7" w:rsidRDefault="00D96458">
            <w:pPr>
              <w:textAlignment w:val="bottom"/>
            </w:pPr>
            <w:r>
              <w:rPr>
                <w:rFonts w:ascii="Arial" w:eastAsia="宋体" w:hAnsi="Arial" w:cs="Arial"/>
                <w:b/>
                <w:bCs/>
                <w:color w:val="0068B5"/>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39D9993A" w14:textId="77777777" w:rsidR="00996AD7" w:rsidRDefault="00D96458">
            <w:pPr>
              <w:jc w:val="right"/>
              <w:textAlignment w:val="bottom"/>
            </w:pPr>
            <w:r>
              <w:rPr>
                <w:rFonts w:ascii="Arial" w:eastAsia="宋体" w:hAnsi="Arial" w:cs="Arial"/>
                <w:b/>
                <w:bCs/>
                <w:color w:val="0068B5"/>
                <w:sz w:val="18"/>
                <w:szCs w:val="18"/>
              </w:rPr>
              <w:t>3.73</w:t>
            </w:r>
            <w:r>
              <w:rPr>
                <w:rFonts w:ascii="Arial" w:eastAsia="宋体" w:hAnsi="Arial" w:cs="Arial"/>
                <w:color w:val="0068B5"/>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39D9993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3C"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993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93E" w14:textId="77777777" w:rsidR="00996AD7" w:rsidRDefault="00996AD7">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39D9993F" w14:textId="77777777" w:rsidR="00996AD7" w:rsidRDefault="00D96458">
            <w:pPr>
              <w:textAlignment w:val="bottom"/>
            </w:pPr>
            <w:r>
              <w:rPr>
                <w:rFonts w:ascii="Arial" w:eastAsia="宋体" w:hAnsi="Arial" w:cs="Arial"/>
                <w:b/>
                <w:bCs/>
                <w:color w:val="000000"/>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39D99940" w14:textId="77777777" w:rsidR="00996AD7" w:rsidRDefault="00D96458">
            <w:pPr>
              <w:jc w:val="right"/>
              <w:textAlignment w:val="bottom"/>
            </w:pPr>
            <w:r>
              <w:rPr>
                <w:rFonts w:ascii="Arial" w:eastAsia="宋体" w:hAnsi="Arial" w:cs="Arial"/>
                <w:b/>
                <w:bCs/>
                <w:color w:val="000000"/>
                <w:sz w:val="18"/>
                <w:szCs w:val="18"/>
              </w:rPr>
              <w:t>3.52</w:t>
            </w:r>
            <w:r>
              <w:rPr>
                <w:rFonts w:ascii="Arial" w:eastAsia="宋体" w:hAnsi="Arial" w:cs="Arial"/>
                <w:color w:val="000000"/>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39D9994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42"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9943" w14:textId="77777777" w:rsidR="00996AD7" w:rsidRDefault="00996AD7">
            <w:pPr>
              <w:rPr>
                <w:rFonts w:ascii="宋体"/>
              </w:rPr>
            </w:pPr>
          </w:p>
        </w:tc>
      </w:tr>
    </w:tbl>
    <w:p w14:paraId="39D99945" w14:textId="77777777" w:rsidR="00996AD7" w:rsidRDefault="00996AD7">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996AD7" w14:paraId="39D9994F" w14:textId="77777777">
        <w:tc>
          <w:tcPr>
            <w:tcW w:w="50" w:type="pct"/>
            <w:shd w:val="clear" w:color="auto" w:fill="auto"/>
            <w:vAlign w:val="bottom"/>
          </w:tcPr>
          <w:p w14:paraId="39D99946" w14:textId="77777777" w:rsidR="00996AD7" w:rsidRDefault="00996AD7">
            <w:pPr>
              <w:rPr>
                <w:rFonts w:ascii="宋体"/>
              </w:rPr>
            </w:pPr>
          </w:p>
        </w:tc>
        <w:tc>
          <w:tcPr>
            <w:tcW w:w="212" w:type="pct"/>
            <w:shd w:val="clear" w:color="auto" w:fill="auto"/>
            <w:vAlign w:val="bottom"/>
          </w:tcPr>
          <w:p w14:paraId="39D99947" w14:textId="77777777" w:rsidR="00996AD7" w:rsidRDefault="00996AD7">
            <w:pPr>
              <w:rPr>
                <w:rFonts w:ascii="宋体"/>
              </w:rPr>
            </w:pPr>
          </w:p>
        </w:tc>
        <w:tc>
          <w:tcPr>
            <w:tcW w:w="5" w:type="pct"/>
            <w:shd w:val="clear" w:color="auto" w:fill="auto"/>
            <w:vAlign w:val="bottom"/>
          </w:tcPr>
          <w:p w14:paraId="39D99948" w14:textId="77777777" w:rsidR="00996AD7" w:rsidRDefault="00996AD7">
            <w:pPr>
              <w:rPr>
                <w:rFonts w:ascii="宋体"/>
              </w:rPr>
            </w:pPr>
          </w:p>
        </w:tc>
        <w:tc>
          <w:tcPr>
            <w:tcW w:w="50" w:type="pct"/>
            <w:shd w:val="clear" w:color="auto" w:fill="auto"/>
            <w:vAlign w:val="bottom"/>
          </w:tcPr>
          <w:p w14:paraId="39D99949" w14:textId="77777777" w:rsidR="00996AD7" w:rsidRDefault="00996AD7">
            <w:pPr>
              <w:rPr>
                <w:rFonts w:ascii="宋体"/>
              </w:rPr>
            </w:pPr>
          </w:p>
        </w:tc>
        <w:tc>
          <w:tcPr>
            <w:tcW w:w="2499" w:type="pct"/>
            <w:shd w:val="clear" w:color="auto" w:fill="auto"/>
            <w:vAlign w:val="bottom"/>
          </w:tcPr>
          <w:p w14:paraId="39D9994A" w14:textId="77777777" w:rsidR="00996AD7" w:rsidRDefault="00996AD7">
            <w:pPr>
              <w:rPr>
                <w:rFonts w:ascii="宋体"/>
              </w:rPr>
            </w:pPr>
          </w:p>
        </w:tc>
        <w:tc>
          <w:tcPr>
            <w:tcW w:w="5" w:type="pct"/>
            <w:shd w:val="clear" w:color="auto" w:fill="auto"/>
            <w:vAlign w:val="bottom"/>
          </w:tcPr>
          <w:p w14:paraId="39D9994B" w14:textId="77777777" w:rsidR="00996AD7" w:rsidRDefault="00996AD7">
            <w:pPr>
              <w:rPr>
                <w:rFonts w:ascii="宋体"/>
              </w:rPr>
            </w:pPr>
          </w:p>
        </w:tc>
        <w:tc>
          <w:tcPr>
            <w:tcW w:w="50" w:type="pct"/>
            <w:shd w:val="clear" w:color="auto" w:fill="auto"/>
            <w:vAlign w:val="bottom"/>
          </w:tcPr>
          <w:p w14:paraId="39D9994C" w14:textId="77777777" w:rsidR="00996AD7" w:rsidRDefault="00996AD7">
            <w:pPr>
              <w:rPr>
                <w:rFonts w:ascii="宋体"/>
              </w:rPr>
            </w:pPr>
          </w:p>
        </w:tc>
        <w:tc>
          <w:tcPr>
            <w:tcW w:w="2122" w:type="pct"/>
            <w:shd w:val="clear" w:color="auto" w:fill="auto"/>
            <w:vAlign w:val="bottom"/>
          </w:tcPr>
          <w:p w14:paraId="39D9994D" w14:textId="77777777" w:rsidR="00996AD7" w:rsidRDefault="00996AD7">
            <w:pPr>
              <w:rPr>
                <w:rFonts w:ascii="宋体"/>
              </w:rPr>
            </w:pPr>
          </w:p>
        </w:tc>
        <w:tc>
          <w:tcPr>
            <w:tcW w:w="5" w:type="pct"/>
            <w:shd w:val="clear" w:color="auto" w:fill="auto"/>
            <w:vAlign w:val="bottom"/>
          </w:tcPr>
          <w:p w14:paraId="39D9994E" w14:textId="77777777" w:rsidR="00996AD7" w:rsidRDefault="00996AD7">
            <w:pPr>
              <w:rPr>
                <w:rFonts w:ascii="宋体"/>
              </w:rPr>
            </w:pPr>
          </w:p>
        </w:tc>
      </w:tr>
      <w:tr w:rsidR="00996AD7" w14:paraId="39D9995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950"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07" wp14:editId="39D9A408">
                  <wp:extent cx="304800" cy="304800"/>
                  <wp:effectExtent l="0" t="0" r="0" b="0"/>
                  <wp:docPr id="47" name="图片 113"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3"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951"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952" w14:textId="77777777" w:rsidR="00996AD7" w:rsidRDefault="00D96458">
            <w:pPr>
              <w:jc w:val="right"/>
              <w:textAlignment w:val="center"/>
            </w:pPr>
            <w:r>
              <w:rPr>
                <w:rFonts w:ascii="Arial" w:eastAsia="宋体" w:hAnsi="Arial" w:cs="Arial"/>
                <w:color w:val="262626"/>
                <w:sz w:val="16"/>
                <w:szCs w:val="16"/>
              </w:rPr>
              <w:t>32</w:t>
            </w:r>
          </w:p>
        </w:tc>
      </w:tr>
    </w:tbl>
    <w:p w14:paraId="39D99954" w14:textId="77777777" w:rsidR="00996AD7" w:rsidRDefault="00D96458">
      <w:r>
        <w:pict w14:anchorId="39D9A409">
          <v:rect id="_x0000_i1058" style="width:415.3pt;height:1.5pt" o:hralign="center" o:hrstd="t" o:hr="t" fillcolor="#a0a0a0" stroked="f"/>
        </w:pict>
      </w:r>
    </w:p>
    <w:p w14:paraId="39D99955" w14:textId="77777777" w:rsidR="00996AD7" w:rsidRDefault="00D96458">
      <w:pPr>
        <w:spacing w:after="180"/>
        <w:jc w:val="right"/>
      </w:pPr>
      <w:hyperlink r:id="rId59" w:anchor="i94e6cc3aa83643b8b968bd5bab038338_7" w:history="1">
        <w:r>
          <w:rPr>
            <w:rStyle w:val="a5"/>
            <w:rFonts w:ascii="Arial" w:eastAsia="宋体" w:hAnsi="Arial" w:cs="Arial"/>
            <w:b/>
            <w:bCs/>
            <w:color w:val="0068B5"/>
            <w:sz w:val="16"/>
            <w:szCs w:val="16"/>
          </w:rPr>
          <w:t>Table of Contents</w:t>
        </w:r>
      </w:hyperlink>
    </w:p>
    <w:p w14:paraId="39D99956" w14:textId="77777777" w:rsidR="00996AD7" w:rsidRDefault="00996AD7">
      <w:pPr>
        <w:spacing w:after="180"/>
        <w:jc w:val="right"/>
      </w:pPr>
    </w:p>
    <w:p w14:paraId="39D99957" w14:textId="77777777" w:rsidR="00996AD7" w:rsidRDefault="00D96458">
      <w:pPr>
        <w:spacing w:after="180"/>
      </w:pPr>
      <w:r>
        <w:rPr>
          <w:rFonts w:ascii="Arial" w:eastAsia="宋体" w:hAnsi="Arial" w:cs="Arial"/>
          <w:color w:val="0068B5"/>
          <w:sz w:val="28"/>
          <w:szCs w:val="28"/>
        </w:rPr>
        <w:t>Revenue</w:t>
      </w:r>
    </w:p>
    <w:tbl>
      <w:tblPr>
        <w:tblW w:w="5000" w:type="pct"/>
        <w:tblCellMar>
          <w:top w:w="15" w:type="dxa"/>
          <w:left w:w="15" w:type="dxa"/>
          <w:bottom w:w="15" w:type="dxa"/>
          <w:right w:w="15" w:type="dxa"/>
        </w:tblCellMar>
        <w:tblLook w:val="04A0" w:firstRow="1" w:lastRow="0" w:firstColumn="1" w:lastColumn="0" w:noHBand="0" w:noVBand="1"/>
      </w:tblPr>
      <w:tblGrid>
        <w:gridCol w:w="36"/>
        <w:gridCol w:w="49"/>
        <w:gridCol w:w="36"/>
        <w:gridCol w:w="60"/>
        <w:gridCol w:w="3939"/>
        <w:gridCol w:w="37"/>
        <w:gridCol w:w="60"/>
        <w:gridCol w:w="3939"/>
        <w:gridCol w:w="36"/>
        <w:gridCol w:w="36"/>
        <w:gridCol w:w="36"/>
        <w:gridCol w:w="36"/>
        <w:gridCol w:w="36"/>
      </w:tblGrid>
      <w:tr w:rsidR="00996AD7" w14:paraId="39D99963" w14:textId="77777777">
        <w:tc>
          <w:tcPr>
            <w:tcW w:w="5" w:type="pct"/>
            <w:shd w:val="clear" w:color="auto" w:fill="auto"/>
            <w:vAlign w:val="bottom"/>
          </w:tcPr>
          <w:p w14:paraId="39D99958" w14:textId="77777777" w:rsidR="00996AD7" w:rsidRDefault="00996AD7">
            <w:pPr>
              <w:rPr>
                <w:rFonts w:ascii="宋体"/>
              </w:rPr>
            </w:pPr>
          </w:p>
        </w:tc>
        <w:tc>
          <w:tcPr>
            <w:tcW w:w="44" w:type="pct"/>
            <w:shd w:val="clear" w:color="auto" w:fill="auto"/>
            <w:vAlign w:val="bottom"/>
          </w:tcPr>
          <w:p w14:paraId="39D99959" w14:textId="77777777" w:rsidR="00996AD7" w:rsidRDefault="00996AD7">
            <w:pPr>
              <w:rPr>
                <w:rFonts w:ascii="宋体"/>
              </w:rPr>
            </w:pPr>
          </w:p>
        </w:tc>
        <w:tc>
          <w:tcPr>
            <w:tcW w:w="5" w:type="pct"/>
            <w:shd w:val="clear" w:color="auto" w:fill="auto"/>
            <w:vAlign w:val="bottom"/>
          </w:tcPr>
          <w:p w14:paraId="39D9995A" w14:textId="77777777" w:rsidR="00996AD7" w:rsidRDefault="00996AD7">
            <w:pPr>
              <w:rPr>
                <w:rFonts w:ascii="宋体"/>
              </w:rPr>
            </w:pPr>
          </w:p>
        </w:tc>
        <w:tc>
          <w:tcPr>
            <w:tcW w:w="50" w:type="pct"/>
            <w:shd w:val="clear" w:color="auto" w:fill="auto"/>
            <w:vAlign w:val="bottom"/>
          </w:tcPr>
          <w:p w14:paraId="39D9995B" w14:textId="77777777" w:rsidR="00996AD7" w:rsidRDefault="00996AD7">
            <w:pPr>
              <w:rPr>
                <w:rFonts w:ascii="宋体"/>
              </w:rPr>
            </w:pPr>
          </w:p>
        </w:tc>
        <w:tc>
          <w:tcPr>
            <w:tcW w:w="2417" w:type="pct"/>
            <w:shd w:val="clear" w:color="auto" w:fill="auto"/>
            <w:vAlign w:val="bottom"/>
          </w:tcPr>
          <w:p w14:paraId="39D9995C" w14:textId="77777777" w:rsidR="00996AD7" w:rsidRDefault="00996AD7">
            <w:pPr>
              <w:rPr>
                <w:rFonts w:ascii="宋体"/>
              </w:rPr>
            </w:pPr>
          </w:p>
        </w:tc>
        <w:tc>
          <w:tcPr>
            <w:tcW w:w="5" w:type="pct"/>
            <w:shd w:val="clear" w:color="auto" w:fill="auto"/>
            <w:vAlign w:val="bottom"/>
          </w:tcPr>
          <w:p w14:paraId="39D9995D" w14:textId="77777777" w:rsidR="00996AD7" w:rsidRDefault="00996AD7">
            <w:pPr>
              <w:rPr>
                <w:rFonts w:ascii="宋体"/>
              </w:rPr>
            </w:pPr>
          </w:p>
        </w:tc>
        <w:tc>
          <w:tcPr>
            <w:tcW w:w="50" w:type="pct"/>
            <w:shd w:val="clear" w:color="auto" w:fill="auto"/>
            <w:vAlign w:val="bottom"/>
          </w:tcPr>
          <w:p w14:paraId="39D9995E" w14:textId="77777777" w:rsidR="00996AD7" w:rsidRDefault="00996AD7">
            <w:pPr>
              <w:rPr>
                <w:rFonts w:ascii="宋体"/>
              </w:rPr>
            </w:pPr>
          </w:p>
        </w:tc>
        <w:tc>
          <w:tcPr>
            <w:tcW w:w="2417" w:type="pct"/>
            <w:shd w:val="clear" w:color="auto" w:fill="auto"/>
            <w:vAlign w:val="bottom"/>
          </w:tcPr>
          <w:p w14:paraId="39D9995F" w14:textId="77777777" w:rsidR="00996AD7" w:rsidRDefault="00996AD7">
            <w:pPr>
              <w:rPr>
                <w:rFonts w:ascii="宋体"/>
              </w:rPr>
            </w:pPr>
          </w:p>
        </w:tc>
        <w:tc>
          <w:tcPr>
            <w:tcW w:w="5" w:type="pct"/>
            <w:shd w:val="clear" w:color="auto" w:fill="auto"/>
            <w:vAlign w:val="bottom"/>
          </w:tcPr>
          <w:p w14:paraId="39D99960" w14:textId="77777777" w:rsidR="00996AD7" w:rsidRDefault="00996AD7">
            <w:pPr>
              <w:rPr>
                <w:rFonts w:ascii="宋体"/>
              </w:rPr>
            </w:pPr>
          </w:p>
        </w:tc>
        <w:tc>
          <w:tcPr>
            <w:tcW w:w="0" w:type="auto"/>
            <w:shd w:val="clear" w:color="auto" w:fill="auto"/>
            <w:vAlign w:val="bottom"/>
          </w:tcPr>
          <w:p w14:paraId="39D99961" w14:textId="77777777" w:rsidR="00996AD7" w:rsidRDefault="00996AD7">
            <w:pPr>
              <w:rPr>
                <w:rFonts w:ascii="宋体"/>
                <w:vanish/>
              </w:rPr>
            </w:pPr>
          </w:p>
        </w:tc>
        <w:tc>
          <w:tcPr>
            <w:tcW w:w="0" w:type="auto"/>
            <w:gridSpan w:val="3"/>
            <w:shd w:val="clear" w:color="auto" w:fill="auto"/>
            <w:vAlign w:val="bottom"/>
          </w:tcPr>
          <w:p w14:paraId="39D99962" w14:textId="77777777" w:rsidR="00996AD7" w:rsidRDefault="00996AD7">
            <w:pPr>
              <w:rPr>
                <w:rFonts w:ascii="宋体"/>
                <w:vanish/>
              </w:rPr>
            </w:pPr>
          </w:p>
        </w:tc>
      </w:tr>
      <w:tr w:rsidR="00996AD7" w14:paraId="39D9996A" w14:textId="77777777">
        <w:tc>
          <w:tcPr>
            <w:tcW w:w="0" w:type="auto"/>
            <w:gridSpan w:val="3"/>
            <w:tcBorders>
              <w:bottom w:val="single" w:sz="4" w:space="0" w:color="333333"/>
            </w:tcBorders>
            <w:shd w:val="clear" w:color="auto" w:fill="auto"/>
            <w:tcMar>
              <w:top w:w="0" w:type="dxa"/>
              <w:left w:w="20" w:type="dxa"/>
              <w:bottom w:w="0" w:type="dxa"/>
              <w:right w:w="20" w:type="dxa"/>
            </w:tcMar>
            <w:vAlign w:val="bottom"/>
          </w:tcPr>
          <w:p w14:paraId="39D99964" w14:textId="77777777" w:rsidR="00996AD7" w:rsidRDefault="00996AD7">
            <w:pPr>
              <w:rPr>
                <w:rFonts w:ascii="宋体"/>
              </w:rPr>
            </w:pPr>
          </w:p>
        </w:tc>
        <w:tc>
          <w:tcPr>
            <w:tcW w:w="0" w:type="auto"/>
            <w:gridSpan w:val="6"/>
            <w:tcBorders>
              <w:bottom w:val="single" w:sz="4" w:space="0" w:color="262626"/>
            </w:tcBorders>
            <w:shd w:val="clear" w:color="auto" w:fill="auto"/>
            <w:tcMar>
              <w:top w:w="40" w:type="dxa"/>
              <w:left w:w="20" w:type="dxa"/>
              <w:bottom w:w="40" w:type="dxa"/>
              <w:right w:w="20" w:type="dxa"/>
            </w:tcMar>
            <w:vAlign w:val="center"/>
          </w:tcPr>
          <w:p w14:paraId="39D99965" w14:textId="77777777" w:rsidR="00996AD7" w:rsidRDefault="00D96458">
            <w:pPr>
              <w:jc w:val="center"/>
              <w:textAlignment w:val="center"/>
            </w:pPr>
            <w:r>
              <w:rPr>
                <w:rFonts w:ascii="Arial" w:eastAsia="宋体" w:hAnsi="Arial" w:cs="Arial"/>
                <w:color w:val="0068B5"/>
                <w:sz w:val="20"/>
                <w:szCs w:val="20"/>
              </w:rPr>
              <w:t>Segment Revenue Walk $B</w:t>
            </w:r>
          </w:p>
        </w:tc>
        <w:tc>
          <w:tcPr>
            <w:tcW w:w="0" w:type="auto"/>
            <w:shd w:val="clear" w:color="auto" w:fill="auto"/>
            <w:vAlign w:val="bottom"/>
          </w:tcPr>
          <w:p w14:paraId="39D99966" w14:textId="77777777" w:rsidR="00996AD7" w:rsidRDefault="00996AD7">
            <w:pPr>
              <w:rPr>
                <w:rFonts w:ascii="宋体"/>
                <w:vanish/>
              </w:rPr>
            </w:pPr>
          </w:p>
        </w:tc>
        <w:tc>
          <w:tcPr>
            <w:tcW w:w="0" w:type="auto"/>
            <w:shd w:val="clear" w:color="auto" w:fill="auto"/>
            <w:vAlign w:val="bottom"/>
          </w:tcPr>
          <w:p w14:paraId="39D99967" w14:textId="77777777" w:rsidR="00996AD7" w:rsidRDefault="00996AD7">
            <w:pPr>
              <w:rPr>
                <w:rFonts w:ascii="宋体"/>
              </w:rPr>
            </w:pPr>
          </w:p>
        </w:tc>
        <w:tc>
          <w:tcPr>
            <w:tcW w:w="0" w:type="auto"/>
            <w:shd w:val="clear" w:color="auto" w:fill="auto"/>
            <w:vAlign w:val="bottom"/>
          </w:tcPr>
          <w:p w14:paraId="39D99968" w14:textId="77777777" w:rsidR="00996AD7" w:rsidRDefault="00996AD7">
            <w:pPr>
              <w:rPr>
                <w:rFonts w:ascii="宋体"/>
              </w:rPr>
            </w:pPr>
          </w:p>
        </w:tc>
        <w:tc>
          <w:tcPr>
            <w:tcW w:w="0" w:type="auto"/>
            <w:shd w:val="clear" w:color="auto" w:fill="auto"/>
            <w:vAlign w:val="bottom"/>
          </w:tcPr>
          <w:p w14:paraId="39D99969" w14:textId="77777777" w:rsidR="00996AD7" w:rsidRDefault="00996AD7">
            <w:pPr>
              <w:rPr>
                <w:rFonts w:ascii="宋体"/>
              </w:rPr>
            </w:pPr>
          </w:p>
        </w:tc>
      </w:tr>
      <w:tr w:rsidR="00996AD7" w14:paraId="39D99970" w14:textId="77777777">
        <w:trPr>
          <w:hidden/>
        </w:trPr>
        <w:tc>
          <w:tcPr>
            <w:tcW w:w="0" w:type="auto"/>
            <w:gridSpan w:val="3"/>
            <w:shd w:val="clear" w:color="auto" w:fill="auto"/>
            <w:vAlign w:val="bottom"/>
          </w:tcPr>
          <w:p w14:paraId="39D9996B" w14:textId="77777777" w:rsidR="00996AD7" w:rsidRDefault="00996AD7">
            <w:pPr>
              <w:rPr>
                <w:rFonts w:ascii="宋体"/>
                <w:vanish/>
              </w:rPr>
            </w:pPr>
          </w:p>
        </w:tc>
        <w:tc>
          <w:tcPr>
            <w:tcW w:w="0" w:type="auto"/>
            <w:gridSpan w:val="3"/>
            <w:shd w:val="clear" w:color="auto" w:fill="auto"/>
            <w:vAlign w:val="bottom"/>
          </w:tcPr>
          <w:p w14:paraId="39D9996C" w14:textId="77777777" w:rsidR="00996AD7" w:rsidRDefault="00996AD7">
            <w:pPr>
              <w:rPr>
                <w:rFonts w:ascii="宋体"/>
                <w:vanish/>
              </w:rPr>
            </w:pPr>
          </w:p>
        </w:tc>
        <w:tc>
          <w:tcPr>
            <w:tcW w:w="0" w:type="auto"/>
            <w:gridSpan w:val="3"/>
            <w:shd w:val="clear" w:color="auto" w:fill="auto"/>
            <w:vAlign w:val="bottom"/>
          </w:tcPr>
          <w:p w14:paraId="39D9996D" w14:textId="77777777" w:rsidR="00996AD7" w:rsidRDefault="00996AD7">
            <w:pPr>
              <w:rPr>
                <w:rFonts w:ascii="宋体"/>
                <w:vanish/>
              </w:rPr>
            </w:pPr>
          </w:p>
        </w:tc>
        <w:tc>
          <w:tcPr>
            <w:tcW w:w="0" w:type="auto"/>
            <w:shd w:val="clear" w:color="auto" w:fill="auto"/>
            <w:vAlign w:val="bottom"/>
          </w:tcPr>
          <w:p w14:paraId="39D9996E" w14:textId="77777777" w:rsidR="00996AD7" w:rsidRDefault="00996AD7">
            <w:pPr>
              <w:rPr>
                <w:rFonts w:ascii="宋体"/>
                <w:vanish/>
              </w:rPr>
            </w:pPr>
          </w:p>
        </w:tc>
        <w:tc>
          <w:tcPr>
            <w:tcW w:w="0" w:type="auto"/>
            <w:gridSpan w:val="3"/>
            <w:shd w:val="clear" w:color="auto" w:fill="auto"/>
            <w:vAlign w:val="bottom"/>
          </w:tcPr>
          <w:p w14:paraId="39D9996F" w14:textId="77777777" w:rsidR="00996AD7" w:rsidRDefault="00996AD7">
            <w:pPr>
              <w:rPr>
                <w:rFonts w:ascii="宋体"/>
                <w:vanish/>
              </w:rPr>
            </w:pPr>
          </w:p>
        </w:tc>
      </w:tr>
    </w:tbl>
    <w:p w14:paraId="39D99971" w14:textId="77777777" w:rsidR="00996AD7" w:rsidRDefault="00D96458">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0A" wp14:editId="39D9A40B">
            <wp:extent cx="304800" cy="304800"/>
            <wp:effectExtent l="0" t="0" r="0" b="0"/>
            <wp:docPr id="51" name="图片 115"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5" descr="IMG_30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Viewer5_files/intc-20210</w:instrText>
      </w:r>
      <w:r>
        <w:rPr>
          <w:rFonts w:ascii="宋体" w:eastAsia="宋体" w:hAnsi="宋体" w:cs="宋体"/>
        </w:rPr>
        <w:instrText xml:space="preserve">925_g18.jpg"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0C" wp14:editId="39D9A40D">
            <wp:extent cx="304800" cy="304800"/>
            <wp:effectExtent l="0" t="0" r="0" b="0"/>
            <wp:docPr id="46" name="图片 116"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6" descr="IMG_30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9D99972" w14:textId="77777777" w:rsidR="00996AD7" w:rsidRDefault="00D96458">
      <w:pPr>
        <w:spacing w:after="120"/>
      </w:pPr>
      <w:r>
        <w:rPr>
          <w:rFonts w:ascii="Arial" w:eastAsia="宋体" w:hAnsi="Arial" w:cs="Arial"/>
          <w:color w:val="0068B5"/>
          <w:sz w:val="20"/>
          <w:szCs w:val="20"/>
        </w:rPr>
        <w:t xml:space="preserve">Q3 2021 vs. Q3 2020 </w:t>
      </w:r>
    </w:p>
    <w:p w14:paraId="39D99973" w14:textId="77777777" w:rsidR="00996AD7" w:rsidRDefault="00D96458">
      <w:pPr>
        <w:spacing w:after="180"/>
      </w:pPr>
      <w:r>
        <w:rPr>
          <w:rFonts w:ascii="Arial" w:eastAsia="宋体" w:hAnsi="Arial" w:cs="Arial"/>
          <w:color w:val="262626"/>
          <w:sz w:val="18"/>
          <w:szCs w:val="18"/>
        </w:rPr>
        <w:t>Our Q3 2021 revenue was $19.2 billion, up $859 million from Q3 2020. DCG revenue grew 10% on higher platform volume and higher platform ASPs, primarily due to recovery in the enterprise and governme</w:t>
      </w:r>
      <w:r>
        <w:rPr>
          <w:rFonts w:ascii="Arial" w:eastAsia="宋体" w:hAnsi="Arial" w:cs="Arial"/>
          <w:color w:val="262626"/>
          <w:sz w:val="18"/>
          <w:szCs w:val="18"/>
        </w:rPr>
        <w:t>nt market segment compared to COVID-driven lows, and stronger core mix, partially offset by lower revenue in the cloud service providers market segment compared to a COVID-driven Q3 2020. IOTG and Mobileye were both up primarily on higher demand amid recov</w:t>
      </w:r>
      <w:r>
        <w:rPr>
          <w:rFonts w:ascii="Arial" w:eastAsia="宋体" w:hAnsi="Arial" w:cs="Arial"/>
          <w:color w:val="262626"/>
          <w:sz w:val="18"/>
          <w:szCs w:val="18"/>
        </w:rPr>
        <w:t xml:space="preserve">ery from the economic impacts of COVID-19. CCG was down 2% due to lower notebook volume and adjacent revenue, partially offset by higher platform ASPs and increased desktop volume. Notebook volume declined in the consumer and education market segments due </w:t>
      </w:r>
      <w:r>
        <w:rPr>
          <w:rFonts w:ascii="Arial" w:eastAsia="宋体" w:hAnsi="Arial" w:cs="Arial"/>
          <w:color w:val="262626"/>
          <w:sz w:val="18"/>
          <w:szCs w:val="18"/>
        </w:rPr>
        <w:t xml:space="preserve">to industry-wide component shortages. Platform ASPs were higher in both notebook and desktop from a higher mix of large core products. Desktop demand strengthened due to consumer and commercial recovery from COVID-19 lows. NSG was down 4% primarily due to </w:t>
      </w:r>
      <w:r>
        <w:rPr>
          <w:rFonts w:ascii="Arial" w:eastAsia="宋体" w:hAnsi="Arial" w:cs="Arial"/>
          <w:color w:val="262626"/>
          <w:sz w:val="18"/>
          <w:szCs w:val="18"/>
        </w:rPr>
        <w:t xml:space="preserve">supply chain constraints, lower ASPs due to mix shift, and due to the transfer of the Intel Optane memory business to DCG, partially offset by higher volume. </w:t>
      </w:r>
    </w:p>
    <w:p w14:paraId="39D99974" w14:textId="77777777" w:rsidR="00996AD7" w:rsidRDefault="00D96458">
      <w:pPr>
        <w:spacing w:after="180"/>
      </w:pPr>
      <w:r>
        <w:rPr>
          <w:rFonts w:ascii="Arial" w:eastAsia="宋体" w:hAnsi="Arial" w:cs="Arial"/>
          <w:color w:val="262626"/>
          <w:sz w:val="18"/>
          <w:szCs w:val="18"/>
        </w:rPr>
        <w:t>We saw impacts from ongoing industry component and substrate shortages across a majority of our b</w:t>
      </w:r>
      <w:r>
        <w:rPr>
          <w:rFonts w:ascii="Arial" w:eastAsia="宋体" w:hAnsi="Arial" w:cs="Arial"/>
          <w:color w:val="262626"/>
          <w:sz w:val="18"/>
          <w:szCs w:val="18"/>
        </w:rPr>
        <w:t xml:space="preserve">usinesses and we expect these constraints to continue. </w:t>
      </w:r>
    </w:p>
    <w:p w14:paraId="39D99975" w14:textId="77777777" w:rsidR="00996AD7" w:rsidRDefault="00D96458">
      <w:pPr>
        <w:spacing w:after="120"/>
      </w:pPr>
      <w:r>
        <w:rPr>
          <w:rFonts w:ascii="Arial" w:eastAsia="宋体" w:hAnsi="Arial" w:cs="Arial"/>
          <w:color w:val="0068B5"/>
          <w:sz w:val="20"/>
          <w:szCs w:val="20"/>
        </w:rPr>
        <w:t>YTD 2021 vs. YTD 2020</w:t>
      </w:r>
    </w:p>
    <w:p w14:paraId="39D99976" w14:textId="77777777" w:rsidR="00996AD7" w:rsidRDefault="00D96458">
      <w:pPr>
        <w:spacing w:after="180"/>
      </w:pPr>
      <w:r>
        <w:rPr>
          <w:rFonts w:ascii="Arial" w:eastAsia="宋体" w:hAnsi="Arial" w:cs="Arial"/>
          <w:color w:val="262626"/>
          <w:sz w:val="18"/>
          <w:szCs w:val="18"/>
        </w:rPr>
        <w:t xml:space="preserve">Our YTD 2021 revenue was $58.5 billion, up $607 million or 1% from YTD 2020. CCG was up 4% due to continued strength in notebook demand and continued recovery in desktop demand, </w:t>
      </w:r>
      <w:r>
        <w:rPr>
          <w:rFonts w:ascii="Arial" w:eastAsia="宋体" w:hAnsi="Arial" w:cs="Arial"/>
          <w:color w:val="262626"/>
          <w:sz w:val="18"/>
          <w:szCs w:val="18"/>
        </w:rPr>
        <w:t>partially offset by lower notebook and desktop ASPs due to strength in the consumer and education market segments. IOTG and Mobileye were both up 32% and 62%, respectively, on higher demand amid recovery from the economic impacts of COVID-19. Our "all othe</w:t>
      </w:r>
      <w:r>
        <w:rPr>
          <w:rFonts w:ascii="Arial" w:eastAsia="宋体" w:hAnsi="Arial" w:cs="Arial"/>
          <w:color w:val="262626"/>
          <w:sz w:val="18"/>
          <w:szCs w:val="18"/>
        </w:rPr>
        <w:t>r" revenue increased primarily due to $584 million from a prepaid supply agreement settled in Q1 2021. DCG decreased 7% on lower ASPs in a competitive environment, product mix, and on lower platform volume compared to a strong, COVID-driven YTD 2020. NSG w</w:t>
      </w:r>
      <w:r>
        <w:rPr>
          <w:rFonts w:ascii="Arial" w:eastAsia="宋体" w:hAnsi="Arial" w:cs="Arial"/>
          <w:color w:val="262626"/>
          <w:sz w:val="18"/>
          <w:szCs w:val="18"/>
        </w:rPr>
        <w:t>as down 20% primarily due to lower ASPs, partially offset by higher volume.</w:t>
      </w:r>
    </w:p>
    <w:p w14:paraId="39D99977" w14:textId="77777777" w:rsidR="00996AD7" w:rsidRDefault="00996AD7">
      <w:pPr>
        <w:spacing w:after="180"/>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996AD7" w14:paraId="39D99981" w14:textId="77777777">
        <w:tc>
          <w:tcPr>
            <w:tcW w:w="50" w:type="pct"/>
            <w:shd w:val="clear" w:color="auto" w:fill="auto"/>
            <w:vAlign w:val="bottom"/>
          </w:tcPr>
          <w:p w14:paraId="39D99978" w14:textId="77777777" w:rsidR="00996AD7" w:rsidRDefault="00996AD7">
            <w:pPr>
              <w:rPr>
                <w:rFonts w:ascii="宋体"/>
              </w:rPr>
            </w:pPr>
          </w:p>
        </w:tc>
        <w:tc>
          <w:tcPr>
            <w:tcW w:w="212" w:type="pct"/>
            <w:shd w:val="clear" w:color="auto" w:fill="auto"/>
            <w:vAlign w:val="bottom"/>
          </w:tcPr>
          <w:p w14:paraId="39D99979" w14:textId="77777777" w:rsidR="00996AD7" w:rsidRDefault="00996AD7">
            <w:pPr>
              <w:rPr>
                <w:rFonts w:ascii="宋体"/>
              </w:rPr>
            </w:pPr>
          </w:p>
        </w:tc>
        <w:tc>
          <w:tcPr>
            <w:tcW w:w="5" w:type="pct"/>
            <w:shd w:val="clear" w:color="auto" w:fill="auto"/>
            <w:vAlign w:val="bottom"/>
          </w:tcPr>
          <w:p w14:paraId="39D9997A" w14:textId="77777777" w:rsidR="00996AD7" w:rsidRDefault="00996AD7">
            <w:pPr>
              <w:rPr>
                <w:rFonts w:ascii="宋体"/>
              </w:rPr>
            </w:pPr>
          </w:p>
        </w:tc>
        <w:tc>
          <w:tcPr>
            <w:tcW w:w="50" w:type="pct"/>
            <w:shd w:val="clear" w:color="auto" w:fill="auto"/>
            <w:vAlign w:val="bottom"/>
          </w:tcPr>
          <w:p w14:paraId="39D9997B" w14:textId="77777777" w:rsidR="00996AD7" w:rsidRDefault="00996AD7">
            <w:pPr>
              <w:rPr>
                <w:rFonts w:ascii="宋体"/>
              </w:rPr>
            </w:pPr>
          </w:p>
        </w:tc>
        <w:tc>
          <w:tcPr>
            <w:tcW w:w="2499" w:type="pct"/>
            <w:shd w:val="clear" w:color="auto" w:fill="auto"/>
            <w:vAlign w:val="bottom"/>
          </w:tcPr>
          <w:p w14:paraId="39D9997C" w14:textId="77777777" w:rsidR="00996AD7" w:rsidRDefault="00996AD7">
            <w:pPr>
              <w:rPr>
                <w:rFonts w:ascii="宋体"/>
              </w:rPr>
            </w:pPr>
          </w:p>
        </w:tc>
        <w:tc>
          <w:tcPr>
            <w:tcW w:w="5" w:type="pct"/>
            <w:shd w:val="clear" w:color="auto" w:fill="auto"/>
            <w:vAlign w:val="bottom"/>
          </w:tcPr>
          <w:p w14:paraId="39D9997D" w14:textId="77777777" w:rsidR="00996AD7" w:rsidRDefault="00996AD7">
            <w:pPr>
              <w:rPr>
                <w:rFonts w:ascii="宋体"/>
              </w:rPr>
            </w:pPr>
          </w:p>
        </w:tc>
        <w:tc>
          <w:tcPr>
            <w:tcW w:w="50" w:type="pct"/>
            <w:shd w:val="clear" w:color="auto" w:fill="auto"/>
            <w:vAlign w:val="bottom"/>
          </w:tcPr>
          <w:p w14:paraId="39D9997E" w14:textId="77777777" w:rsidR="00996AD7" w:rsidRDefault="00996AD7">
            <w:pPr>
              <w:rPr>
                <w:rFonts w:ascii="宋体"/>
              </w:rPr>
            </w:pPr>
          </w:p>
        </w:tc>
        <w:tc>
          <w:tcPr>
            <w:tcW w:w="2122" w:type="pct"/>
            <w:shd w:val="clear" w:color="auto" w:fill="auto"/>
            <w:vAlign w:val="bottom"/>
          </w:tcPr>
          <w:p w14:paraId="39D9997F" w14:textId="77777777" w:rsidR="00996AD7" w:rsidRDefault="00996AD7">
            <w:pPr>
              <w:rPr>
                <w:rFonts w:ascii="宋体"/>
              </w:rPr>
            </w:pPr>
          </w:p>
        </w:tc>
        <w:tc>
          <w:tcPr>
            <w:tcW w:w="5" w:type="pct"/>
            <w:shd w:val="clear" w:color="auto" w:fill="auto"/>
            <w:vAlign w:val="bottom"/>
          </w:tcPr>
          <w:p w14:paraId="39D99980" w14:textId="77777777" w:rsidR="00996AD7" w:rsidRDefault="00996AD7">
            <w:pPr>
              <w:rPr>
                <w:rFonts w:ascii="宋体"/>
              </w:rPr>
            </w:pPr>
          </w:p>
        </w:tc>
      </w:tr>
      <w:tr w:rsidR="00996AD7" w14:paraId="39D9998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982"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0E" wp14:editId="39D9A40F">
                  <wp:extent cx="304800" cy="304800"/>
                  <wp:effectExtent l="0" t="0" r="0" b="0"/>
                  <wp:docPr id="102" name="图片 11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17"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983"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984" w14:textId="77777777" w:rsidR="00996AD7" w:rsidRDefault="00D96458">
            <w:pPr>
              <w:jc w:val="right"/>
              <w:textAlignment w:val="center"/>
            </w:pPr>
            <w:r>
              <w:rPr>
                <w:rFonts w:ascii="Arial" w:eastAsia="宋体" w:hAnsi="Arial" w:cs="Arial"/>
                <w:color w:val="262626"/>
                <w:sz w:val="16"/>
                <w:szCs w:val="16"/>
              </w:rPr>
              <w:t>33</w:t>
            </w:r>
          </w:p>
        </w:tc>
      </w:tr>
    </w:tbl>
    <w:p w14:paraId="39D99986" w14:textId="77777777" w:rsidR="00996AD7" w:rsidRDefault="00D96458">
      <w:r>
        <w:pict w14:anchorId="39D9A410">
          <v:rect id="_x0000_i1059" style="width:415.3pt;height:1.5pt" o:hralign="center" o:hrstd="t" o:hr="t" fillcolor="#a0a0a0" stroked="f"/>
        </w:pict>
      </w:r>
    </w:p>
    <w:p w14:paraId="39D99987" w14:textId="77777777" w:rsidR="00996AD7" w:rsidRDefault="00D96458">
      <w:pPr>
        <w:spacing w:after="180"/>
        <w:jc w:val="right"/>
      </w:pPr>
      <w:hyperlink r:id="rId60" w:anchor="i94e6cc3aa83643b8b968bd5bab038338_7" w:history="1">
        <w:r>
          <w:rPr>
            <w:rStyle w:val="a5"/>
            <w:rFonts w:ascii="Arial" w:eastAsia="宋体" w:hAnsi="Arial" w:cs="Arial"/>
            <w:b/>
            <w:bCs/>
            <w:color w:val="0068B5"/>
            <w:sz w:val="16"/>
            <w:szCs w:val="16"/>
          </w:rPr>
          <w:t>Table of Contents</w:t>
        </w:r>
      </w:hyperlink>
    </w:p>
    <w:p w14:paraId="39D99988" w14:textId="77777777" w:rsidR="00996AD7" w:rsidRDefault="00996AD7">
      <w:pPr>
        <w:spacing w:after="180"/>
        <w:jc w:val="right"/>
      </w:pPr>
    </w:p>
    <w:p w14:paraId="39D99989" w14:textId="77777777" w:rsidR="00996AD7" w:rsidRDefault="00D96458">
      <w:pPr>
        <w:spacing w:after="180"/>
      </w:pPr>
      <w:r>
        <w:rPr>
          <w:rFonts w:ascii="Arial" w:eastAsia="宋体" w:hAnsi="Arial" w:cs="Arial"/>
          <w:color w:val="0068B5"/>
          <w:sz w:val="28"/>
          <w:szCs w:val="28"/>
        </w:rPr>
        <w:t>Gross Margin</w:t>
      </w:r>
    </w:p>
    <w:p w14:paraId="39D9998A" w14:textId="77777777" w:rsidR="00996AD7" w:rsidRDefault="00D96458">
      <w:pPr>
        <w:spacing w:after="180"/>
      </w:pPr>
      <w:r>
        <w:rPr>
          <w:rFonts w:ascii="Arial" w:eastAsia="宋体" w:hAnsi="Arial" w:cs="Arial"/>
          <w:color w:val="262626"/>
          <w:sz w:val="18"/>
          <w:szCs w:val="18"/>
        </w:rPr>
        <w:t xml:space="preserve">We derived a substantial majority of our overall gross margin from </w:t>
      </w:r>
      <w:r>
        <w:rPr>
          <w:rFonts w:ascii="Arial" w:eastAsia="宋体" w:hAnsi="Arial" w:cs="Arial"/>
          <w:color w:val="262626"/>
          <w:sz w:val="18"/>
          <w:szCs w:val="18"/>
        </w:rPr>
        <w:t>the sale of platform products in the CCG and DCG operating segments. Our overall gross margin dollars in Q3 2021 increased by $1.0 billion, or 10% compared to Q3 2020.</w:t>
      </w:r>
    </w:p>
    <w:p w14:paraId="39D9998B" w14:textId="77777777" w:rsidR="00996AD7" w:rsidRDefault="00D96458">
      <w:pPr>
        <w:spacing w:after="180"/>
      </w:pPr>
      <w:r>
        <w:rPr>
          <w:rFonts w:ascii="Arial" w:eastAsia="宋体" w:hAnsi="Arial" w:cs="Arial"/>
          <w:color w:val="262626"/>
          <w:sz w:val="18"/>
          <w:szCs w:val="18"/>
        </w:rPr>
        <w:t>Earlier this year, we announced our IDM 2.0 strategy, in which we announced our plans to</w:t>
      </w:r>
      <w:r>
        <w:rPr>
          <w:rFonts w:ascii="Arial" w:eastAsia="宋体" w:hAnsi="Arial" w:cs="Arial"/>
          <w:color w:val="262626"/>
          <w:sz w:val="18"/>
          <w:szCs w:val="18"/>
        </w:rPr>
        <w:t xml:space="preserve"> continue to build a majority of our products in Intel fabs, to expand our use of third-party foundry capacity, and to build a world-class foundry business. As part of our IDM 2.0 strategy, we also announced plans to significantly expand our manufacturing </w:t>
      </w:r>
      <w:r>
        <w:rPr>
          <w:rFonts w:ascii="Arial" w:eastAsia="宋体" w:hAnsi="Arial" w:cs="Arial"/>
          <w:color w:val="262626"/>
          <w:sz w:val="18"/>
          <w:szCs w:val="18"/>
        </w:rPr>
        <w:t xml:space="preserve">capacity and goals related to process technology and product leadership. While we are analyzing the investment plans required to achieve our objectives, we anticipate that we will accelerate our investments in manufacturing capacity and R&amp;D, including for </w:t>
      </w:r>
      <w:r>
        <w:rPr>
          <w:rFonts w:ascii="Arial" w:eastAsia="宋体" w:hAnsi="Arial" w:cs="Arial"/>
          <w:color w:val="262626"/>
          <w:sz w:val="18"/>
          <w:szCs w:val="18"/>
        </w:rPr>
        <w:t>our process technology roadmap, to position the company for accelerating revenue growth. With the impact of these investments, we anticipate that our gross margin will be approximately in the 51-53%</w:t>
      </w:r>
      <w:r>
        <w:rPr>
          <w:rFonts w:ascii="Arial" w:eastAsia="宋体" w:hAnsi="Arial" w:cs="Arial"/>
          <w:color w:val="262626"/>
          <w:sz w:val="11"/>
          <w:szCs w:val="11"/>
        </w:rPr>
        <w:t>1</w:t>
      </w:r>
      <w:r>
        <w:rPr>
          <w:rFonts w:ascii="Arial" w:eastAsia="宋体" w:hAnsi="Arial" w:cs="Arial"/>
          <w:color w:val="262626"/>
          <w:sz w:val="18"/>
          <w:szCs w:val="18"/>
        </w:rPr>
        <w:t xml:space="preserve"> range for the next two or three years before moving upwa</w:t>
      </w:r>
      <w:r>
        <w:rPr>
          <w:rFonts w:ascii="Arial" w:eastAsia="宋体" w:hAnsi="Arial" w:cs="Arial"/>
          <w:color w:val="262626"/>
          <w:sz w:val="18"/>
          <w:szCs w:val="18"/>
        </w:rPr>
        <w:t>rd.</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98F" w14:textId="77777777">
        <w:tc>
          <w:tcPr>
            <w:tcW w:w="50" w:type="pct"/>
            <w:shd w:val="clear" w:color="auto" w:fill="auto"/>
            <w:vAlign w:val="bottom"/>
          </w:tcPr>
          <w:p w14:paraId="39D9998C" w14:textId="77777777" w:rsidR="00996AD7" w:rsidRDefault="00996AD7">
            <w:pPr>
              <w:rPr>
                <w:rFonts w:ascii="宋体"/>
              </w:rPr>
            </w:pPr>
          </w:p>
        </w:tc>
        <w:tc>
          <w:tcPr>
            <w:tcW w:w="4945" w:type="pct"/>
            <w:shd w:val="clear" w:color="auto" w:fill="auto"/>
            <w:vAlign w:val="bottom"/>
          </w:tcPr>
          <w:p w14:paraId="39D9998D" w14:textId="77777777" w:rsidR="00996AD7" w:rsidRDefault="00996AD7">
            <w:pPr>
              <w:rPr>
                <w:rFonts w:ascii="宋体"/>
              </w:rPr>
            </w:pPr>
          </w:p>
        </w:tc>
        <w:tc>
          <w:tcPr>
            <w:tcW w:w="5" w:type="pct"/>
            <w:shd w:val="clear" w:color="auto" w:fill="auto"/>
            <w:vAlign w:val="bottom"/>
          </w:tcPr>
          <w:p w14:paraId="39D9998E" w14:textId="77777777" w:rsidR="00996AD7" w:rsidRDefault="00996AD7">
            <w:pPr>
              <w:rPr>
                <w:rFonts w:ascii="宋体"/>
              </w:rPr>
            </w:pPr>
          </w:p>
        </w:tc>
      </w:tr>
      <w:tr w:rsidR="00996AD7" w14:paraId="39D99991"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990" w14:textId="77777777" w:rsidR="00996AD7" w:rsidRDefault="00D96458">
            <w:pPr>
              <w:jc w:val="center"/>
              <w:textAlignment w:val="bottom"/>
            </w:pPr>
            <w:r>
              <w:rPr>
                <w:rFonts w:ascii="Arial" w:eastAsia="宋体" w:hAnsi="Arial" w:cs="Arial"/>
                <w:color w:val="0068B5"/>
                <w:sz w:val="20"/>
                <w:szCs w:val="20"/>
              </w:rPr>
              <w:t>Gross Margin $B</w:t>
            </w:r>
          </w:p>
        </w:tc>
      </w:tr>
      <w:tr w:rsidR="00996AD7" w14:paraId="39D99993" w14:textId="77777777">
        <w:trPr>
          <w:hidden/>
        </w:trPr>
        <w:tc>
          <w:tcPr>
            <w:tcW w:w="0" w:type="auto"/>
            <w:gridSpan w:val="3"/>
            <w:shd w:val="clear" w:color="auto" w:fill="auto"/>
            <w:vAlign w:val="bottom"/>
          </w:tcPr>
          <w:p w14:paraId="39D99992" w14:textId="77777777" w:rsidR="00996AD7" w:rsidRDefault="00996AD7">
            <w:pPr>
              <w:rPr>
                <w:rFonts w:ascii="宋体"/>
                <w:vanish/>
              </w:rPr>
            </w:pPr>
          </w:p>
        </w:tc>
      </w:tr>
    </w:tbl>
    <w:p w14:paraId="39D99994" w14:textId="77777777" w:rsidR="00996AD7" w:rsidRDefault="00D96458">
      <w:pPr>
        <w:spacing w:after="180"/>
        <w:jc w:val="center"/>
      </w:pPr>
      <w:r>
        <w:rPr>
          <w:rFonts w:ascii="Arial" w:eastAsia="宋体" w:hAnsi="Arial" w:cs="Arial"/>
          <w:color w:val="262626"/>
          <w:sz w:val="18"/>
          <w:szCs w:val="18"/>
        </w:rPr>
        <w:t>    (Percentages in chart indicate gross margin as a percentage of total revenue)</w:t>
      </w:r>
    </w:p>
    <w:p w14:paraId="39D99995" w14:textId="77777777" w:rsidR="00996AD7" w:rsidRDefault="00D96458">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11" wp14:editId="39D9A412">
            <wp:extent cx="304800" cy="304800"/>
            <wp:effectExtent l="0" t="0" r="0" b="0"/>
            <wp:docPr id="49" name="图片 119"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9" descr="IMG_30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Viewer5_files/intc-20210</w:instrText>
      </w:r>
      <w:r>
        <w:rPr>
          <w:rFonts w:ascii="宋体" w:eastAsia="宋体" w:hAnsi="宋体" w:cs="宋体"/>
        </w:rPr>
        <w:instrText xml:space="preserve">925_g20.jpg"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13" wp14:editId="39D9A414">
            <wp:extent cx="304800" cy="304800"/>
            <wp:effectExtent l="0" t="0" r="0" b="0"/>
            <wp:docPr id="50" name="图片 120"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0" descr="IMG_30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9"/>
        <w:gridCol w:w="7132"/>
        <w:gridCol w:w="38"/>
      </w:tblGrid>
      <w:tr w:rsidR="00996AD7" w14:paraId="39D9999F" w14:textId="77777777">
        <w:tc>
          <w:tcPr>
            <w:tcW w:w="50" w:type="pct"/>
            <w:shd w:val="clear" w:color="auto" w:fill="auto"/>
            <w:vAlign w:val="bottom"/>
          </w:tcPr>
          <w:p w14:paraId="39D99996" w14:textId="77777777" w:rsidR="00996AD7" w:rsidRDefault="00996AD7">
            <w:pPr>
              <w:rPr>
                <w:rFonts w:ascii="宋体"/>
              </w:rPr>
            </w:pPr>
          </w:p>
        </w:tc>
        <w:tc>
          <w:tcPr>
            <w:tcW w:w="539" w:type="pct"/>
            <w:shd w:val="clear" w:color="auto" w:fill="auto"/>
            <w:vAlign w:val="bottom"/>
          </w:tcPr>
          <w:p w14:paraId="39D99997" w14:textId="77777777" w:rsidR="00996AD7" w:rsidRDefault="00996AD7">
            <w:pPr>
              <w:rPr>
                <w:rFonts w:ascii="宋体"/>
              </w:rPr>
            </w:pPr>
          </w:p>
        </w:tc>
        <w:tc>
          <w:tcPr>
            <w:tcW w:w="5" w:type="pct"/>
            <w:shd w:val="clear" w:color="auto" w:fill="auto"/>
            <w:vAlign w:val="bottom"/>
          </w:tcPr>
          <w:p w14:paraId="39D99998" w14:textId="77777777" w:rsidR="00996AD7" w:rsidRDefault="00996AD7">
            <w:pPr>
              <w:rPr>
                <w:rFonts w:ascii="宋体"/>
              </w:rPr>
            </w:pPr>
          </w:p>
        </w:tc>
        <w:tc>
          <w:tcPr>
            <w:tcW w:w="5" w:type="pct"/>
            <w:shd w:val="clear" w:color="auto" w:fill="auto"/>
            <w:vAlign w:val="bottom"/>
          </w:tcPr>
          <w:p w14:paraId="39D99999" w14:textId="77777777" w:rsidR="00996AD7" w:rsidRDefault="00996AD7">
            <w:pPr>
              <w:rPr>
                <w:rFonts w:ascii="宋体"/>
              </w:rPr>
            </w:pPr>
          </w:p>
        </w:tc>
        <w:tc>
          <w:tcPr>
            <w:tcW w:w="24" w:type="pct"/>
            <w:shd w:val="clear" w:color="auto" w:fill="auto"/>
            <w:vAlign w:val="bottom"/>
          </w:tcPr>
          <w:p w14:paraId="39D9999A" w14:textId="77777777" w:rsidR="00996AD7" w:rsidRDefault="00996AD7">
            <w:pPr>
              <w:rPr>
                <w:rFonts w:ascii="宋体"/>
              </w:rPr>
            </w:pPr>
          </w:p>
        </w:tc>
        <w:tc>
          <w:tcPr>
            <w:tcW w:w="5" w:type="pct"/>
            <w:shd w:val="clear" w:color="auto" w:fill="auto"/>
            <w:vAlign w:val="bottom"/>
          </w:tcPr>
          <w:p w14:paraId="39D9999B" w14:textId="77777777" w:rsidR="00996AD7" w:rsidRDefault="00996AD7">
            <w:pPr>
              <w:rPr>
                <w:rFonts w:ascii="宋体"/>
              </w:rPr>
            </w:pPr>
          </w:p>
        </w:tc>
        <w:tc>
          <w:tcPr>
            <w:tcW w:w="50" w:type="pct"/>
            <w:shd w:val="clear" w:color="auto" w:fill="auto"/>
            <w:vAlign w:val="bottom"/>
          </w:tcPr>
          <w:p w14:paraId="39D9999C" w14:textId="77777777" w:rsidR="00996AD7" w:rsidRDefault="00996AD7">
            <w:pPr>
              <w:rPr>
                <w:rFonts w:ascii="宋体"/>
              </w:rPr>
            </w:pPr>
          </w:p>
        </w:tc>
        <w:tc>
          <w:tcPr>
            <w:tcW w:w="4316" w:type="pct"/>
            <w:shd w:val="clear" w:color="auto" w:fill="auto"/>
            <w:vAlign w:val="bottom"/>
          </w:tcPr>
          <w:p w14:paraId="39D9999D" w14:textId="77777777" w:rsidR="00996AD7" w:rsidRDefault="00996AD7">
            <w:pPr>
              <w:rPr>
                <w:rFonts w:ascii="宋体"/>
              </w:rPr>
            </w:pPr>
          </w:p>
        </w:tc>
        <w:tc>
          <w:tcPr>
            <w:tcW w:w="5" w:type="pct"/>
            <w:shd w:val="clear" w:color="auto" w:fill="auto"/>
            <w:vAlign w:val="bottom"/>
          </w:tcPr>
          <w:p w14:paraId="39D9999E" w14:textId="77777777" w:rsidR="00996AD7" w:rsidRDefault="00996AD7">
            <w:pPr>
              <w:rPr>
                <w:rFonts w:ascii="宋体"/>
              </w:rPr>
            </w:pPr>
          </w:p>
        </w:tc>
      </w:tr>
      <w:tr w:rsidR="00996AD7" w14:paraId="39D999A3" w14:textId="77777777">
        <w:tc>
          <w:tcPr>
            <w:tcW w:w="0" w:type="auto"/>
            <w:gridSpan w:val="3"/>
            <w:shd w:val="clear" w:color="auto" w:fill="auto"/>
            <w:tcMar>
              <w:top w:w="40" w:type="dxa"/>
              <w:left w:w="20" w:type="dxa"/>
              <w:bottom w:w="40" w:type="dxa"/>
              <w:right w:w="20" w:type="dxa"/>
            </w:tcMar>
            <w:vAlign w:val="bottom"/>
          </w:tcPr>
          <w:p w14:paraId="39D999A0"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99A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9A2" w14:textId="77777777" w:rsidR="00996AD7" w:rsidRDefault="00996AD7">
            <w:pPr>
              <w:rPr>
                <w:rFonts w:ascii="宋体"/>
              </w:rPr>
            </w:pPr>
          </w:p>
        </w:tc>
      </w:tr>
      <w:tr w:rsidR="00996AD7" w14:paraId="39D999A9"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39D999A4"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9A5" w14:textId="77777777" w:rsidR="00996AD7" w:rsidRDefault="00D96458">
            <w:pPr>
              <w:jc w:val="right"/>
              <w:textAlignment w:val="bottom"/>
            </w:pPr>
            <w:r>
              <w:rPr>
                <w:rFonts w:ascii="Arial" w:eastAsia="宋体" w:hAnsi="Arial" w:cs="Arial"/>
                <w:b/>
                <w:bCs/>
                <w:color w:val="0068B5"/>
                <w:sz w:val="18"/>
                <w:szCs w:val="18"/>
              </w:rPr>
              <w:t>10,746</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9A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A7"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99A8" w14:textId="77777777" w:rsidR="00996AD7" w:rsidRDefault="00D96458">
            <w:pPr>
              <w:textAlignment w:val="bottom"/>
            </w:pPr>
            <w:r>
              <w:rPr>
                <w:rFonts w:ascii="Arial" w:eastAsia="宋体" w:hAnsi="Arial" w:cs="Arial"/>
                <w:b/>
                <w:bCs/>
                <w:color w:val="000000"/>
                <w:sz w:val="18"/>
                <w:szCs w:val="18"/>
              </w:rPr>
              <w:t>Q3 2021 Gross Margin</w:t>
            </w:r>
          </w:p>
        </w:tc>
      </w:tr>
      <w:tr w:rsidR="00996AD7" w14:paraId="39D999AE" w14:textId="77777777">
        <w:tc>
          <w:tcPr>
            <w:tcW w:w="0" w:type="auto"/>
            <w:gridSpan w:val="2"/>
            <w:tcBorders>
              <w:top w:val="single" w:sz="4" w:space="0" w:color="262626"/>
            </w:tcBorders>
            <w:shd w:val="clear" w:color="auto" w:fill="auto"/>
            <w:tcMar>
              <w:top w:w="40" w:type="dxa"/>
              <w:left w:w="20" w:type="dxa"/>
              <w:bottom w:w="40" w:type="dxa"/>
              <w:right w:w="0" w:type="dxa"/>
            </w:tcMar>
            <w:vAlign w:val="center"/>
          </w:tcPr>
          <w:p w14:paraId="39D999AA" w14:textId="77777777" w:rsidR="00996AD7" w:rsidRDefault="00D96458">
            <w:pPr>
              <w:jc w:val="right"/>
              <w:textAlignment w:val="center"/>
            </w:pPr>
            <w:r>
              <w:rPr>
                <w:rFonts w:ascii="Arial" w:eastAsia="宋体" w:hAnsi="Arial" w:cs="Arial"/>
                <w:color w:val="0068B5"/>
                <w:sz w:val="18"/>
                <w:szCs w:val="18"/>
              </w:rPr>
              <w:t>1,320 </w:t>
            </w:r>
          </w:p>
        </w:tc>
        <w:tc>
          <w:tcPr>
            <w:tcW w:w="0" w:type="auto"/>
            <w:tcBorders>
              <w:top w:val="single" w:sz="4" w:space="0" w:color="262626"/>
            </w:tcBorders>
            <w:shd w:val="clear" w:color="auto" w:fill="auto"/>
            <w:tcMar>
              <w:top w:w="40" w:type="dxa"/>
              <w:left w:w="0" w:type="dxa"/>
              <w:bottom w:w="40" w:type="dxa"/>
              <w:right w:w="20" w:type="dxa"/>
            </w:tcMar>
            <w:vAlign w:val="center"/>
          </w:tcPr>
          <w:p w14:paraId="39D999A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AC"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39D999AD" w14:textId="77777777" w:rsidR="00996AD7" w:rsidRDefault="00D96458">
            <w:pPr>
              <w:textAlignment w:val="top"/>
            </w:pPr>
            <w:r>
              <w:rPr>
                <w:rFonts w:ascii="Arial" w:eastAsia="宋体" w:hAnsi="Arial" w:cs="Arial"/>
                <w:color w:val="0068B5"/>
                <w:sz w:val="18"/>
                <w:szCs w:val="18"/>
              </w:rPr>
              <w:t>Higher gross margin from platform revenue</w:t>
            </w:r>
          </w:p>
        </w:tc>
      </w:tr>
      <w:tr w:rsidR="00996AD7" w14:paraId="39D999B3" w14:textId="77777777">
        <w:tc>
          <w:tcPr>
            <w:tcW w:w="0" w:type="auto"/>
            <w:gridSpan w:val="2"/>
            <w:shd w:val="clear" w:color="auto" w:fill="auto"/>
            <w:tcMar>
              <w:top w:w="40" w:type="dxa"/>
              <w:left w:w="20" w:type="dxa"/>
              <w:bottom w:w="40" w:type="dxa"/>
              <w:right w:w="0" w:type="dxa"/>
            </w:tcMar>
          </w:tcPr>
          <w:p w14:paraId="39D999AF" w14:textId="77777777" w:rsidR="00996AD7" w:rsidRDefault="00D96458">
            <w:pPr>
              <w:jc w:val="right"/>
              <w:textAlignment w:val="top"/>
            </w:pPr>
            <w:r>
              <w:rPr>
                <w:rFonts w:ascii="Arial" w:eastAsia="宋体" w:hAnsi="Arial" w:cs="Arial"/>
                <w:color w:val="0068B5"/>
                <w:sz w:val="18"/>
                <w:szCs w:val="18"/>
              </w:rPr>
              <w:t>545 </w:t>
            </w:r>
          </w:p>
        </w:tc>
        <w:tc>
          <w:tcPr>
            <w:tcW w:w="0" w:type="auto"/>
            <w:shd w:val="clear" w:color="auto" w:fill="auto"/>
            <w:tcMar>
              <w:top w:w="40" w:type="dxa"/>
              <w:left w:w="0" w:type="dxa"/>
              <w:bottom w:w="40" w:type="dxa"/>
              <w:right w:w="20" w:type="dxa"/>
            </w:tcMar>
          </w:tcPr>
          <w:p w14:paraId="39D999B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B1"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9B2" w14:textId="77777777" w:rsidR="00996AD7" w:rsidRDefault="00D96458">
            <w:pPr>
              <w:textAlignment w:val="top"/>
            </w:pPr>
            <w:r>
              <w:rPr>
                <w:rFonts w:ascii="Arial" w:eastAsia="宋体" w:hAnsi="Arial" w:cs="Arial"/>
                <w:color w:val="0068B5"/>
                <w:sz w:val="18"/>
                <w:szCs w:val="18"/>
              </w:rPr>
              <w:t xml:space="preserve">Higher gross margin from adjacent businesses primarily due to increased volume amidst </w:t>
            </w:r>
            <w:r>
              <w:rPr>
                <w:rFonts w:ascii="Arial" w:eastAsia="宋体" w:hAnsi="Arial" w:cs="Arial"/>
                <w:color w:val="0068B5"/>
                <w:sz w:val="18"/>
                <w:szCs w:val="18"/>
              </w:rPr>
              <w:t>improvement in global vehicle production</w:t>
            </w:r>
          </w:p>
        </w:tc>
      </w:tr>
      <w:tr w:rsidR="00996AD7" w14:paraId="39D999B8" w14:textId="77777777">
        <w:tc>
          <w:tcPr>
            <w:tcW w:w="0" w:type="auto"/>
            <w:gridSpan w:val="2"/>
            <w:shd w:val="clear" w:color="auto" w:fill="auto"/>
            <w:tcMar>
              <w:top w:w="40" w:type="dxa"/>
              <w:left w:w="20" w:type="dxa"/>
              <w:bottom w:w="40" w:type="dxa"/>
              <w:right w:w="0" w:type="dxa"/>
            </w:tcMar>
          </w:tcPr>
          <w:p w14:paraId="39D999B4" w14:textId="77777777" w:rsidR="00996AD7" w:rsidRDefault="00D96458">
            <w:pPr>
              <w:jc w:val="right"/>
              <w:textAlignment w:val="top"/>
            </w:pPr>
            <w:r>
              <w:rPr>
                <w:rFonts w:ascii="Arial" w:eastAsia="宋体" w:hAnsi="Arial" w:cs="Arial"/>
                <w:color w:val="0068B5"/>
                <w:sz w:val="18"/>
                <w:szCs w:val="18"/>
              </w:rPr>
              <w:t>(455)</w:t>
            </w:r>
          </w:p>
        </w:tc>
        <w:tc>
          <w:tcPr>
            <w:tcW w:w="0" w:type="auto"/>
            <w:shd w:val="clear" w:color="auto" w:fill="auto"/>
            <w:tcMar>
              <w:top w:w="40" w:type="dxa"/>
              <w:left w:w="0" w:type="dxa"/>
              <w:bottom w:w="40" w:type="dxa"/>
              <w:right w:w="20" w:type="dxa"/>
            </w:tcMar>
          </w:tcPr>
          <w:p w14:paraId="39D999B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B6"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9B7" w14:textId="77777777" w:rsidR="00996AD7" w:rsidRDefault="00D96458">
            <w:pPr>
              <w:textAlignment w:val="top"/>
            </w:pPr>
            <w:r>
              <w:rPr>
                <w:rFonts w:ascii="Arial" w:eastAsia="宋体" w:hAnsi="Arial" w:cs="Arial"/>
                <w:color w:val="0068B5"/>
                <w:sz w:val="18"/>
                <w:szCs w:val="18"/>
              </w:rPr>
              <w:t>Higher period charges primarily associated with the ramp up of Intel 4</w:t>
            </w:r>
          </w:p>
        </w:tc>
      </w:tr>
      <w:tr w:rsidR="00996AD7" w14:paraId="39D999BD" w14:textId="77777777">
        <w:tc>
          <w:tcPr>
            <w:tcW w:w="0" w:type="auto"/>
            <w:gridSpan w:val="2"/>
            <w:shd w:val="clear" w:color="auto" w:fill="auto"/>
            <w:tcMar>
              <w:top w:w="40" w:type="dxa"/>
              <w:left w:w="20" w:type="dxa"/>
              <w:bottom w:w="40" w:type="dxa"/>
              <w:right w:w="0" w:type="dxa"/>
            </w:tcMar>
          </w:tcPr>
          <w:p w14:paraId="39D999B9" w14:textId="77777777" w:rsidR="00996AD7" w:rsidRDefault="00D96458">
            <w:pPr>
              <w:jc w:val="right"/>
              <w:textAlignment w:val="top"/>
            </w:pPr>
            <w:r>
              <w:rPr>
                <w:rFonts w:ascii="Arial" w:eastAsia="宋体" w:hAnsi="Arial" w:cs="Arial"/>
                <w:color w:val="0068B5"/>
                <w:sz w:val="18"/>
                <w:szCs w:val="18"/>
              </w:rPr>
              <w:t>(195)</w:t>
            </w:r>
          </w:p>
        </w:tc>
        <w:tc>
          <w:tcPr>
            <w:tcW w:w="0" w:type="auto"/>
            <w:shd w:val="clear" w:color="auto" w:fill="auto"/>
            <w:tcMar>
              <w:top w:w="40" w:type="dxa"/>
              <w:left w:w="0" w:type="dxa"/>
              <w:bottom w:w="40" w:type="dxa"/>
              <w:right w:w="20" w:type="dxa"/>
            </w:tcMar>
          </w:tcPr>
          <w:p w14:paraId="39D999B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BB"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9BC" w14:textId="77777777" w:rsidR="00996AD7" w:rsidRDefault="00D96458">
            <w:pPr>
              <w:textAlignment w:val="top"/>
            </w:pPr>
            <w:r>
              <w:rPr>
                <w:rFonts w:ascii="Arial" w:eastAsia="宋体" w:hAnsi="Arial" w:cs="Arial"/>
                <w:color w:val="0068B5"/>
                <w:sz w:val="18"/>
                <w:szCs w:val="18"/>
              </w:rPr>
              <w:t xml:space="preserve">Higher period charges driven by sell-through of reserved non-qualified platform products in Q3 2020 and reserves taken on </w:t>
            </w:r>
            <w:r>
              <w:rPr>
                <w:rFonts w:ascii="Arial" w:eastAsia="宋体" w:hAnsi="Arial" w:cs="Arial"/>
                <w:color w:val="0068B5"/>
                <w:sz w:val="18"/>
                <w:szCs w:val="18"/>
              </w:rPr>
              <w:t>non-qualified platform products in Q3 2021, partially offset by lower reserves compared to Q3 2020</w:t>
            </w:r>
          </w:p>
        </w:tc>
      </w:tr>
      <w:tr w:rsidR="00996AD7" w14:paraId="39D999C2" w14:textId="77777777">
        <w:tc>
          <w:tcPr>
            <w:tcW w:w="0" w:type="auto"/>
            <w:gridSpan w:val="2"/>
            <w:shd w:val="clear" w:color="auto" w:fill="auto"/>
            <w:tcMar>
              <w:top w:w="40" w:type="dxa"/>
              <w:left w:w="20" w:type="dxa"/>
              <w:bottom w:w="40" w:type="dxa"/>
              <w:right w:w="0" w:type="dxa"/>
            </w:tcMar>
          </w:tcPr>
          <w:p w14:paraId="39D999BE" w14:textId="77777777" w:rsidR="00996AD7" w:rsidRDefault="00D96458">
            <w:pPr>
              <w:jc w:val="right"/>
              <w:textAlignment w:val="top"/>
            </w:pPr>
            <w:r>
              <w:rPr>
                <w:rFonts w:ascii="Arial" w:eastAsia="宋体" w:hAnsi="Arial" w:cs="Arial"/>
                <w:color w:val="0068B5"/>
                <w:sz w:val="18"/>
                <w:szCs w:val="18"/>
              </w:rPr>
              <w:t>(170)</w:t>
            </w:r>
          </w:p>
        </w:tc>
        <w:tc>
          <w:tcPr>
            <w:tcW w:w="0" w:type="auto"/>
            <w:shd w:val="clear" w:color="auto" w:fill="auto"/>
            <w:tcMar>
              <w:top w:w="40" w:type="dxa"/>
              <w:left w:w="0" w:type="dxa"/>
              <w:bottom w:w="40" w:type="dxa"/>
              <w:right w:w="20" w:type="dxa"/>
            </w:tcMar>
          </w:tcPr>
          <w:p w14:paraId="39D999B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C0"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9C1" w14:textId="77777777" w:rsidR="00996AD7" w:rsidRDefault="00D96458">
            <w:pPr>
              <w:textAlignment w:val="top"/>
            </w:pPr>
            <w:r>
              <w:rPr>
                <w:rFonts w:ascii="Arial" w:eastAsia="宋体" w:hAnsi="Arial" w:cs="Arial"/>
                <w:color w:val="0068B5"/>
                <w:sz w:val="18"/>
                <w:szCs w:val="18"/>
              </w:rPr>
              <w:t>Higher period charges primarily associated with the ramp down of 14nm</w:t>
            </w:r>
          </w:p>
        </w:tc>
      </w:tr>
      <w:tr w:rsidR="00996AD7" w14:paraId="39D999C6" w14:textId="77777777">
        <w:trPr>
          <w:hidden/>
        </w:trPr>
        <w:tc>
          <w:tcPr>
            <w:tcW w:w="0" w:type="auto"/>
            <w:gridSpan w:val="3"/>
            <w:shd w:val="clear" w:color="auto" w:fill="auto"/>
            <w:vAlign w:val="bottom"/>
          </w:tcPr>
          <w:p w14:paraId="39D999C3" w14:textId="77777777" w:rsidR="00996AD7" w:rsidRDefault="00996AD7">
            <w:pPr>
              <w:rPr>
                <w:rFonts w:ascii="宋体"/>
                <w:vanish/>
              </w:rPr>
            </w:pPr>
          </w:p>
        </w:tc>
        <w:tc>
          <w:tcPr>
            <w:tcW w:w="0" w:type="auto"/>
            <w:gridSpan w:val="3"/>
            <w:shd w:val="clear" w:color="auto" w:fill="auto"/>
            <w:vAlign w:val="bottom"/>
          </w:tcPr>
          <w:p w14:paraId="39D999C4" w14:textId="77777777" w:rsidR="00996AD7" w:rsidRDefault="00996AD7">
            <w:pPr>
              <w:rPr>
                <w:rFonts w:ascii="宋体"/>
                <w:vanish/>
              </w:rPr>
            </w:pPr>
          </w:p>
        </w:tc>
        <w:tc>
          <w:tcPr>
            <w:tcW w:w="0" w:type="auto"/>
            <w:gridSpan w:val="3"/>
            <w:shd w:val="clear" w:color="auto" w:fill="auto"/>
            <w:vAlign w:val="bottom"/>
          </w:tcPr>
          <w:p w14:paraId="39D999C5" w14:textId="77777777" w:rsidR="00996AD7" w:rsidRDefault="00996AD7">
            <w:pPr>
              <w:rPr>
                <w:rFonts w:ascii="宋体"/>
                <w:vanish/>
              </w:rPr>
            </w:pPr>
          </w:p>
        </w:tc>
      </w:tr>
      <w:tr w:rsidR="00996AD7" w14:paraId="39D999CA" w14:textId="77777777">
        <w:trPr>
          <w:hidden/>
        </w:trPr>
        <w:tc>
          <w:tcPr>
            <w:tcW w:w="0" w:type="auto"/>
            <w:gridSpan w:val="3"/>
            <w:shd w:val="clear" w:color="auto" w:fill="auto"/>
            <w:vAlign w:val="bottom"/>
          </w:tcPr>
          <w:p w14:paraId="39D999C7" w14:textId="77777777" w:rsidR="00996AD7" w:rsidRDefault="00996AD7">
            <w:pPr>
              <w:rPr>
                <w:rFonts w:ascii="宋体"/>
                <w:vanish/>
              </w:rPr>
            </w:pPr>
          </w:p>
        </w:tc>
        <w:tc>
          <w:tcPr>
            <w:tcW w:w="0" w:type="auto"/>
            <w:gridSpan w:val="3"/>
            <w:shd w:val="clear" w:color="auto" w:fill="auto"/>
            <w:vAlign w:val="bottom"/>
          </w:tcPr>
          <w:p w14:paraId="39D999C8" w14:textId="77777777" w:rsidR="00996AD7" w:rsidRDefault="00996AD7">
            <w:pPr>
              <w:rPr>
                <w:rFonts w:ascii="宋体"/>
                <w:vanish/>
              </w:rPr>
            </w:pPr>
          </w:p>
        </w:tc>
        <w:tc>
          <w:tcPr>
            <w:tcW w:w="0" w:type="auto"/>
            <w:gridSpan w:val="3"/>
            <w:shd w:val="clear" w:color="auto" w:fill="auto"/>
            <w:vAlign w:val="bottom"/>
          </w:tcPr>
          <w:p w14:paraId="39D999C9" w14:textId="77777777" w:rsidR="00996AD7" w:rsidRDefault="00996AD7">
            <w:pPr>
              <w:rPr>
                <w:rFonts w:ascii="宋体"/>
                <w:vanish/>
              </w:rPr>
            </w:pPr>
          </w:p>
        </w:tc>
      </w:tr>
      <w:tr w:rsidR="00996AD7" w14:paraId="39D999CE" w14:textId="77777777">
        <w:trPr>
          <w:hidden/>
        </w:trPr>
        <w:tc>
          <w:tcPr>
            <w:tcW w:w="0" w:type="auto"/>
            <w:gridSpan w:val="3"/>
            <w:shd w:val="clear" w:color="auto" w:fill="auto"/>
            <w:vAlign w:val="bottom"/>
          </w:tcPr>
          <w:p w14:paraId="39D999CB" w14:textId="77777777" w:rsidR="00996AD7" w:rsidRDefault="00996AD7">
            <w:pPr>
              <w:rPr>
                <w:rFonts w:ascii="宋体"/>
                <w:vanish/>
              </w:rPr>
            </w:pPr>
          </w:p>
        </w:tc>
        <w:tc>
          <w:tcPr>
            <w:tcW w:w="0" w:type="auto"/>
            <w:gridSpan w:val="3"/>
            <w:shd w:val="clear" w:color="auto" w:fill="auto"/>
            <w:vAlign w:val="bottom"/>
          </w:tcPr>
          <w:p w14:paraId="39D999CC" w14:textId="77777777" w:rsidR="00996AD7" w:rsidRDefault="00996AD7">
            <w:pPr>
              <w:rPr>
                <w:rFonts w:ascii="宋体"/>
                <w:vanish/>
              </w:rPr>
            </w:pPr>
          </w:p>
        </w:tc>
        <w:tc>
          <w:tcPr>
            <w:tcW w:w="0" w:type="auto"/>
            <w:gridSpan w:val="3"/>
            <w:shd w:val="clear" w:color="auto" w:fill="auto"/>
            <w:vAlign w:val="bottom"/>
          </w:tcPr>
          <w:p w14:paraId="39D999CD" w14:textId="77777777" w:rsidR="00996AD7" w:rsidRDefault="00996AD7">
            <w:pPr>
              <w:rPr>
                <w:rFonts w:ascii="宋体"/>
                <w:vanish/>
              </w:rPr>
            </w:pPr>
          </w:p>
        </w:tc>
      </w:tr>
      <w:tr w:rsidR="00996AD7" w14:paraId="39D999D2" w14:textId="77777777">
        <w:trPr>
          <w:hidden/>
        </w:trPr>
        <w:tc>
          <w:tcPr>
            <w:tcW w:w="0" w:type="auto"/>
            <w:gridSpan w:val="3"/>
            <w:shd w:val="clear" w:color="auto" w:fill="auto"/>
            <w:vAlign w:val="bottom"/>
          </w:tcPr>
          <w:p w14:paraId="39D999CF" w14:textId="77777777" w:rsidR="00996AD7" w:rsidRDefault="00996AD7">
            <w:pPr>
              <w:rPr>
                <w:rFonts w:ascii="宋体"/>
                <w:vanish/>
              </w:rPr>
            </w:pPr>
          </w:p>
        </w:tc>
        <w:tc>
          <w:tcPr>
            <w:tcW w:w="0" w:type="auto"/>
            <w:gridSpan w:val="3"/>
            <w:shd w:val="clear" w:color="auto" w:fill="auto"/>
            <w:vAlign w:val="bottom"/>
          </w:tcPr>
          <w:p w14:paraId="39D999D0" w14:textId="77777777" w:rsidR="00996AD7" w:rsidRDefault="00996AD7">
            <w:pPr>
              <w:rPr>
                <w:rFonts w:ascii="宋体"/>
                <w:vanish/>
              </w:rPr>
            </w:pPr>
          </w:p>
        </w:tc>
        <w:tc>
          <w:tcPr>
            <w:tcW w:w="0" w:type="auto"/>
            <w:gridSpan w:val="3"/>
            <w:shd w:val="clear" w:color="auto" w:fill="auto"/>
            <w:vAlign w:val="bottom"/>
          </w:tcPr>
          <w:p w14:paraId="39D999D1" w14:textId="77777777" w:rsidR="00996AD7" w:rsidRDefault="00996AD7">
            <w:pPr>
              <w:rPr>
                <w:rFonts w:ascii="宋体"/>
                <w:vanish/>
              </w:rPr>
            </w:pPr>
          </w:p>
        </w:tc>
      </w:tr>
      <w:tr w:rsidR="00996AD7" w14:paraId="39D999D6" w14:textId="77777777">
        <w:trPr>
          <w:hidden/>
        </w:trPr>
        <w:tc>
          <w:tcPr>
            <w:tcW w:w="0" w:type="auto"/>
            <w:gridSpan w:val="3"/>
            <w:shd w:val="clear" w:color="auto" w:fill="auto"/>
            <w:vAlign w:val="bottom"/>
          </w:tcPr>
          <w:p w14:paraId="39D999D3" w14:textId="77777777" w:rsidR="00996AD7" w:rsidRDefault="00996AD7">
            <w:pPr>
              <w:rPr>
                <w:rFonts w:ascii="宋体"/>
                <w:vanish/>
              </w:rPr>
            </w:pPr>
          </w:p>
        </w:tc>
        <w:tc>
          <w:tcPr>
            <w:tcW w:w="0" w:type="auto"/>
            <w:gridSpan w:val="3"/>
            <w:shd w:val="clear" w:color="auto" w:fill="auto"/>
            <w:vAlign w:val="bottom"/>
          </w:tcPr>
          <w:p w14:paraId="39D999D4" w14:textId="77777777" w:rsidR="00996AD7" w:rsidRDefault="00996AD7">
            <w:pPr>
              <w:rPr>
                <w:rFonts w:ascii="宋体"/>
                <w:vanish/>
              </w:rPr>
            </w:pPr>
          </w:p>
        </w:tc>
        <w:tc>
          <w:tcPr>
            <w:tcW w:w="0" w:type="auto"/>
            <w:gridSpan w:val="3"/>
            <w:shd w:val="clear" w:color="auto" w:fill="auto"/>
            <w:vAlign w:val="bottom"/>
          </w:tcPr>
          <w:p w14:paraId="39D999D5" w14:textId="77777777" w:rsidR="00996AD7" w:rsidRDefault="00996AD7">
            <w:pPr>
              <w:rPr>
                <w:rFonts w:ascii="宋体"/>
                <w:vanish/>
              </w:rPr>
            </w:pPr>
          </w:p>
        </w:tc>
      </w:tr>
      <w:tr w:rsidR="00996AD7" w14:paraId="39D999DA" w14:textId="77777777">
        <w:trPr>
          <w:hidden/>
        </w:trPr>
        <w:tc>
          <w:tcPr>
            <w:tcW w:w="0" w:type="auto"/>
            <w:gridSpan w:val="3"/>
            <w:shd w:val="clear" w:color="auto" w:fill="auto"/>
            <w:vAlign w:val="bottom"/>
          </w:tcPr>
          <w:p w14:paraId="39D999D7" w14:textId="77777777" w:rsidR="00996AD7" w:rsidRDefault="00996AD7">
            <w:pPr>
              <w:rPr>
                <w:rFonts w:ascii="宋体"/>
                <w:vanish/>
              </w:rPr>
            </w:pPr>
          </w:p>
        </w:tc>
        <w:tc>
          <w:tcPr>
            <w:tcW w:w="0" w:type="auto"/>
            <w:gridSpan w:val="3"/>
            <w:shd w:val="clear" w:color="auto" w:fill="auto"/>
            <w:vAlign w:val="bottom"/>
          </w:tcPr>
          <w:p w14:paraId="39D999D8" w14:textId="77777777" w:rsidR="00996AD7" w:rsidRDefault="00996AD7">
            <w:pPr>
              <w:rPr>
                <w:rFonts w:ascii="宋体"/>
                <w:vanish/>
              </w:rPr>
            </w:pPr>
          </w:p>
        </w:tc>
        <w:tc>
          <w:tcPr>
            <w:tcW w:w="0" w:type="auto"/>
            <w:gridSpan w:val="3"/>
            <w:shd w:val="clear" w:color="auto" w:fill="auto"/>
            <w:vAlign w:val="bottom"/>
          </w:tcPr>
          <w:p w14:paraId="39D999D9" w14:textId="77777777" w:rsidR="00996AD7" w:rsidRDefault="00996AD7">
            <w:pPr>
              <w:rPr>
                <w:rFonts w:ascii="宋体"/>
                <w:vanish/>
              </w:rPr>
            </w:pPr>
          </w:p>
        </w:tc>
      </w:tr>
      <w:tr w:rsidR="00996AD7" w14:paraId="39D999DF" w14:textId="77777777">
        <w:tc>
          <w:tcPr>
            <w:tcW w:w="0" w:type="auto"/>
            <w:gridSpan w:val="2"/>
            <w:shd w:val="clear" w:color="auto" w:fill="auto"/>
            <w:tcMar>
              <w:top w:w="40" w:type="dxa"/>
              <w:left w:w="20" w:type="dxa"/>
              <w:bottom w:w="40" w:type="dxa"/>
              <w:right w:w="0" w:type="dxa"/>
            </w:tcMar>
          </w:tcPr>
          <w:p w14:paraId="39D999DB" w14:textId="77777777" w:rsidR="00996AD7" w:rsidRDefault="00D96458">
            <w:pPr>
              <w:jc w:val="right"/>
              <w:textAlignment w:val="top"/>
            </w:pPr>
            <w:r>
              <w:rPr>
                <w:rFonts w:ascii="Arial" w:eastAsia="宋体" w:hAnsi="Arial" w:cs="Arial"/>
                <w:color w:val="0068B5"/>
                <w:sz w:val="18"/>
                <w:szCs w:val="18"/>
              </w:rPr>
              <w:t>(40)</w:t>
            </w:r>
          </w:p>
        </w:tc>
        <w:tc>
          <w:tcPr>
            <w:tcW w:w="0" w:type="auto"/>
            <w:shd w:val="clear" w:color="auto" w:fill="auto"/>
            <w:tcMar>
              <w:top w:w="40" w:type="dxa"/>
              <w:left w:w="0" w:type="dxa"/>
              <w:bottom w:w="40" w:type="dxa"/>
              <w:right w:w="20" w:type="dxa"/>
            </w:tcMar>
          </w:tcPr>
          <w:p w14:paraId="39D999D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DD"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9DE" w14:textId="77777777" w:rsidR="00996AD7" w:rsidRDefault="00D96458">
            <w:pPr>
              <w:textAlignment w:val="top"/>
            </w:pPr>
            <w:r>
              <w:rPr>
                <w:rFonts w:ascii="Arial" w:eastAsia="宋体" w:hAnsi="Arial" w:cs="Arial"/>
                <w:color w:val="0068B5"/>
                <w:sz w:val="18"/>
                <w:szCs w:val="18"/>
              </w:rPr>
              <w:t>Other</w:t>
            </w:r>
          </w:p>
        </w:tc>
      </w:tr>
      <w:tr w:rsidR="00996AD7" w14:paraId="39D999E5"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39D999E0"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9E1" w14:textId="77777777" w:rsidR="00996AD7" w:rsidRDefault="00D96458">
            <w:pPr>
              <w:jc w:val="right"/>
              <w:textAlignment w:val="bottom"/>
            </w:pPr>
            <w:r>
              <w:rPr>
                <w:rFonts w:ascii="Arial" w:eastAsia="宋体" w:hAnsi="Arial" w:cs="Arial"/>
                <w:b/>
                <w:bCs/>
                <w:color w:val="262626"/>
                <w:sz w:val="18"/>
                <w:szCs w:val="18"/>
              </w:rPr>
              <w:t>9,741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9E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E3"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39D999E4" w14:textId="77777777" w:rsidR="00996AD7" w:rsidRDefault="00D96458">
            <w:pPr>
              <w:textAlignment w:val="bottom"/>
            </w:pPr>
            <w:r>
              <w:rPr>
                <w:rFonts w:ascii="Arial" w:eastAsia="宋体" w:hAnsi="Arial" w:cs="Arial"/>
                <w:b/>
                <w:bCs/>
                <w:color w:val="262626"/>
                <w:sz w:val="18"/>
                <w:szCs w:val="18"/>
              </w:rPr>
              <w:t>Q3 2020 Gross Margin</w:t>
            </w:r>
          </w:p>
        </w:tc>
      </w:tr>
      <w:tr w:rsidR="00996AD7" w14:paraId="39D999E9" w14:textId="77777777">
        <w:trPr>
          <w:trHeight w:val="16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99E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9E7"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99E8" w14:textId="77777777" w:rsidR="00996AD7" w:rsidRDefault="00996AD7">
            <w:pPr>
              <w:rPr>
                <w:rFonts w:ascii="宋体"/>
              </w:rPr>
            </w:pPr>
          </w:p>
        </w:tc>
      </w:tr>
      <w:tr w:rsidR="00996AD7" w14:paraId="39D999EF"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39D999EA"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9EB" w14:textId="77777777" w:rsidR="00996AD7" w:rsidRDefault="00D96458">
            <w:pPr>
              <w:jc w:val="right"/>
              <w:textAlignment w:val="bottom"/>
            </w:pPr>
            <w:r>
              <w:rPr>
                <w:rFonts w:ascii="Arial" w:eastAsia="宋体" w:hAnsi="Arial" w:cs="Arial"/>
                <w:b/>
                <w:bCs/>
                <w:color w:val="0068B5"/>
                <w:sz w:val="18"/>
                <w:szCs w:val="18"/>
              </w:rPr>
              <w:t>32,806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9E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ED"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39D999EE" w14:textId="77777777" w:rsidR="00996AD7" w:rsidRDefault="00D96458">
            <w:pPr>
              <w:textAlignment w:val="bottom"/>
            </w:pPr>
            <w:r>
              <w:rPr>
                <w:rFonts w:ascii="Arial" w:eastAsia="宋体" w:hAnsi="Arial" w:cs="Arial"/>
                <w:b/>
                <w:bCs/>
                <w:color w:val="000000"/>
                <w:sz w:val="18"/>
                <w:szCs w:val="18"/>
              </w:rPr>
              <w:t>YTD 2021 Gross Margin</w:t>
            </w:r>
          </w:p>
        </w:tc>
      </w:tr>
      <w:tr w:rsidR="00996AD7" w14:paraId="39D999F4" w14:textId="77777777">
        <w:tc>
          <w:tcPr>
            <w:tcW w:w="0" w:type="auto"/>
            <w:gridSpan w:val="2"/>
            <w:tcBorders>
              <w:top w:val="single" w:sz="4" w:space="0" w:color="262626"/>
            </w:tcBorders>
            <w:shd w:val="clear" w:color="auto" w:fill="auto"/>
            <w:tcMar>
              <w:top w:w="40" w:type="dxa"/>
              <w:left w:w="20" w:type="dxa"/>
              <w:bottom w:w="40" w:type="dxa"/>
              <w:right w:w="0" w:type="dxa"/>
            </w:tcMar>
          </w:tcPr>
          <w:p w14:paraId="39D999F0" w14:textId="77777777" w:rsidR="00996AD7" w:rsidRDefault="00D96458">
            <w:pPr>
              <w:jc w:val="right"/>
              <w:textAlignment w:val="top"/>
            </w:pPr>
            <w:r>
              <w:rPr>
                <w:rFonts w:ascii="Arial" w:eastAsia="宋体" w:hAnsi="Arial" w:cs="Arial"/>
                <w:color w:val="0068B5"/>
                <w:sz w:val="18"/>
                <w:szCs w:val="18"/>
              </w:rPr>
              <w:t>1,010 </w:t>
            </w:r>
          </w:p>
        </w:tc>
        <w:tc>
          <w:tcPr>
            <w:tcW w:w="0" w:type="auto"/>
            <w:tcBorders>
              <w:top w:val="single" w:sz="4" w:space="0" w:color="262626"/>
            </w:tcBorders>
            <w:shd w:val="clear" w:color="auto" w:fill="auto"/>
            <w:tcMar>
              <w:top w:w="40" w:type="dxa"/>
              <w:left w:w="0" w:type="dxa"/>
              <w:bottom w:w="40" w:type="dxa"/>
              <w:right w:w="20" w:type="dxa"/>
            </w:tcMar>
          </w:tcPr>
          <w:p w14:paraId="39D999F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F2"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39D999F3" w14:textId="77777777" w:rsidR="00996AD7" w:rsidRDefault="00D96458">
            <w:pPr>
              <w:textAlignment w:val="top"/>
            </w:pPr>
            <w:r>
              <w:rPr>
                <w:rFonts w:ascii="Arial" w:eastAsia="宋体" w:hAnsi="Arial" w:cs="Arial"/>
                <w:color w:val="0068B5"/>
                <w:sz w:val="18"/>
                <w:szCs w:val="18"/>
              </w:rPr>
              <w:t>Higher gross margin from adjacent businesses primarily due to improved NAND unit cost, increased volume amidst improvement in global vehicle production and higher margins on wireless and connectivity</w:t>
            </w:r>
          </w:p>
        </w:tc>
      </w:tr>
      <w:tr w:rsidR="00996AD7" w14:paraId="39D999F9" w14:textId="77777777">
        <w:tc>
          <w:tcPr>
            <w:tcW w:w="0" w:type="auto"/>
            <w:gridSpan w:val="2"/>
            <w:shd w:val="clear" w:color="auto" w:fill="auto"/>
            <w:tcMar>
              <w:top w:w="40" w:type="dxa"/>
              <w:left w:w="20" w:type="dxa"/>
              <w:bottom w:w="40" w:type="dxa"/>
              <w:right w:w="0" w:type="dxa"/>
            </w:tcMar>
          </w:tcPr>
          <w:p w14:paraId="39D999F5" w14:textId="77777777" w:rsidR="00996AD7" w:rsidRDefault="00D96458">
            <w:pPr>
              <w:jc w:val="right"/>
              <w:textAlignment w:val="top"/>
            </w:pPr>
            <w:r>
              <w:rPr>
                <w:rFonts w:ascii="Arial" w:eastAsia="宋体" w:hAnsi="Arial" w:cs="Arial"/>
                <w:color w:val="0068B5"/>
                <w:sz w:val="18"/>
                <w:szCs w:val="18"/>
              </w:rPr>
              <w:t>585 </w:t>
            </w:r>
          </w:p>
        </w:tc>
        <w:tc>
          <w:tcPr>
            <w:tcW w:w="0" w:type="auto"/>
            <w:shd w:val="clear" w:color="auto" w:fill="auto"/>
            <w:tcMar>
              <w:top w:w="40" w:type="dxa"/>
              <w:left w:w="0" w:type="dxa"/>
              <w:bottom w:w="40" w:type="dxa"/>
              <w:right w:w="20" w:type="dxa"/>
            </w:tcMar>
          </w:tcPr>
          <w:p w14:paraId="39D999F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F7"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9F8" w14:textId="77777777" w:rsidR="00996AD7" w:rsidRDefault="00D96458">
            <w:pPr>
              <w:textAlignment w:val="top"/>
            </w:pPr>
            <w:r>
              <w:rPr>
                <w:rFonts w:ascii="Arial" w:eastAsia="宋体" w:hAnsi="Arial" w:cs="Arial"/>
                <w:color w:val="0068B5"/>
                <w:sz w:val="18"/>
                <w:szCs w:val="18"/>
              </w:rPr>
              <w:t>Prepaid supply agreement settled and recognized to revenue in Q1 2021</w:t>
            </w:r>
          </w:p>
        </w:tc>
      </w:tr>
      <w:tr w:rsidR="00996AD7" w14:paraId="39D999FE" w14:textId="77777777">
        <w:tc>
          <w:tcPr>
            <w:tcW w:w="0" w:type="auto"/>
            <w:gridSpan w:val="2"/>
            <w:shd w:val="clear" w:color="auto" w:fill="auto"/>
            <w:tcMar>
              <w:top w:w="40" w:type="dxa"/>
              <w:left w:w="20" w:type="dxa"/>
              <w:bottom w:w="40" w:type="dxa"/>
              <w:right w:w="0" w:type="dxa"/>
            </w:tcMar>
          </w:tcPr>
          <w:p w14:paraId="39D999FA" w14:textId="77777777" w:rsidR="00996AD7" w:rsidRDefault="00D96458">
            <w:pPr>
              <w:jc w:val="right"/>
              <w:textAlignment w:val="top"/>
            </w:pPr>
            <w:r>
              <w:rPr>
                <w:rFonts w:ascii="Arial" w:eastAsia="宋体" w:hAnsi="Arial" w:cs="Arial"/>
                <w:color w:val="0068B5"/>
                <w:sz w:val="18"/>
                <w:szCs w:val="18"/>
              </w:rPr>
              <w:t>485 </w:t>
            </w:r>
          </w:p>
        </w:tc>
        <w:tc>
          <w:tcPr>
            <w:tcW w:w="0" w:type="auto"/>
            <w:shd w:val="clear" w:color="auto" w:fill="auto"/>
            <w:tcMar>
              <w:top w:w="40" w:type="dxa"/>
              <w:left w:w="0" w:type="dxa"/>
              <w:bottom w:w="40" w:type="dxa"/>
              <w:right w:w="20" w:type="dxa"/>
            </w:tcMar>
          </w:tcPr>
          <w:p w14:paraId="39D999F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9F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9FD" w14:textId="77777777" w:rsidR="00996AD7" w:rsidRDefault="00D96458">
            <w:pPr>
              <w:textAlignment w:val="top"/>
            </w:pPr>
            <w:r>
              <w:rPr>
                <w:rFonts w:ascii="Arial" w:eastAsia="宋体" w:hAnsi="Arial" w:cs="Arial"/>
                <w:color w:val="0068B5"/>
                <w:sz w:val="18"/>
                <w:szCs w:val="18"/>
              </w:rPr>
              <w:t>Lower period charges driven by lower reserves taken on non-qualified platform products compared to 2020, partially offset by 2020 sell-through of other reserves</w:t>
            </w:r>
          </w:p>
        </w:tc>
      </w:tr>
      <w:tr w:rsidR="00996AD7" w14:paraId="39D99A03" w14:textId="77777777">
        <w:tc>
          <w:tcPr>
            <w:tcW w:w="0" w:type="auto"/>
            <w:gridSpan w:val="2"/>
            <w:shd w:val="clear" w:color="auto" w:fill="auto"/>
            <w:tcMar>
              <w:top w:w="40" w:type="dxa"/>
              <w:left w:w="20" w:type="dxa"/>
              <w:bottom w:w="40" w:type="dxa"/>
              <w:right w:w="0" w:type="dxa"/>
            </w:tcMar>
          </w:tcPr>
          <w:p w14:paraId="39D999FF" w14:textId="77777777" w:rsidR="00996AD7" w:rsidRDefault="00D96458">
            <w:pPr>
              <w:jc w:val="right"/>
              <w:textAlignment w:val="top"/>
            </w:pPr>
            <w:r>
              <w:rPr>
                <w:rFonts w:ascii="Arial" w:eastAsia="宋体" w:hAnsi="Arial" w:cs="Arial"/>
                <w:color w:val="0068B5"/>
                <w:sz w:val="18"/>
                <w:szCs w:val="18"/>
              </w:rPr>
              <w:t>315 </w:t>
            </w:r>
          </w:p>
        </w:tc>
        <w:tc>
          <w:tcPr>
            <w:tcW w:w="0" w:type="auto"/>
            <w:shd w:val="clear" w:color="auto" w:fill="auto"/>
            <w:tcMar>
              <w:top w:w="40" w:type="dxa"/>
              <w:left w:w="0" w:type="dxa"/>
              <w:bottom w:w="40" w:type="dxa"/>
              <w:right w:w="20" w:type="dxa"/>
            </w:tcMar>
          </w:tcPr>
          <w:p w14:paraId="39D99A0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A01"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A02" w14:textId="77777777" w:rsidR="00996AD7" w:rsidRDefault="00D96458">
            <w:pPr>
              <w:textAlignment w:val="top"/>
            </w:pPr>
            <w:r>
              <w:rPr>
                <w:rFonts w:ascii="Arial" w:eastAsia="宋体" w:hAnsi="Arial" w:cs="Arial"/>
                <w:color w:val="0068B5"/>
                <w:sz w:val="18"/>
                <w:szCs w:val="18"/>
              </w:rPr>
              <w:t>Lower platform unit cost primarily from cost improvements in 10nm SuperFin products</w:t>
            </w:r>
          </w:p>
        </w:tc>
      </w:tr>
      <w:tr w:rsidR="00996AD7" w14:paraId="39D99A08" w14:textId="77777777">
        <w:tc>
          <w:tcPr>
            <w:tcW w:w="0" w:type="auto"/>
            <w:gridSpan w:val="2"/>
            <w:shd w:val="clear" w:color="auto" w:fill="auto"/>
            <w:tcMar>
              <w:top w:w="40" w:type="dxa"/>
              <w:left w:w="20" w:type="dxa"/>
              <w:bottom w:w="40" w:type="dxa"/>
              <w:right w:w="0" w:type="dxa"/>
            </w:tcMar>
          </w:tcPr>
          <w:p w14:paraId="39D99A04" w14:textId="77777777" w:rsidR="00996AD7" w:rsidRDefault="00D96458">
            <w:pPr>
              <w:jc w:val="right"/>
              <w:textAlignment w:val="top"/>
            </w:pPr>
            <w:r>
              <w:rPr>
                <w:rFonts w:ascii="Arial" w:eastAsia="宋体" w:hAnsi="Arial" w:cs="Arial"/>
                <w:color w:val="0068B5"/>
                <w:sz w:val="18"/>
                <w:szCs w:val="18"/>
              </w:rPr>
              <w:t>(715)</w:t>
            </w:r>
          </w:p>
        </w:tc>
        <w:tc>
          <w:tcPr>
            <w:tcW w:w="0" w:type="auto"/>
            <w:shd w:val="clear" w:color="auto" w:fill="auto"/>
            <w:tcMar>
              <w:top w:w="40" w:type="dxa"/>
              <w:left w:w="0" w:type="dxa"/>
              <w:bottom w:w="40" w:type="dxa"/>
              <w:right w:w="20" w:type="dxa"/>
            </w:tcMar>
          </w:tcPr>
          <w:p w14:paraId="39D99A0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A06"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A07" w14:textId="77777777" w:rsidR="00996AD7" w:rsidRDefault="00D96458">
            <w:pPr>
              <w:textAlignment w:val="top"/>
            </w:pPr>
            <w:r>
              <w:rPr>
                <w:rFonts w:ascii="Arial" w:eastAsia="宋体" w:hAnsi="Arial" w:cs="Arial"/>
                <w:color w:val="0068B5"/>
                <w:sz w:val="18"/>
                <w:szCs w:val="18"/>
              </w:rPr>
              <w:t>Higher period charges primarily associated with the ramp up of Intel 4</w:t>
            </w:r>
          </w:p>
        </w:tc>
      </w:tr>
      <w:tr w:rsidR="00996AD7" w14:paraId="39D99A0D" w14:textId="77777777">
        <w:tc>
          <w:tcPr>
            <w:tcW w:w="0" w:type="auto"/>
            <w:gridSpan w:val="2"/>
            <w:shd w:val="clear" w:color="auto" w:fill="auto"/>
            <w:tcMar>
              <w:top w:w="40" w:type="dxa"/>
              <w:left w:w="20" w:type="dxa"/>
              <w:bottom w:w="40" w:type="dxa"/>
              <w:right w:w="0" w:type="dxa"/>
            </w:tcMar>
          </w:tcPr>
          <w:p w14:paraId="39D99A09" w14:textId="77777777" w:rsidR="00996AD7" w:rsidRDefault="00D96458">
            <w:pPr>
              <w:jc w:val="right"/>
              <w:textAlignment w:val="top"/>
            </w:pPr>
            <w:r>
              <w:rPr>
                <w:rFonts w:ascii="Arial" w:eastAsia="宋体" w:hAnsi="Arial" w:cs="Arial"/>
                <w:color w:val="0068B5"/>
                <w:sz w:val="18"/>
                <w:szCs w:val="18"/>
              </w:rPr>
              <w:t>(535)</w:t>
            </w:r>
          </w:p>
        </w:tc>
        <w:tc>
          <w:tcPr>
            <w:tcW w:w="0" w:type="auto"/>
            <w:shd w:val="clear" w:color="auto" w:fill="auto"/>
            <w:tcMar>
              <w:top w:w="40" w:type="dxa"/>
              <w:left w:w="0" w:type="dxa"/>
              <w:bottom w:w="40" w:type="dxa"/>
              <w:right w:w="20" w:type="dxa"/>
            </w:tcMar>
          </w:tcPr>
          <w:p w14:paraId="39D99A0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A0B"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A0C" w14:textId="77777777" w:rsidR="00996AD7" w:rsidRDefault="00D96458">
            <w:pPr>
              <w:textAlignment w:val="top"/>
            </w:pPr>
            <w:r>
              <w:rPr>
                <w:rFonts w:ascii="Arial" w:eastAsia="宋体" w:hAnsi="Arial" w:cs="Arial"/>
                <w:color w:val="0068B5"/>
                <w:sz w:val="18"/>
                <w:szCs w:val="18"/>
              </w:rPr>
              <w:t>Higher period charges primarily associated with the ramp down of 14nm</w:t>
            </w:r>
          </w:p>
        </w:tc>
      </w:tr>
      <w:tr w:rsidR="00996AD7" w14:paraId="39D99A12" w14:textId="77777777">
        <w:tc>
          <w:tcPr>
            <w:tcW w:w="0" w:type="auto"/>
            <w:gridSpan w:val="2"/>
            <w:shd w:val="clear" w:color="auto" w:fill="auto"/>
            <w:tcMar>
              <w:top w:w="40" w:type="dxa"/>
              <w:left w:w="20" w:type="dxa"/>
              <w:bottom w:w="40" w:type="dxa"/>
              <w:right w:w="0" w:type="dxa"/>
            </w:tcMar>
          </w:tcPr>
          <w:p w14:paraId="39D99A0E" w14:textId="77777777" w:rsidR="00996AD7" w:rsidRDefault="00D96458">
            <w:pPr>
              <w:jc w:val="right"/>
              <w:textAlignment w:val="top"/>
            </w:pPr>
            <w:r>
              <w:rPr>
                <w:rFonts w:ascii="Arial" w:eastAsia="宋体" w:hAnsi="Arial" w:cs="Arial"/>
                <w:color w:val="0068B5"/>
                <w:sz w:val="18"/>
                <w:szCs w:val="18"/>
              </w:rPr>
              <w:t>(535)</w:t>
            </w:r>
          </w:p>
        </w:tc>
        <w:tc>
          <w:tcPr>
            <w:tcW w:w="0" w:type="auto"/>
            <w:shd w:val="clear" w:color="auto" w:fill="auto"/>
            <w:tcMar>
              <w:top w:w="40" w:type="dxa"/>
              <w:left w:w="0" w:type="dxa"/>
              <w:bottom w:w="40" w:type="dxa"/>
              <w:right w:w="20" w:type="dxa"/>
            </w:tcMar>
          </w:tcPr>
          <w:p w14:paraId="39D99A0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A10"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A11" w14:textId="77777777" w:rsidR="00996AD7" w:rsidRDefault="00D96458">
            <w:pPr>
              <w:textAlignment w:val="top"/>
            </w:pPr>
            <w:r>
              <w:rPr>
                <w:rFonts w:ascii="Arial" w:eastAsia="宋体" w:hAnsi="Arial" w:cs="Arial"/>
                <w:color w:val="0068B5"/>
                <w:sz w:val="18"/>
                <w:szCs w:val="18"/>
              </w:rPr>
              <w:t>Lower gross margin from platform revenue</w:t>
            </w:r>
          </w:p>
        </w:tc>
      </w:tr>
      <w:tr w:rsidR="00996AD7" w14:paraId="39D99A16" w14:textId="77777777">
        <w:trPr>
          <w:hidden/>
        </w:trPr>
        <w:tc>
          <w:tcPr>
            <w:tcW w:w="0" w:type="auto"/>
            <w:gridSpan w:val="3"/>
            <w:shd w:val="clear" w:color="auto" w:fill="auto"/>
            <w:vAlign w:val="bottom"/>
          </w:tcPr>
          <w:p w14:paraId="39D99A13" w14:textId="77777777" w:rsidR="00996AD7" w:rsidRDefault="00996AD7">
            <w:pPr>
              <w:rPr>
                <w:rFonts w:ascii="宋体"/>
                <w:vanish/>
              </w:rPr>
            </w:pPr>
          </w:p>
        </w:tc>
        <w:tc>
          <w:tcPr>
            <w:tcW w:w="0" w:type="auto"/>
            <w:gridSpan w:val="3"/>
            <w:shd w:val="clear" w:color="auto" w:fill="auto"/>
            <w:vAlign w:val="bottom"/>
          </w:tcPr>
          <w:p w14:paraId="39D99A14" w14:textId="77777777" w:rsidR="00996AD7" w:rsidRDefault="00996AD7">
            <w:pPr>
              <w:rPr>
                <w:rFonts w:ascii="宋体"/>
                <w:vanish/>
              </w:rPr>
            </w:pPr>
          </w:p>
        </w:tc>
        <w:tc>
          <w:tcPr>
            <w:tcW w:w="0" w:type="auto"/>
            <w:gridSpan w:val="3"/>
            <w:shd w:val="clear" w:color="auto" w:fill="auto"/>
            <w:vAlign w:val="bottom"/>
          </w:tcPr>
          <w:p w14:paraId="39D99A15" w14:textId="77777777" w:rsidR="00996AD7" w:rsidRDefault="00996AD7">
            <w:pPr>
              <w:rPr>
                <w:rFonts w:ascii="宋体"/>
                <w:vanish/>
              </w:rPr>
            </w:pPr>
          </w:p>
        </w:tc>
      </w:tr>
      <w:tr w:rsidR="00996AD7" w14:paraId="39D99A1A" w14:textId="77777777">
        <w:trPr>
          <w:hidden/>
        </w:trPr>
        <w:tc>
          <w:tcPr>
            <w:tcW w:w="0" w:type="auto"/>
            <w:gridSpan w:val="3"/>
            <w:shd w:val="clear" w:color="auto" w:fill="auto"/>
            <w:vAlign w:val="bottom"/>
          </w:tcPr>
          <w:p w14:paraId="39D99A17" w14:textId="77777777" w:rsidR="00996AD7" w:rsidRDefault="00996AD7">
            <w:pPr>
              <w:rPr>
                <w:rFonts w:ascii="宋体"/>
                <w:vanish/>
              </w:rPr>
            </w:pPr>
          </w:p>
        </w:tc>
        <w:tc>
          <w:tcPr>
            <w:tcW w:w="0" w:type="auto"/>
            <w:gridSpan w:val="3"/>
            <w:shd w:val="clear" w:color="auto" w:fill="auto"/>
            <w:vAlign w:val="bottom"/>
          </w:tcPr>
          <w:p w14:paraId="39D99A18" w14:textId="77777777" w:rsidR="00996AD7" w:rsidRDefault="00996AD7">
            <w:pPr>
              <w:rPr>
                <w:rFonts w:ascii="宋体"/>
                <w:vanish/>
              </w:rPr>
            </w:pPr>
          </w:p>
        </w:tc>
        <w:tc>
          <w:tcPr>
            <w:tcW w:w="0" w:type="auto"/>
            <w:gridSpan w:val="3"/>
            <w:shd w:val="clear" w:color="auto" w:fill="auto"/>
            <w:vAlign w:val="bottom"/>
          </w:tcPr>
          <w:p w14:paraId="39D99A19" w14:textId="77777777" w:rsidR="00996AD7" w:rsidRDefault="00996AD7">
            <w:pPr>
              <w:rPr>
                <w:rFonts w:ascii="宋体"/>
                <w:vanish/>
              </w:rPr>
            </w:pPr>
          </w:p>
        </w:tc>
      </w:tr>
      <w:tr w:rsidR="00996AD7" w14:paraId="39D99A1F" w14:textId="77777777">
        <w:tc>
          <w:tcPr>
            <w:tcW w:w="0" w:type="auto"/>
            <w:gridSpan w:val="2"/>
            <w:shd w:val="clear" w:color="auto" w:fill="auto"/>
            <w:tcMar>
              <w:top w:w="40" w:type="dxa"/>
              <w:left w:w="20" w:type="dxa"/>
              <w:bottom w:w="40" w:type="dxa"/>
              <w:right w:w="0" w:type="dxa"/>
            </w:tcMar>
          </w:tcPr>
          <w:p w14:paraId="39D99A1B" w14:textId="77777777" w:rsidR="00996AD7" w:rsidRDefault="00D96458">
            <w:pPr>
              <w:jc w:val="right"/>
              <w:textAlignment w:val="top"/>
            </w:pPr>
            <w:r>
              <w:rPr>
                <w:rFonts w:ascii="Arial" w:eastAsia="宋体" w:hAnsi="Arial" w:cs="Arial"/>
                <w:color w:val="0068B5"/>
                <w:sz w:val="18"/>
                <w:szCs w:val="18"/>
              </w:rPr>
              <w:t>(68)</w:t>
            </w:r>
          </w:p>
        </w:tc>
        <w:tc>
          <w:tcPr>
            <w:tcW w:w="0" w:type="auto"/>
            <w:shd w:val="clear" w:color="auto" w:fill="auto"/>
            <w:tcMar>
              <w:top w:w="40" w:type="dxa"/>
              <w:left w:w="0" w:type="dxa"/>
              <w:bottom w:w="40" w:type="dxa"/>
              <w:right w:w="20" w:type="dxa"/>
            </w:tcMar>
          </w:tcPr>
          <w:p w14:paraId="39D99A1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A1D"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9A1E" w14:textId="77777777" w:rsidR="00996AD7" w:rsidRDefault="00D96458">
            <w:pPr>
              <w:textAlignment w:val="top"/>
            </w:pPr>
            <w:r>
              <w:rPr>
                <w:rFonts w:ascii="Arial" w:eastAsia="宋体" w:hAnsi="Arial" w:cs="Arial"/>
                <w:color w:val="0068B5"/>
                <w:sz w:val="18"/>
                <w:szCs w:val="18"/>
              </w:rPr>
              <w:t>Other</w:t>
            </w:r>
          </w:p>
        </w:tc>
      </w:tr>
      <w:tr w:rsidR="00996AD7" w14:paraId="39D99A25"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39D99A20"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39D99A21" w14:textId="77777777" w:rsidR="00996AD7" w:rsidRDefault="00D96458">
            <w:pPr>
              <w:jc w:val="right"/>
              <w:textAlignment w:val="bottom"/>
            </w:pPr>
            <w:r>
              <w:rPr>
                <w:rFonts w:ascii="Arial" w:eastAsia="宋体" w:hAnsi="Arial" w:cs="Arial"/>
                <w:b/>
                <w:bCs/>
                <w:color w:val="262626"/>
                <w:sz w:val="18"/>
                <w:szCs w:val="18"/>
              </w:rPr>
              <w:t>32,264</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39D99A2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A23" w14:textId="77777777" w:rsidR="00996AD7" w:rsidRDefault="00996AD7">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39D99A24" w14:textId="77777777" w:rsidR="00996AD7" w:rsidRDefault="00D96458">
            <w:pPr>
              <w:textAlignment w:val="bottom"/>
            </w:pPr>
            <w:r>
              <w:rPr>
                <w:rFonts w:ascii="Arial" w:eastAsia="宋体" w:hAnsi="Arial" w:cs="Arial"/>
                <w:b/>
                <w:bCs/>
                <w:color w:val="262626"/>
                <w:sz w:val="18"/>
                <w:szCs w:val="18"/>
              </w:rPr>
              <w:t>YTD 2020 Gross Margin</w:t>
            </w:r>
          </w:p>
        </w:tc>
      </w:tr>
    </w:tbl>
    <w:p w14:paraId="39D99A26" w14:textId="77777777" w:rsidR="00996AD7" w:rsidRDefault="00996AD7">
      <w:pPr>
        <w:spacing w:after="120"/>
      </w:pPr>
    </w:p>
    <w:p w14:paraId="39D99A27" w14:textId="77777777" w:rsidR="00996AD7" w:rsidRDefault="00996AD7">
      <w:pPr>
        <w:spacing w:after="120"/>
      </w:pPr>
    </w:p>
    <w:p w14:paraId="39D99A28" w14:textId="77777777" w:rsidR="00996AD7" w:rsidRDefault="00996AD7">
      <w:pPr>
        <w:spacing w:after="120"/>
      </w:pPr>
    </w:p>
    <w:p w14:paraId="39D99A29" w14:textId="77777777" w:rsidR="00996AD7" w:rsidRDefault="00996AD7">
      <w:pPr>
        <w:spacing w:after="120"/>
      </w:pPr>
    </w:p>
    <w:p w14:paraId="39D99A2A" w14:textId="77777777" w:rsidR="00996AD7" w:rsidRDefault="00D96458">
      <w:pPr>
        <w:spacing w:after="120"/>
      </w:pPr>
      <w:r>
        <w:rPr>
          <w:rFonts w:ascii="Arial" w:eastAsia="宋体" w:hAnsi="Arial" w:cs="Arial"/>
          <w:i/>
          <w:iCs/>
          <w:color w:val="262626"/>
          <w:sz w:val="10"/>
          <w:szCs w:val="10"/>
        </w:rPr>
        <w:t xml:space="preserve">1 </w:t>
      </w:r>
      <w:r>
        <w:rPr>
          <w:rFonts w:ascii="Arial" w:eastAsia="宋体" w:hAnsi="Arial" w:cs="Arial"/>
          <w:i/>
          <w:iCs/>
          <w:color w:val="262626"/>
          <w:sz w:val="16"/>
          <w:szCs w:val="16"/>
        </w:rPr>
        <w:t>See "Non-GAAP Financial Measures" within MD&amp;A.</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996AD7" w14:paraId="39D99A34" w14:textId="77777777">
        <w:tc>
          <w:tcPr>
            <w:tcW w:w="50" w:type="pct"/>
            <w:shd w:val="clear" w:color="auto" w:fill="auto"/>
            <w:vAlign w:val="bottom"/>
          </w:tcPr>
          <w:p w14:paraId="39D99A2B" w14:textId="77777777" w:rsidR="00996AD7" w:rsidRDefault="00996AD7">
            <w:pPr>
              <w:rPr>
                <w:rFonts w:ascii="宋体"/>
              </w:rPr>
            </w:pPr>
          </w:p>
        </w:tc>
        <w:tc>
          <w:tcPr>
            <w:tcW w:w="212" w:type="pct"/>
            <w:shd w:val="clear" w:color="auto" w:fill="auto"/>
            <w:vAlign w:val="bottom"/>
          </w:tcPr>
          <w:p w14:paraId="39D99A2C" w14:textId="77777777" w:rsidR="00996AD7" w:rsidRDefault="00996AD7">
            <w:pPr>
              <w:rPr>
                <w:rFonts w:ascii="宋体"/>
              </w:rPr>
            </w:pPr>
          </w:p>
        </w:tc>
        <w:tc>
          <w:tcPr>
            <w:tcW w:w="5" w:type="pct"/>
            <w:shd w:val="clear" w:color="auto" w:fill="auto"/>
            <w:vAlign w:val="bottom"/>
          </w:tcPr>
          <w:p w14:paraId="39D99A2D" w14:textId="77777777" w:rsidR="00996AD7" w:rsidRDefault="00996AD7">
            <w:pPr>
              <w:rPr>
                <w:rFonts w:ascii="宋体"/>
              </w:rPr>
            </w:pPr>
          </w:p>
        </w:tc>
        <w:tc>
          <w:tcPr>
            <w:tcW w:w="50" w:type="pct"/>
            <w:shd w:val="clear" w:color="auto" w:fill="auto"/>
            <w:vAlign w:val="bottom"/>
          </w:tcPr>
          <w:p w14:paraId="39D99A2E" w14:textId="77777777" w:rsidR="00996AD7" w:rsidRDefault="00996AD7">
            <w:pPr>
              <w:rPr>
                <w:rFonts w:ascii="宋体"/>
              </w:rPr>
            </w:pPr>
          </w:p>
        </w:tc>
        <w:tc>
          <w:tcPr>
            <w:tcW w:w="2499" w:type="pct"/>
            <w:shd w:val="clear" w:color="auto" w:fill="auto"/>
            <w:vAlign w:val="bottom"/>
          </w:tcPr>
          <w:p w14:paraId="39D99A2F" w14:textId="77777777" w:rsidR="00996AD7" w:rsidRDefault="00996AD7">
            <w:pPr>
              <w:rPr>
                <w:rFonts w:ascii="宋体"/>
              </w:rPr>
            </w:pPr>
          </w:p>
        </w:tc>
        <w:tc>
          <w:tcPr>
            <w:tcW w:w="5" w:type="pct"/>
            <w:shd w:val="clear" w:color="auto" w:fill="auto"/>
            <w:vAlign w:val="bottom"/>
          </w:tcPr>
          <w:p w14:paraId="39D99A30" w14:textId="77777777" w:rsidR="00996AD7" w:rsidRDefault="00996AD7">
            <w:pPr>
              <w:rPr>
                <w:rFonts w:ascii="宋体"/>
              </w:rPr>
            </w:pPr>
          </w:p>
        </w:tc>
        <w:tc>
          <w:tcPr>
            <w:tcW w:w="50" w:type="pct"/>
            <w:shd w:val="clear" w:color="auto" w:fill="auto"/>
            <w:vAlign w:val="bottom"/>
          </w:tcPr>
          <w:p w14:paraId="39D99A31" w14:textId="77777777" w:rsidR="00996AD7" w:rsidRDefault="00996AD7">
            <w:pPr>
              <w:rPr>
                <w:rFonts w:ascii="宋体"/>
              </w:rPr>
            </w:pPr>
          </w:p>
        </w:tc>
        <w:tc>
          <w:tcPr>
            <w:tcW w:w="2122" w:type="pct"/>
            <w:shd w:val="clear" w:color="auto" w:fill="auto"/>
            <w:vAlign w:val="bottom"/>
          </w:tcPr>
          <w:p w14:paraId="39D99A32" w14:textId="77777777" w:rsidR="00996AD7" w:rsidRDefault="00996AD7">
            <w:pPr>
              <w:rPr>
                <w:rFonts w:ascii="宋体"/>
              </w:rPr>
            </w:pPr>
          </w:p>
        </w:tc>
        <w:tc>
          <w:tcPr>
            <w:tcW w:w="5" w:type="pct"/>
            <w:shd w:val="clear" w:color="auto" w:fill="auto"/>
            <w:vAlign w:val="bottom"/>
          </w:tcPr>
          <w:p w14:paraId="39D99A33" w14:textId="77777777" w:rsidR="00996AD7" w:rsidRDefault="00996AD7">
            <w:pPr>
              <w:rPr>
                <w:rFonts w:ascii="宋体"/>
              </w:rPr>
            </w:pPr>
          </w:p>
        </w:tc>
      </w:tr>
      <w:tr w:rsidR="00996AD7" w14:paraId="39D99A3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A35"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15" wp14:editId="39D9A416">
                  <wp:extent cx="304800" cy="304800"/>
                  <wp:effectExtent l="0" t="0" r="0" b="0"/>
                  <wp:docPr id="37" name="图片 12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1"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A36"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A37" w14:textId="77777777" w:rsidR="00996AD7" w:rsidRDefault="00D96458">
            <w:pPr>
              <w:jc w:val="right"/>
              <w:textAlignment w:val="center"/>
            </w:pPr>
            <w:r>
              <w:rPr>
                <w:rFonts w:ascii="Arial" w:eastAsia="宋体" w:hAnsi="Arial" w:cs="Arial"/>
                <w:color w:val="262626"/>
                <w:sz w:val="16"/>
                <w:szCs w:val="16"/>
              </w:rPr>
              <w:t>34</w:t>
            </w:r>
          </w:p>
        </w:tc>
      </w:tr>
    </w:tbl>
    <w:p w14:paraId="39D99A39" w14:textId="77777777" w:rsidR="00996AD7" w:rsidRDefault="00D96458">
      <w:r>
        <w:pict w14:anchorId="39D9A417">
          <v:rect id="_x0000_i1060" style="width:415.3pt;height:1.5pt" o:hralign="center" o:hrstd="t" o:hr="t" fillcolor="#a0a0a0" stroked="f"/>
        </w:pict>
      </w:r>
    </w:p>
    <w:p w14:paraId="39D99A3A" w14:textId="77777777" w:rsidR="00996AD7" w:rsidRDefault="00D96458">
      <w:pPr>
        <w:spacing w:after="180"/>
        <w:jc w:val="right"/>
      </w:pPr>
      <w:hyperlink r:id="rId61" w:anchor="i94e6cc3aa83643b8b968bd5bab038338_7" w:history="1">
        <w:r>
          <w:rPr>
            <w:rStyle w:val="a5"/>
            <w:rFonts w:ascii="Arial" w:eastAsia="宋体" w:hAnsi="Arial" w:cs="Arial"/>
            <w:b/>
            <w:bCs/>
            <w:color w:val="0068B5"/>
            <w:sz w:val="16"/>
            <w:szCs w:val="16"/>
          </w:rPr>
          <w:t>Table of Contents</w:t>
        </w:r>
      </w:hyperlink>
    </w:p>
    <w:p w14:paraId="39D99A3B" w14:textId="77777777" w:rsidR="00996AD7" w:rsidRDefault="00996AD7">
      <w:pPr>
        <w:spacing w:after="180"/>
        <w:jc w:val="right"/>
      </w:pPr>
    </w:p>
    <w:p w14:paraId="39D99A3C" w14:textId="77777777" w:rsidR="00996AD7" w:rsidRDefault="00D96458">
      <w:pPr>
        <w:spacing w:after="180"/>
      </w:pPr>
      <w:r>
        <w:rPr>
          <w:rFonts w:ascii="Arial" w:eastAsia="宋体" w:hAnsi="Arial" w:cs="Arial"/>
          <w:color w:val="0068B5"/>
          <w:sz w:val="28"/>
          <w:szCs w:val="28"/>
        </w:rPr>
        <w:t>Operating Expenses</w:t>
      </w:r>
    </w:p>
    <w:p w14:paraId="39D99A3D" w14:textId="77777777" w:rsidR="00996AD7" w:rsidRDefault="00D96458">
      <w:pPr>
        <w:spacing w:after="180"/>
      </w:pPr>
      <w:r>
        <w:rPr>
          <w:rFonts w:ascii="Arial" w:eastAsia="宋体" w:hAnsi="Arial" w:cs="Arial"/>
          <w:color w:val="262626"/>
          <w:sz w:val="18"/>
          <w:szCs w:val="18"/>
        </w:rPr>
        <w:t>Total R&amp;D and MG&amp;A expenses for Q3 2021 were $5.5 billion, up 16%</w:t>
      </w:r>
      <w:r>
        <w:rPr>
          <w:rFonts w:ascii="Arial" w:eastAsia="宋体" w:hAnsi="Arial" w:cs="Arial"/>
          <w:color w:val="262626"/>
          <w:sz w:val="18"/>
          <w:szCs w:val="18"/>
        </w:rPr>
        <w:t xml:space="preserve"> from Q3 2020, and $15.7 billion for YTD 2021, up 10% from YTD 2020. These expenses represent 28.5% of revenue for Q3 2021 and 25.7% of revenue for Q3 2020, and 26.9% of revenue for YTD 2021 and 24.7% of revenue for YTD 2020. </w:t>
      </w:r>
    </w:p>
    <w:tbl>
      <w:tblPr>
        <w:tblW w:w="4795" w:type="pct"/>
        <w:jc w:val="center"/>
        <w:tblCellMar>
          <w:top w:w="15" w:type="dxa"/>
          <w:left w:w="15" w:type="dxa"/>
          <w:bottom w:w="15" w:type="dxa"/>
          <w:right w:w="15" w:type="dxa"/>
        </w:tblCellMar>
        <w:tblLook w:val="04A0" w:firstRow="1" w:lastRow="0" w:firstColumn="1" w:lastColumn="0" w:noHBand="0" w:noVBand="1"/>
      </w:tblPr>
      <w:tblGrid>
        <w:gridCol w:w="36"/>
        <w:gridCol w:w="125"/>
        <w:gridCol w:w="36"/>
        <w:gridCol w:w="52"/>
        <w:gridCol w:w="3699"/>
        <w:gridCol w:w="36"/>
        <w:gridCol w:w="36"/>
        <w:gridCol w:w="149"/>
        <w:gridCol w:w="36"/>
        <w:gridCol w:w="52"/>
        <w:gridCol w:w="3701"/>
        <w:gridCol w:w="36"/>
      </w:tblGrid>
      <w:tr w:rsidR="00996AD7" w14:paraId="39D99A4A" w14:textId="77777777">
        <w:trPr>
          <w:jc w:val="center"/>
        </w:trPr>
        <w:tc>
          <w:tcPr>
            <w:tcW w:w="5" w:type="pct"/>
            <w:shd w:val="clear" w:color="auto" w:fill="auto"/>
            <w:vAlign w:val="bottom"/>
          </w:tcPr>
          <w:p w14:paraId="39D99A3E" w14:textId="77777777" w:rsidR="00996AD7" w:rsidRDefault="00996AD7">
            <w:pPr>
              <w:rPr>
                <w:rFonts w:ascii="宋体"/>
              </w:rPr>
            </w:pPr>
          </w:p>
        </w:tc>
        <w:tc>
          <w:tcPr>
            <w:tcW w:w="96" w:type="pct"/>
            <w:shd w:val="clear" w:color="auto" w:fill="auto"/>
            <w:vAlign w:val="bottom"/>
          </w:tcPr>
          <w:p w14:paraId="39D99A3F" w14:textId="77777777" w:rsidR="00996AD7" w:rsidRDefault="00996AD7">
            <w:pPr>
              <w:rPr>
                <w:rFonts w:ascii="宋体"/>
              </w:rPr>
            </w:pPr>
          </w:p>
        </w:tc>
        <w:tc>
          <w:tcPr>
            <w:tcW w:w="5" w:type="pct"/>
            <w:shd w:val="clear" w:color="auto" w:fill="auto"/>
            <w:vAlign w:val="bottom"/>
          </w:tcPr>
          <w:p w14:paraId="39D99A40" w14:textId="77777777" w:rsidR="00996AD7" w:rsidRDefault="00996AD7">
            <w:pPr>
              <w:rPr>
                <w:rFonts w:ascii="宋体"/>
              </w:rPr>
            </w:pPr>
          </w:p>
        </w:tc>
        <w:tc>
          <w:tcPr>
            <w:tcW w:w="50" w:type="pct"/>
            <w:shd w:val="clear" w:color="auto" w:fill="auto"/>
            <w:vAlign w:val="bottom"/>
          </w:tcPr>
          <w:p w14:paraId="39D99A41" w14:textId="77777777" w:rsidR="00996AD7" w:rsidRDefault="00996AD7">
            <w:pPr>
              <w:rPr>
                <w:rFonts w:ascii="宋体"/>
              </w:rPr>
            </w:pPr>
          </w:p>
        </w:tc>
        <w:tc>
          <w:tcPr>
            <w:tcW w:w="2330" w:type="pct"/>
            <w:shd w:val="clear" w:color="auto" w:fill="auto"/>
            <w:vAlign w:val="bottom"/>
          </w:tcPr>
          <w:p w14:paraId="39D99A42" w14:textId="77777777" w:rsidR="00996AD7" w:rsidRDefault="00996AD7">
            <w:pPr>
              <w:rPr>
                <w:rFonts w:ascii="宋体"/>
              </w:rPr>
            </w:pPr>
          </w:p>
        </w:tc>
        <w:tc>
          <w:tcPr>
            <w:tcW w:w="5" w:type="pct"/>
            <w:shd w:val="clear" w:color="auto" w:fill="auto"/>
            <w:vAlign w:val="bottom"/>
          </w:tcPr>
          <w:p w14:paraId="39D99A43" w14:textId="77777777" w:rsidR="00996AD7" w:rsidRDefault="00996AD7">
            <w:pPr>
              <w:rPr>
                <w:rFonts w:ascii="宋体"/>
              </w:rPr>
            </w:pPr>
          </w:p>
        </w:tc>
        <w:tc>
          <w:tcPr>
            <w:tcW w:w="5" w:type="pct"/>
            <w:shd w:val="clear" w:color="auto" w:fill="auto"/>
            <w:vAlign w:val="bottom"/>
          </w:tcPr>
          <w:p w14:paraId="39D99A44" w14:textId="77777777" w:rsidR="00996AD7" w:rsidRDefault="00996AD7">
            <w:pPr>
              <w:rPr>
                <w:rFonts w:ascii="宋体"/>
              </w:rPr>
            </w:pPr>
          </w:p>
        </w:tc>
        <w:tc>
          <w:tcPr>
            <w:tcW w:w="111" w:type="pct"/>
            <w:shd w:val="clear" w:color="auto" w:fill="auto"/>
            <w:vAlign w:val="bottom"/>
          </w:tcPr>
          <w:p w14:paraId="39D99A45" w14:textId="77777777" w:rsidR="00996AD7" w:rsidRDefault="00996AD7">
            <w:pPr>
              <w:rPr>
                <w:rFonts w:ascii="宋体"/>
              </w:rPr>
            </w:pPr>
          </w:p>
        </w:tc>
        <w:tc>
          <w:tcPr>
            <w:tcW w:w="5" w:type="pct"/>
            <w:shd w:val="clear" w:color="auto" w:fill="auto"/>
            <w:vAlign w:val="bottom"/>
          </w:tcPr>
          <w:p w14:paraId="39D99A46" w14:textId="77777777" w:rsidR="00996AD7" w:rsidRDefault="00996AD7">
            <w:pPr>
              <w:rPr>
                <w:rFonts w:ascii="宋体"/>
              </w:rPr>
            </w:pPr>
          </w:p>
        </w:tc>
        <w:tc>
          <w:tcPr>
            <w:tcW w:w="50" w:type="pct"/>
            <w:shd w:val="clear" w:color="auto" w:fill="auto"/>
            <w:vAlign w:val="bottom"/>
          </w:tcPr>
          <w:p w14:paraId="39D99A47" w14:textId="77777777" w:rsidR="00996AD7" w:rsidRDefault="00996AD7">
            <w:pPr>
              <w:rPr>
                <w:rFonts w:ascii="宋体"/>
              </w:rPr>
            </w:pPr>
          </w:p>
        </w:tc>
        <w:tc>
          <w:tcPr>
            <w:tcW w:w="2331" w:type="pct"/>
            <w:shd w:val="clear" w:color="auto" w:fill="auto"/>
            <w:vAlign w:val="bottom"/>
          </w:tcPr>
          <w:p w14:paraId="39D99A48" w14:textId="77777777" w:rsidR="00996AD7" w:rsidRDefault="00996AD7">
            <w:pPr>
              <w:rPr>
                <w:rFonts w:ascii="宋体"/>
              </w:rPr>
            </w:pPr>
          </w:p>
        </w:tc>
        <w:tc>
          <w:tcPr>
            <w:tcW w:w="5" w:type="pct"/>
            <w:shd w:val="clear" w:color="auto" w:fill="auto"/>
            <w:vAlign w:val="bottom"/>
          </w:tcPr>
          <w:p w14:paraId="39D99A49" w14:textId="77777777" w:rsidR="00996AD7" w:rsidRDefault="00996AD7">
            <w:pPr>
              <w:rPr>
                <w:rFonts w:ascii="宋体"/>
              </w:rPr>
            </w:pPr>
          </w:p>
        </w:tc>
      </w:tr>
      <w:tr w:rsidR="00996AD7" w14:paraId="39D99A4F" w14:textId="77777777">
        <w:trPr>
          <w:jc w:val="center"/>
        </w:trPr>
        <w:tc>
          <w:tcPr>
            <w:tcW w:w="0" w:type="auto"/>
            <w:gridSpan w:val="3"/>
            <w:shd w:val="clear" w:color="auto" w:fill="auto"/>
            <w:tcMar>
              <w:top w:w="0" w:type="dxa"/>
              <w:left w:w="20" w:type="dxa"/>
              <w:bottom w:w="0" w:type="dxa"/>
              <w:right w:w="20" w:type="dxa"/>
            </w:tcMar>
            <w:vAlign w:val="bottom"/>
          </w:tcPr>
          <w:p w14:paraId="39D99A4B"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A4C" w14:textId="77777777" w:rsidR="00996AD7" w:rsidRDefault="00D96458">
            <w:pPr>
              <w:jc w:val="center"/>
              <w:textAlignment w:val="bottom"/>
            </w:pPr>
            <w:r>
              <w:rPr>
                <w:rFonts w:ascii="Arial" w:eastAsia="宋体" w:hAnsi="Arial" w:cs="Arial"/>
                <w:color w:val="0068B5"/>
                <w:sz w:val="20"/>
                <w:szCs w:val="20"/>
              </w:rPr>
              <w:t>Research and Development $B</w:t>
            </w:r>
          </w:p>
        </w:tc>
        <w:tc>
          <w:tcPr>
            <w:tcW w:w="0" w:type="auto"/>
            <w:gridSpan w:val="3"/>
            <w:shd w:val="clear" w:color="auto" w:fill="auto"/>
            <w:tcMar>
              <w:top w:w="0" w:type="dxa"/>
              <w:left w:w="20" w:type="dxa"/>
              <w:bottom w:w="0" w:type="dxa"/>
              <w:right w:w="20" w:type="dxa"/>
            </w:tcMar>
            <w:vAlign w:val="bottom"/>
          </w:tcPr>
          <w:p w14:paraId="39D99A4D"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A4E" w14:textId="77777777" w:rsidR="00996AD7" w:rsidRDefault="00D96458">
            <w:pPr>
              <w:jc w:val="center"/>
              <w:textAlignment w:val="bottom"/>
            </w:pPr>
            <w:r>
              <w:rPr>
                <w:rFonts w:ascii="Arial" w:eastAsia="宋体" w:hAnsi="Arial" w:cs="Arial"/>
                <w:color w:val="0068B5"/>
                <w:sz w:val="20"/>
                <w:szCs w:val="20"/>
              </w:rPr>
              <w:t>Marketing, General, and Administrative $B</w:t>
            </w:r>
          </w:p>
        </w:tc>
      </w:tr>
      <w:tr w:rsidR="00996AD7" w14:paraId="39D99A58" w14:textId="77777777">
        <w:trPr>
          <w:jc w:val="center"/>
          <w:hidden/>
        </w:trPr>
        <w:tc>
          <w:tcPr>
            <w:tcW w:w="0" w:type="auto"/>
            <w:gridSpan w:val="3"/>
            <w:shd w:val="clear" w:color="auto" w:fill="auto"/>
            <w:vAlign w:val="bottom"/>
          </w:tcPr>
          <w:p w14:paraId="39D99A50" w14:textId="77777777" w:rsidR="00996AD7" w:rsidRDefault="00996AD7">
            <w:pPr>
              <w:rPr>
                <w:rFonts w:ascii="宋体"/>
                <w:vanish/>
              </w:rPr>
            </w:pPr>
          </w:p>
        </w:tc>
        <w:tc>
          <w:tcPr>
            <w:tcW w:w="0" w:type="auto"/>
            <w:gridSpan w:val="3"/>
            <w:shd w:val="clear" w:color="auto" w:fill="auto"/>
            <w:vAlign w:val="bottom"/>
          </w:tcPr>
          <w:p w14:paraId="39D99A51" w14:textId="77777777" w:rsidR="00996AD7" w:rsidRDefault="00996AD7">
            <w:pPr>
              <w:rPr>
                <w:rFonts w:ascii="宋体"/>
                <w:vanish/>
              </w:rPr>
            </w:pPr>
          </w:p>
        </w:tc>
        <w:tc>
          <w:tcPr>
            <w:tcW w:w="0" w:type="auto"/>
            <w:shd w:val="clear" w:color="auto" w:fill="auto"/>
            <w:vAlign w:val="bottom"/>
          </w:tcPr>
          <w:p w14:paraId="39D99A52" w14:textId="77777777" w:rsidR="00996AD7" w:rsidRDefault="00996AD7">
            <w:pPr>
              <w:rPr>
                <w:rFonts w:ascii="宋体"/>
              </w:rPr>
            </w:pPr>
          </w:p>
        </w:tc>
        <w:tc>
          <w:tcPr>
            <w:tcW w:w="0" w:type="auto"/>
            <w:shd w:val="clear" w:color="auto" w:fill="auto"/>
            <w:vAlign w:val="bottom"/>
          </w:tcPr>
          <w:p w14:paraId="39D99A53" w14:textId="77777777" w:rsidR="00996AD7" w:rsidRDefault="00996AD7">
            <w:pPr>
              <w:rPr>
                <w:rFonts w:ascii="宋体"/>
              </w:rPr>
            </w:pPr>
          </w:p>
        </w:tc>
        <w:tc>
          <w:tcPr>
            <w:tcW w:w="0" w:type="auto"/>
            <w:shd w:val="clear" w:color="auto" w:fill="auto"/>
            <w:vAlign w:val="bottom"/>
          </w:tcPr>
          <w:p w14:paraId="39D99A54" w14:textId="77777777" w:rsidR="00996AD7" w:rsidRDefault="00996AD7">
            <w:pPr>
              <w:rPr>
                <w:rFonts w:ascii="宋体"/>
              </w:rPr>
            </w:pPr>
          </w:p>
        </w:tc>
        <w:tc>
          <w:tcPr>
            <w:tcW w:w="0" w:type="auto"/>
            <w:shd w:val="clear" w:color="auto" w:fill="auto"/>
            <w:vAlign w:val="bottom"/>
          </w:tcPr>
          <w:p w14:paraId="39D99A55" w14:textId="77777777" w:rsidR="00996AD7" w:rsidRDefault="00996AD7">
            <w:pPr>
              <w:rPr>
                <w:rFonts w:ascii="宋体"/>
              </w:rPr>
            </w:pPr>
          </w:p>
        </w:tc>
        <w:tc>
          <w:tcPr>
            <w:tcW w:w="0" w:type="auto"/>
            <w:shd w:val="clear" w:color="auto" w:fill="auto"/>
            <w:vAlign w:val="bottom"/>
          </w:tcPr>
          <w:p w14:paraId="39D99A56" w14:textId="77777777" w:rsidR="00996AD7" w:rsidRDefault="00996AD7">
            <w:pPr>
              <w:rPr>
                <w:rFonts w:ascii="宋体"/>
              </w:rPr>
            </w:pPr>
          </w:p>
        </w:tc>
        <w:tc>
          <w:tcPr>
            <w:tcW w:w="0" w:type="auto"/>
            <w:shd w:val="clear" w:color="auto" w:fill="auto"/>
            <w:vAlign w:val="bottom"/>
          </w:tcPr>
          <w:p w14:paraId="39D99A57" w14:textId="77777777" w:rsidR="00996AD7" w:rsidRDefault="00996AD7">
            <w:pPr>
              <w:rPr>
                <w:rFonts w:ascii="宋体"/>
              </w:rPr>
            </w:pPr>
          </w:p>
        </w:tc>
      </w:tr>
    </w:tbl>
    <w:p w14:paraId="39D99A59" w14:textId="77777777" w:rsidR="00996AD7" w:rsidRDefault="00D96458">
      <w:pPr>
        <w:spacing w:after="300"/>
        <w:jc w:val="center"/>
      </w:pPr>
      <w:r>
        <w:rPr>
          <w:rFonts w:ascii="Arial" w:eastAsia="宋体" w:hAnsi="Arial" w:cs="Arial"/>
          <w:color w:val="262626"/>
          <w:sz w:val="18"/>
          <w:szCs w:val="18"/>
        </w:rPr>
        <w:t>(Percentages indicate expenses as a percentage of total revenue)</w:t>
      </w:r>
    </w:p>
    <w:p w14:paraId="39D99A5A" w14:textId="77777777" w:rsidR="00996AD7" w:rsidRDefault="00D96458">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18" wp14:editId="39D9A419">
            <wp:extent cx="304800" cy="304800"/>
            <wp:effectExtent l="0" t="0" r="0" b="0"/>
            <wp:docPr id="39" name="图片 123"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3" descr="IMG_30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Viewer5_files/intc-20210</w:instrText>
      </w:r>
      <w:r>
        <w:rPr>
          <w:rFonts w:ascii="宋体" w:eastAsia="宋体" w:hAnsi="宋体" w:cs="宋体"/>
        </w:rPr>
        <w:instrText xml:space="preserve">925_g22.jpg"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1A" wp14:editId="39D9A41B">
            <wp:extent cx="304800" cy="304800"/>
            <wp:effectExtent l="0" t="0" r="0" b="0"/>
            <wp:docPr id="40" name="图片 124"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4" descr="IMG_31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1C" wp14:editId="39D9A41D">
            <wp:extent cx="304800" cy="304800"/>
            <wp:effectExtent l="0" t="0" r="0" b="0"/>
            <wp:docPr id="41" name="图片 125"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5" descr="IMG_31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w:instrText>
      </w:r>
      <w:r>
        <w:rPr>
          <w:rFonts w:ascii="宋体" w:eastAsia="宋体" w:hAnsi="宋体" w:cs="宋体"/>
        </w:rPr>
        <w:instrText xml:space="preserve">Inline XBRL Viewer5_files/intc-20210925_g24.jpg"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1E" wp14:editId="39D9A41F">
            <wp:extent cx="304800" cy="304800"/>
            <wp:effectExtent l="0" t="0" r="0" b="0"/>
            <wp:docPr id="42" name="图片 126"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6" descr="IMG_31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A5E" w14:textId="77777777">
        <w:tc>
          <w:tcPr>
            <w:tcW w:w="50" w:type="pct"/>
            <w:shd w:val="clear" w:color="auto" w:fill="auto"/>
            <w:vAlign w:val="bottom"/>
          </w:tcPr>
          <w:p w14:paraId="39D99A5B" w14:textId="77777777" w:rsidR="00996AD7" w:rsidRDefault="00996AD7">
            <w:pPr>
              <w:rPr>
                <w:rFonts w:ascii="宋体"/>
              </w:rPr>
            </w:pPr>
          </w:p>
        </w:tc>
        <w:tc>
          <w:tcPr>
            <w:tcW w:w="4945" w:type="pct"/>
            <w:shd w:val="clear" w:color="auto" w:fill="auto"/>
            <w:vAlign w:val="bottom"/>
          </w:tcPr>
          <w:p w14:paraId="39D99A5C" w14:textId="77777777" w:rsidR="00996AD7" w:rsidRDefault="00996AD7">
            <w:pPr>
              <w:rPr>
                <w:rFonts w:ascii="宋体"/>
              </w:rPr>
            </w:pPr>
          </w:p>
        </w:tc>
        <w:tc>
          <w:tcPr>
            <w:tcW w:w="5" w:type="pct"/>
            <w:shd w:val="clear" w:color="auto" w:fill="auto"/>
            <w:vAlign w:val="bottom"/>
          </w:tcPr>
          <w:p w14:paraId="39D99A5D" w14:textId="77777777" w:rsidR="00996AD7" w:rsidRDefault="00996AD7">
            <w:pPr>
              <w:rPr>
                <w:rFonts w:ascii="宋体"/>
              </w:rPr>
            </w:pPr>
          </w:p>
        </w:tc>
      </w:tr>
      <w:tr w:rsidR="00996AD7" w14:paraId="39D99A60"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A5F" w14:textId="77777777" w:rsidR="00996AD7" w:rsidRDefault="00D96458">
            <w:pPr>
              <w:textAlignment w:val="bottom"/>
            </w:pPr>
            <w:r>
              <w:rPr>
                <w:rFonts w:ascii="Arial" w:eastAsia="宋体" w:hAnsi="Arial" w:cs="Arial"/>
                <w:color w:val="0068B5"/>
                <w:sz w:val="20"/>
                <w:szCs w:val="20"/>
              </w:rPr>
              <w:t>Research and Development</w:t>
            </w:r>
          </w:p>
        </w:tc>
      </w:tr>
    </w:tbl>
    <w:p w14:paraId="39D99A61" w14:textId="77777777" w:rsidR="00996AD7" w:rsidRDefault="00D96458">
      <w:pPr>
        <w:spacing w:before="180" w:after="120"/>
      </w:pPr>
      <w:r>
        <w:rPr>
          <w:rFonts w:ascii="Arial" w:eastAsia="宋体" w:hAnsi="Arial" w:cs="Arial"/>
          <w:color w:val="0068B5"/>
          <w:sz w:val="20"/>
          <w:szCs w:val="20"/>
        </w:rPr>
        <w:t>Q3 2021 vs. Q3 2020</w:t>
      </w:r>
      <w:r>
        <w:rPr>
          <w:rFonts w:ascii="Arial" w:eastAsia="宋体" w:hAnsi="Arial" w:cs="Arial"/>
          <w:color w:val="0068B5"/>
          <w:sz w:val="18"/>
          <w:szCs w:val="18"/>
        </w:rPr>
        <w:t xml:space="preserve"> </w:t>
      </w:r>
    </w:p>
    <w:tbl>
      <w:tblPr>
        <w:tblW w:w="2548" w:type="pct"/>
        <w:tblCellMar>
          <w:top w:w="15" w:type="dxa"/>
          <w:left w:w="15" w:type="dxa"/>
          <w:bottom w:w="15" w:type="dxa"/>
          <w:right w:w="15" w:type="dxa"/>
        </w:tblCellMar>
        <w:tblLook w:val="04A0" w:firstRow="1" w:lastRow="0" w:firstColumn="1" w:lastColumn="0" w:noHBand="0" w:noVBand="1"/>
      </w:tblPr>
      <w:tblGrid>
        <w:gridCol w:w="38"/>
        <w:gridCol w:w="109"/>
        <w:gridCol w:w="38"/>
        <w:gridCol w:w="37"/>
        <w:gridCol w:w="3989"/>
        <w:gridCol w:w="37"/>
      </w:tblGrid>
      <w:tr w:rsidR="00996AD7" w14:paraId="39D99A68" w14:textId="77777777">
        <w:tc>
          <w:tcPr>
            <w:tcW w:w="50" w:type="pct"/>
            <w:shd w:val="clear" w:color="auto" w:fill="auto"/>
            <w:vAlign w:val="bottom"/>
          </w:tcPr>
          <w:p w14:paraId="39D99A62" w14:textId="77777777" w:rsidR="00996AD7" w:rsidRDefault="00996AD7">
            <w:pPr>
              <w:rPr>
                <w:rFonts w:ascii="宋体"/>
              </w:rPr>
            </w:pPr>
          </w:p>
        </w:tc>
        <w:tc>
          <w:tcPr>
            <w:tcW w:w="159" w:type="pct"/>
            <w:shd w:val="clear" w:color="auto" w:fill="auto"/>
            <w:vAlign w:val="bottom"/>
          </w:tcPr>
          <w:p w14:paraId="39D99A63" w14:textId="77777777" w:rsidR="00996AD7" w:rsidRDefault="00996AD7">
            <w:pPr>
              <w:rPr>
                <w:rFonts w:ascii="宋体"/>
              </w:rPr>
            </w:pPr>
          </w:p>
        </w:tc>
        <w:tc>
          <w:tcPr>
            <w:tcW w:w="5" w:type="pct"/>
            <w:shd w:val="clear" w:color="auto" w:fill="auto"/>
            <w:vAlign w:val="bottom"/>
          </w:tcPr>
          <w:p w14:paraId="39D99A64" w14:textId="77777777" w:rsidR="00996AD7" w:rsidRDefault="00996AD7">
            <w:pPr>
              <w:rPr>
                <w:rFonts w:ascii="宋体"/>
              </w:rPr>
            </w:pPr>
          </w:p>
        </w:tc>
        <w:tc>
          <w:tcPr>
            <w:tcW w:w="50" w:type="pct"/>
            <w:shd w:val="clear" w:color="auto" w:fill="auto"/>
            <w:vAlign w:val="bottom"/>
          </w:tcPr>
          <w:p w14:paraId="39D99A65" w14:textId="77777777" w:rsidR="00996AD7" w:rsidRDefault="00996AD7">
            <w:pPr>
              <w:rPr>
                <w:rFonts w:ascii="宋体"/>
              </w:rPr>
            </w:pPr>
          </w:p>
        </w:tc>
        <w:tc>
          <w:tcPr>
            <w:tcW w:w="4730" w:type="pct"/>
            <w:shd w:val="clear" w:color="auto" w:fill="auto"/>
            <w:vAlign w:val="bottom"/>
          </w:tcPr>
          <w:p w14:paraId="39D99A66" w14:textId="77777777" w:rsidR="00996AD7" w:rsidRDefault="00996AD7">
            <w:pPr>
              <w:rPr>
                <w:rFonts w:ascii="宋体"/>
              </w:rPr>
            </w:pPr>
          </w:p>
        </w:tc>
        <w:tc>
          <w:tcPr>
            <w:tcW w:w="5" w:type="pct"/>
            <w:shd w:val="clear" w:color="auto" w:fill="auto"/>
            <w:vAlign w:val="bottom"/>
          </w:tcPr>
          <w:p w14:paraId="39D99A67" w14:textId="77777777" w:rsidR="00996AD7" w:rsidRDefault="00996AD7">
            <w:pPr>
              <w:rPr>
                <w:rFonts w:ascii="宋体"/>
              </w:rPr>
            </w:pPr>
          </w:p>
        </w:tc>
      </w:tr>
      <w:tr w:rsidR="00996AD7" w14:paraId="39D99A6A" w14:textId="77777777">
        <w:tc>
          <w:tcPr>
            <w:tcW w:w="0" w:type="auto"/>
            <w:gridSpan w:val="6"/>
            <w:shd w:val="clear" w:color="auto" w:fill="auto"/>
            <w:tcMar>
              <w:top w:w="40" w:type="dxa"/>
              <w:left w:w="20" w:type="dxa"/>
              <w:bottom w:w="40" w:type="dxa"/>
              <w:right w:w="20" w:type="dxa"/>
            </w:tcMar>
            <w:vAlign w:val="bottom"/>
          </w:tcPr>
          <w:p w14:paraId="39D99A69" w14:textId="77777777" w:rsidR="00996AD7" w:rsidRDefault="00D96458">
            <w:pPr>
              <w:textAlignment w:val="bottom"/>
            </w:pPr>
            <w:r>
              <w:rPr>
                <w:rFonts w:ascii="Arial" w:eastAsia="宋体" w:hAnsi="Arial" w:cs="Arial"/>
                <w:color w:val="262626"/>
                <w:sz w:val="18"/>
                <w:szCs w:val="18"/>
              </w:rPr>
              <w:t>R&amp;D increased by $531 million, or 16.2%, driven by the following:</w:t>
            </w:r>
          </w:p>
        </w:tc>
      </w:tr>
      <w:tr w:rsidR="00996AD7" w14:paraId="39D99A6D" w14:textId="77777777">
        <w:trPr>
          <w:trHeight w:val="100"/>
        </w:trPr>
        <w:tc>
          <w:tcPr>
            <w:tcW w:w="0" w:type="auto"/>
            <w:gridSpan w:val="3"/>
            <w:shd w:val="clear" w:color="auto" w:fill="auto"/>
            <w:tcMar>
              <w:top w:w="0" w:type="dxa"/>
              <w:left w:w="20" w:type="dxa"/>
              <w:bottom w:w="0" w:type="dxa"/>
              <w:right w:w="20" w:type="dxa"/>
            </w:tcMar>
            <w:vAlign w:val="bottom"/>
          </w:tcPr>
          <w:p w14:paraId="39D99A6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A6C" w14:textId="77777777" w:rsidR="00996AD7" w:rsidRDefault="00996AD7">
            <w:pPr>
              <w:rPr>
                <w:rFonts w:ascii="宋体"/>
              </w:rPr>
            </w:pPr>
          </w:p>
        </w:tc>
      </w:tr>
      <w:tr w:rsidR="00996AD7" w14:paraId="39D99A70" w14:textId="77777777">
        <w:tc>
          <w:tcPr>
            <w:tcW w:w="0" w:type="auto"/>
            <w:gridSpan w:val="3"/>
            <w:shd w:val="clear" w:color="auto" w:fill="FFFFFF"/>
            <w:tcMar>
              <w:top w:w="40" w:type="dxa"/>
              <w:left w:w="20" w:type="dxa"/>
              <w:bottom w:w="40" w:type="dxa"/>
              <w:right w:w="20" w:type="dxa"/>
            </w:tcMar>
            <w:vAlign w:val="bottom"/>
          </w:tcPr>
          <w:p w14:paraId="39D99A6E" w14:textId="77777777" w:rsidR="00996AD7" w:rsidRDefault="00D96458">
            <w:pPr>
              <w:jc w:val="center"/>
              <w:textAlignment w:val="bottom"/>
            </w:pPr>
            <w:r>
              <w:rPr>
                <w:rFonts w:ascii="Arial" w:eastAsia="宋体" w:hAnsi="Arial" w:cs="Arial"/>
                <w:b/>
                <w:bCs/>
                <w:color w:val="00A3F6"/>
                <w:sz w:val="18"/>
                <w:szCs w:val="18"/>
              </w:rPr>
              <w:t>+</w:t>
            </w:r>
          </w:p>
        </w:tc>
        <w:tc>
          <w:tcPr>
            <w:tcW w:w="0" w:type="auto"/>
            <w:gridSpan w:val="3"/>
            <w:shd w:val="clear" w:color="auto" w:fill="FFFFFF"/>
            <w:tcMar>
              <w:top w:w="40" w:type="dxa"/>
              <w:left w:w="20" w:type="dxa"/>
              <w:bottom w:w="40" w:type="dxa"/>
              <w:right w:w="20" w:type="dxa"/>
            </w:tcMar>
            <w:vAlign w:val="bottom"/>
          </w:tcPr>
          <w:p w14:paraId="39D99A6F" w14:textId="77777777" w:rsidR="00996AD7" w:rsidRDefault="00D96458">
            <w:pPr>
              <w:textAlignment w:val="bottom"/>
            </w:pPr>
            <w:r>
              <w:rPr>
                <w:rFonts w:ascii="Arial" w:eastAsia="宋体" w:hAnsi="Arial" w:cs="Arial"/>
                <w:color w:val="262626"/>
                <w:sz w:val="18"/>
                <w:szCs w:val="18"/>
              </w:rPr>
              <w:t>Incentive-based cash compensation</w:t>
            </w:r>
          </w:p>
        </w:tc>
      </w:tr>
      <w:tr w:rsidR="00996AD7" w14:paraId="39D99A73" w14:textId="77777777">
        <w:tc>
          <w:tcPr>
            <w:tcW w:w="0" w:type="auto"/>
            <w:gridSpan w:val="3"/>
            <w:shd w:val="clear" w:color="auto" w:fill="FFFFFF"/>
            <w:tcMar>
              <w:top w:w="40" w:type="dxa"/>
              <w:left w:w="20" w:type="dxa"/>
              <w:bottom w:w="40" w:type="dxa"/>
              <w:right w:w="20" w:type="dxa"/>
            </w:tcMar>
            <w:vAlign w:val="bottom"/>
          </w:tcPr>
          <w:p w14:paraId="39D99A71" w14:textId="77777777" w:rsidR="00996AD7" w:rsidRDefault="00D96458">
            <w:pPr>
              <w:jc w:val="center"/>
              <w:textAlignment w:val="bottom"/>
            </w:pPr>
            <w:r>
              <w:rPr>
                <w:rFonts w:ascii="Arial" w:eastAsia="宋体" w:hAnsi="Arial" w:cs="Arial"/>
                <w:b/>
                <w:bCs/>
                <w:color w:val="00A3F6"/>
                <w:sz w:val="18"/>
                <w:szCs w:val="18"/>
              </w:rPr>
              <w:t>+</w:t>
            </w:r>
          </w:p>
        </w:tc>
        <w:tc>
          <w:tcPr>
            <w:tcW w:w="0" w:type="auto"/>
            <w:gridSpan w:val="3"/>
            <w:shd w:val="clear" w:color="auto" w:fill="FFFFFF"/>
            <w:tcMar>
              <w:top w:w="40" w:type="dxa"/>
              <w:left w:w="20" w:type="dxa"/>
              <w:bottom w:w="40" w:type="dxa"/>
              <w:right w:w="20" w:type="dxa"/>
            </w:tcMar>
            <w:vAlign w:val="bottom"/>
          </w:tcPr>
          <w:p w14:paraId="39D99A72" w14:textId="77777777" w:rsidR="00996AD7" w:rsidRDefault="00D96458">
            <w:pPr>
              <w:textAlignment w:val="bottom"/>
            </w:pPr>
            <w:r>
              <w:rPr>
                <w:rFonts w:ascii="Arial" w:eastAsia="宋体" w:hAnsi="Arial" w:cs="Arial"/>
                <w:color w:val="262626"/>
                <w:sz w:val="18"/>
                <w:szCs w:val="18"/>
              </w:rPr>
              <w:t>Investments in CCG, DCG, and Mobileye</w:t>
            </w:r>
          </w:p>
        </w:tc>
      </w:tr>
      <w:tr w:rsidR="00996AD7" w14:paraId="39D99A76" w14:textId="77777777">
        <w:tc>
          <w:tcPr>
            <w:tcW w:w="0" w:type="auto"/>
            <w:gridSpan w:val="3"/>
            <w:shd w:val="clear" w:color="auto" w:fill="FFFFFF"/>
            <w:tcMar>
              <w:top w:w="40" w:type="dxa"/>
              <w:left w:w="20" w:type="dxa"/>
              <w:bottom w:w="40" w:type="dxa"/>
              <w:right w:w="20" w:type="dxa"/>
            </w:tcMar>
            <w:vAlign w:val="bottom"/>
          </w:tcPr>
          <w:p w14:paraId="39D99A74" w14:textId="77777777" w:rsidR="00996AD7" w:rsidRDefault="00D96458">
            <w:pPr>
              <w:jc w:val="center"/>
              <w:textAlignment w:val="bottom"/>
            </w:pPr>
            <w:r>
              <w:rPr>
                <w:rFonts w:ascii="Arial" w:eastAsia="宋体" w:hAnsi="Arial" w:cs="Arial"/>
                <w:b/>
                <w:bCs/>
                <w:color w:val="00A3F6"/>
                <w:sz w:val="18"/>
                <w:szCs w:val="18"/>
              </w:rPr>
              <w:t>+</w:t>
            </w:r>
          </w:p>
        </w:tc>
        <w:tc>
          <w:tcPr>
            <w:tcW w:w="0" w:type="auto"/>
            <w:gridSpan w:val="3"/>
            <w:shd w:val="clear" w:color="auto" w:fill="FFFFFF"/>
            <w:tcMar>
              <w:top w:w="40" w:type="dxa"/>
              <w:left w:w="20" w:type="dxa"/>
              <w:bottom w:w="40" w:type="dxa"/>
              <w:right w:w="20" w:type="dxa"/>
            </w:tcMar>
            <w:vAlign w:val="bottom"/>
          </w:tcPr>
          <w:p w14:paraId="39D99A75" w14:textId="77777777" w:rsidR="00996AD7" w:rsidRDefault="00D96458">
            <w:pPr>
              <w:textAlignment w:val="bottom"/>
            </w:pPr>
            <w:r>
              <w:rPr>
                <w:rFonts w:ascii="Arial" w:eastAsia="宋体" w:hAnsi="Arial" w:cs="Arial"/>
                <w:color w:val="262626"/>
                <w:sz w:val="18"/>
                <w:szCs w:val="18"/>
              </w:rPr>
              <w:t>Investments in our process technology</w:t>
            </w:r>
          </w:p>
        </w:tc>
      </w:tr>
      <w:tr w:rsidR="00996AD7" w14:paraId="39D99A79" w14:textId="77777777">
        <w:trPr>
          <w:hidden/>
        </w:trPr>
        <w:tc>
          <w:tcPr>
            <w:tcW w:w="0" w:type="auto"/>
            <w:gridSpan w:val="3"/>
            <w:shd w:val="clear" w:color="auto" w:fill="auto"/>
            <w:vAlign w:val="bottom"/>
          </w:tcPr>
          <w:p w14:paraId="39D99A77" w14:textId="77777777" w:rsidR="00996AD7" w:rsidRDefault="00996AD7">
            <w:pPr>
              <w:rPr>
                <w:rFonts w:ascii="宋体"/>
                <w:vanish/>
              </w:rPr>
            </w:pPr>
          </w:p>
        </w:tc>
        <w:tc>
          <w:tcPr>
            <w:tcW w:w="0" w:type="auto"/>
            <w:gridSpan w:val="3"/>
            <w:shd w:val="clear" w:color="auto" w:fill="auto"/>
            <w:vAlign w:val="bottom"/>
          </w:tcPr>
          <w:p w14:paraId="39D99A78" w14:textId="77777777" w:rsidR="00996AD7" w:rsidRDefault="00996AD7">
            <w:pPr>
              <w:rPr>
                <w:rFonts w:ascii="宋体"/>
                <w:vanish/>
              </w:rPr>
            </w:pPr>
          </w:p>
        </w:tc>
      </w:tr>
      <w:tr w:rsidR="00996AD7" w14:paraId="39D99A7C" w14:textId="77777777">
        <w:trPr>
          <w:hidden/>
        </w:trPr>
        <w:tc>
          <w:tcPr>
            <w:tcW w:w="0" w:type="auto"/>
            <w:gridSpan w:val="3"/>
            <w:shd w:val="clear" w:color="auto" w:fill="auto"/>
            <w:vAlign w:val="bottom"/>
          </w:tcPr>
          <w:p w14:paraId="39D99A7A" w14:textId="77777777" w:rsidR="00996AD7" w:rsidRDefault="00996AD7">
            <w:pPr>
              <w:rPr>
                <w:rFonts w:ascii="宋体"/>
                <w:vanish/>
              </w:rPr>
            </w:pPr>
          </w:p>
        </w:tc>
        <w:tc>
          <w:tcPr>
            <w:tcW w:w="0" w:type="auto"/>
            <w:gridSpan w:val="3"/>
            <w:shd w:val="clear" w:color="auto" w:fill="auto"/>
            <w:vAlign w:val="bottom"/>
          </w:tcPr>
          <w:p w14:paraId="39D99A7B" w14:textId="77777777" w:rsidR="00996AD7" w:rsidRDefault="00996AD7">
            <w:pPr>
              <w:rPr>
                <w:rFonts w:ascii="宋体"/>
                <w:vanish/>
              </w:rPr>
            </w:pPr>
          </w:p>
        </w:tc>
      </w:tr>
    </w:tbl>
    <w:p w14:paraId="39D99A7D" w14:textId="77777777" w:rsidR="00996AD7" w:rsidRDefault="00D96458">
      <w:pPr>
        <w:spacing w:after="120"/>
      </w:pPr>
      <w:r>
        <w:rPr>
          <w:rFonts w:ascii="Arial" w:eastAsia="宋体" w:hAnsi="Arial" w:cs="Arial"/>
          <w:color w:val="0068B5"/>
          <w:sz w:val="20"/>
          <w:szCs w:val="20"/>
        </w:rPr>
        <w:t>YTD 2021 vs. YTD 2020</w:t>
      </w:r>
    </w:p>
    <w:tbl>
      <w:tblPr>
        <w:tblW w:w="3081" w:type="pct"/>
        <w:tblCellMar>
          <w:top w:w="15" w:type="dxa"/>
          <w:left w:w="15" w:type="dxa"/>
          <w:bottom w:w="15" w:type="dxa"/>
          <w:right w:w="15" w:type="dxa"/>
        </w:tblCellMar>
        <w:tblLook w:val="04A0" w:firstRow="1" w:lastRow="0" w:firstColumn="1" w:lastColumn="0" w:noHBand="0" w:noVBand="1"/>
      </w:tblPr>
      <w:tblGrid>
        <w:gridCol w:w="42"/>
        <w:gridCol w:w="101"/>
        <w:gridCol w:w="38"/>
        <w:gridCol w:w="38"/>
        <w:gridCol w:w="4808"/>
        <w:gridCol w:w="38"/>
        <w:gridCol w:w="36"/>
        <w:gridCol w:w="36"/>
      </w:tblGrid>
      <w:tr w:rsidR="00996AD7" w14:paraId="39D99A86" w14:textId="77777777">
        <w:tc>
          <w:tcPr>
            <w:tcW w:w="50" w:type="pct"/>
            <w:shd w:val="clear" w:color="auto" w:fill="auto"/>
            <w:vAlign w:val="bottom"/>
          </w:tcPr>
          <w:p w14:paraId="39D99A7E" w14:textId="77777777" w:rsidR="00996AD7" w:rsidRDefault="00996AD7">
            <w:pPr>
              <w:rPr>
                <w:rFonts w:ascii="宋体"/>
              </w:rPr>
            </w:pPr>
          </w:p>
        </w:tc>
        <w:tc>
          <w:tcPr>
            <w:tcW w:w="122" w:type="pct"/>
            <w:shd w:val="clear" w:color="auto" w:fill="auto"/>
            <w:vAlign w:val="bottom"/>
          </w:tcPr>
          <w:p w14:paraId="39D99A7F" w14:textId="77777777" w:rsidR="00996AD7" w:rsidRDefault="00996AD7">
            <w:pPr>
              <w:rPr>
                <w:rFonts w:ascii="宋体"/>
              </w:rPr>
            </w:pPr>
          </w:p>
        </w:tc>
        <w:tc>
          <w:tcPr>
            <w:tcW w:w="5" w:type="pct"/>
            <w:shd w:val="clear" w:color="auto" w:fill="auto"/>
            <w:vAlign w:val="bottom"/>
          </w:tcPr>
          <w:p w14:paraId="39D99A80" w14:textId="77777777" w:rsidR="00996AD7" w:rsidRDefault="00996AD7">
            <w:pPr>
              <w:rPr>
                <w:rFonts w:ascii="宋体"/>
              </w:rPr>
            </w:pPr>
          </w:p>
        </w:tc>
        <w:tc>
          <w:tcPr>
            <w:tcW w:w="50" w:type="pct"/>
            <w:shd w:val="clear" w:color="auto" w:fill="auto"/>
            <w:vAlign w:val="bottom"/>
          </w:tcPr>
          <w:p w14:paraId="39D99A81" w14:textId="77777777" w:rsidR="00996AD7" w:rsidRDefault="00996AD7">
            <w:pPr>
              <w:rPr>
                <w:rFonts w:ascii="宋体"/>
              </w:rPr>
            </w:pPr>
          </w:p>
        </w:tc>
        <w:tc>
          <w:tcPr>
            <w:tcW w:w="4767" w:type="pct"/>
            <w:shd w:val="clear" w:color="auto" w:fill="auto"/>
            <w:vAlign w:val="bottom"/>
          </w:tcPr>
          <w:p w14:paraId="39D99A82" w14:textId="77777777" w:rsidR="00996AD7" w:rsidRDefault="00996AD7">
            <w:pPr>
              <w:rPr>
                <w:rFonts w:ascii="宋体"/>
              </w:rPr>
            </w:pPr>
          </w:p>
        </w:tc>
        <w:tc>
          <w:tcPr>
            <w:tcW w:w="5" w:type="pct"/>
            <w:shd w:val="clear" w:color="auto" w:fill="auto"/>
            <w:vAlign w:val="bottom"/>
          </w:tcPr>
          <w:p w14:paraId="39D99A83" w14:textId="77777777" w:rsidR="00996AD7" w:rsidRDefault="00996AD7">
            <w:pPr>
              <w:rPr>
                <w:rFonts w:ascii="宋体"/>
              </w:rPr>
            </w:pPr>
          </w:p>
        </w:tc>
        <w:tc>
          <w:tcPr>
            <w:tcW w:w="0" w:type="auto"/>
            <w:shd w:val="clear" w:color="auto" w:fill="auto"/>
            <w:vAlign w:val="bottom"/>
          </w:tcPr>
          <w:p w14:paraId="39D99A84" w14:textId="77777777" w:rsidR="00996AD7" w:rsidRDefault="00996AD7">
            <w:pPr>
              <w:rPr>
                <w:rFonts w:ascii="宋体"/>
                <w:vanish/>
              </w:rPr>
            </w:pPr>
          </w:p>
        </w:tc>
        <w:tc>
          <w:tcPr>
            <w:tcW w:w="0" w:type="auto"/>
            <w:shd w:val="clear" w:color="auto" w:fill="auto"/>
            <w:vAlign w:val="bottom"/>
          </w:tcPr>
          <w:p w14:paraId="39D99A85" w14:textId="77777777" w:rsidR="00996AD7" w:rsidRDefault="00996AD7">
            <w:pPr>
              <w:rPr>
                <w:rFonts w:ascii="宋体"/>
                <w:vanish/>
              </w:rPr>
            </w:pPr>
          </w:p>
        </w:tc>
      </w:tr>
      <w:tr w:rsidR="00996AD7" w14:paraId="39D99A8A" w14:textId="77777777">
        <w:tc>
          <w:tcPr>
            <w:tcW w:w="0" w:type="auto"/>
            <w:gridSpan w:val="6"/>
            <w:shd w:val="clear" w:color="auto" w:fill="auto"/>
            <w:tcMar>
              <w:top w:w="40" w:type="dxa"/>
              <w:left w:w="20" w:type="dxa"/>
              <w:bottom w:w="40" w:type="dxa"/>
              <w:right w:w="20" w:type="dxa"/>
            </w:tcMar>
            <w:vAlign w:val="bottom"/>
          </w:tcPr>
          <w:p w14:paraId="39D99A87" w14:textId="77777777" w:rsidR="00996AD7" w:rsidRDefault="00D96458">
            <w:pPr>
              <w:textAlignment w:val="bottom"/>
            </w:pPr>
            <w:r>
              <w:rPr>
                <w:rFonts w:ascii="Arial" w:eastAsia="宋体" w:hAnsi="Arial" w:cs="Arial"/>
                <w:color w:val="333333"/>
                <w:sz w:val="18"/>
                <w:szCs w:val="18"/>
              </w:rPr>
              <w:t>R&amp;D spending increased by $1.2 billion, or 12.5%, driven by the following:</w:t>
            </w:r>
          </w:p>
        </w:tc>
        <w:tc>
          <w:tcPr>
            <w:tcW w:w="0" w:type="auto"/>
            <w:shd w:val="clear" w:color="auto" w:fill="auto"/>
            <w:vAlign w:val="bottom"/>
          </w:tcPr>
          <w:p w14:paraId="39D99A88" w14:textId="77777777" w:rsidR="00996AD7" w:rsidRDefault="00996AD7">
            <w:pPr>
              <w:rPr>
                <w:rFonts w:ascii="宋体"/>
                <w:vanish/>
              </w:rPr>
            </w:pPr>
          </w:p>
        </w:tc>
        <w:tc>
          <w:tcPr>
            <w:tcW w:w="0" w:type="auto"/>
            <w:shd w:val="clear" w:color="auto" w:fill="auto"/>
            <w:vAlign w:val="bottom"/>
          </w:tcPr>
          <w:p w14:paraId="39D99A89" w14:textId="77777777" w:rsidR="00996AD7" w:rsidRDefault="00996AD7">
            <w:pPr>
              <w:rPr>
                <w:rFonts w:ascii="宋体"/>
                <w:vanish/>
              </w:rPr>
            </w:pPr>
          </w:p>
        </w:tc>
      </w:tr>
      <w:tr w:rsidR="00996AD7" w14:paraId="39D99A8F" w14:textId="77777777">
        <w:trPr>
          <w:trHeight w:val="100"/>
        </w:trPr>
        <w:tc>
          <w:tcPr>
            <w:tcW w:w="0" w:type="auto"/>
            <w:gridSpan w:val="3"/>
            <w:shd w:val="clear" w:color="auto" w:fill="auto"/>
            <w:tcMar>
              <w:top w:w="0" w:type="dxa"/>
              <w:left w:w="20" w:type="dxa"/>
              <w:bottom w:w="0" w:type="dxa"/>
              <w:right w:w="20" w:type="dxa"/>
            </w:tcMar>
            <w:vAlign w:val="bottom"/>
          </w:tcPr>
          <w:p w14:paraId="39D99A8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A8C" w14:textId="77777777" w:rsidR="00996AD7" w:rsidRDefault="00996AD7">
            <w:pPr>
              <w:rPr>
                <w:rFonts w:ascii="宋体"/>
              </w:rPr>
            </w:pPr>
          </w:p>
        </w:tc>
        <w:tc>
          <w:tcPr>
            <w:tcW w:w="0" w:type="auto"/>
            <w:shd w:val="clear" w:color="auto" w:fill="auto"/>
            <w:vAlign w:val="bottom"/>
          </w:tcPr>
          <w:p w14:paraId="39D99A8D" w14:textId="77777777" w:rsidR="00996AD7" w:rsidRDefault="00996AD7">
            <w:pPr>
              <w:rPr>
                <w:rFonts w:ascii="宋体"/>
                <w:vanish/>
              </w:rPr>
            </w:pPr>
          </w:p>
        </w:tc>
        <w:tc>
          <w:tcPr>
            <w:tcW w:w="0" w:type="auto"/>
            <w:shd w:val="clear" w:color="auto" w:fill="auto"/>
            <w:vAlign w:val="bottom"/>
          </w:tcPr>
          <w:p w14:paraId="39D99A8E" w14:textId="77777777" w:rsidR="00996AD7" w:rsidRDefault="00996AD7">
            <w:pPr>
              <w:rPr>
                <w:rFonts w:ascii="宋体"/>
                <w:vanish/>
              </w:rPr>
            </w:pPr>
          </w:p>
        </w:tc>
      </w:tr>
      <w:tr w:rsidR="00996AD7" w14:paraId="39D99A94" w14:textId="77777777">
        <w:tc>
          <w:tcPr>
            <w:tcW w:w="0" w:type="auto"/>
            <w:gridSpan w:val="3"/>
            <w:shd w:val="clear" w:color="auto" w:fill="FFFFFF"/>
            <w:tcMar>
              <w:top w:w="40" w:type="dxa"/>
              <w:left w:w="20" w:type="dxa"/>
              <w:bottom w:w="40" w:type="dxa"/>
              <w:right w:w="20" w:type="dxa"/>
            </w:tcMar>
            <w:vAlign w:val="bottom"/>
          </w:tcPr>
          <w:p w14:paraId="39D99A90" w14:textId="77777777" w:rsidR="00996AD7" w:rsidRDefault="00D96458">
            <w:pPr>
              <w:jc w:val="center"/>
              <w:textAlignment w:val="bottom"/>
            </w:pPr>
            <w:r>
              <w:rPr>
                <w:rFonts w:ascii="Arial" w:eastAsia="宋体" w:hAnsi="Arial" w:cs="Arial"/>
                <w:b/>
                <w:bCs/>
                <w:color w:val="00A3F6"/>
                <w:sz w:val="18"/>
                <w:szCs w:val="18"/>
              </w:rPr>
              <w:t>+</w:t>
            </w:r>
          </w:p>
        </w:tc>
        <w:tc>
          <w:tcPr>
            <w:tcW w:w="0" w:type="auto"/>
            <w:gridSpan w:val="3"/>
            <w:shd w:val="clear" w:color="auto" w:fill="FFFFFF"/>
            <w:tcMar>
              <w:top w:w="40" w:type="dxa"/>
              <w:left w:w="20" w:type="dxa"/>
              <w:bottom w:w="40" w:type="dxa"/>
              <w:right w:w="20" w:type="dxa"/>
            </w:tcMar>
            <w:vAlign w:val="bottom"/>
          </w:tcPr>
          <w:p w14:paraId="39D99A91" w14:textId="77777777" w:rsidR="00996AD7" w:rsidRDefault="00D96458">
            <w:pPr>
              <w:textAlignment w:val="bottom"/>
            </w:pPr>
            <w:r>
              <w:rPr>
                <w:rFonts w:ascii="Arial" w:eastAsia="宋体" w:hAnsi="Arial" w:cs="Arial"/>
                <w:color w:val="262626"/>
                <w:sz w:val="18"/>
                <w:szCs w:val="18"/>
              </w:rPr>
              <w:t>Investments in CCG, DCG, and Mobileye</w:t>
            </w:r>
          </w:p>
        </w:tc>
        <w:tc>
          <w:tcPr>
            <w:tcW w:w="0" w:type="auto"/>
            <w:shd w:val="clear" w:color="auto" w:fill="auto"/>
            <w:vAlign w:val="bottom"/>
          </w:tcPr>
          <w:p w14:paraId="39D99A92" w14:textId="77777777" w:rsidR="00996AD7" w:rsidRDefault="00996AD7">
            <w:pPr>
              <w:rPr>
                <w:rFonts w:ascii="宋体"/>
                <w:vanish/>
              </w:rPr>
            </w:pPr>
          </w:p>
        </w:tc>
        <w:tc>
          <w:tcPr>
            <w:tcW w:w="0" w:type="auto"/>
            <w:shd w:val="clear" w:color="auto" w:fill="auto"/>
            <w:vAlign w:val="bottom"/>
          </w:tcPr>
          <w:p w14:paraId="39D99A93" w14:textId="77777777" w:rsidR="00996AD7" w:rsidRDefault="00996AD7">
            <w:pPr>
              <w:rPr>
                <w:rFonts w:ascii="宋体"/>
                <w:vanish/>
              </w:rPr>
            </w:pPr>
          </w:p>
        </w:tc>
      </w:tr>
      <w:tr w:rsidR="00996AD7" w14:paraId="39D99A99" w14:textId="77777777">
        <w:tc>
          <w:tcPr>
            <w:tcW w:w="0" w:type="auto"/>
            <w:gridSpan w:val="3"/>
            <w:shd w:val="clear" w:color="auto" w:fill="FFFFFF"/>
            <w:tcMar>
              <w:top w:w="40" w:type="dxa"/>
              <w:left w:w="20" w:type="dxa"/>
              <w:bottom w:w="40" w:type="dxa"/>
              <w:right w:w="20" w:type="dxa"/>
            </w:tcMar>
            <w:vAlign w:val="bottom"/>
          </w:tcPr>
          <w:p w14:paraId="39D99A95" w14:textId="77777777" w:rsidR="00996AD7" w:rsidRDefault="00D96458">
            <w:pPr>
              <w:jc w:val="center"/>
              <w:textAlignment w:val="bottom"/>
            </w:pPr>
            <w:r>
              <w:rPr>
                <w:rFonts w:ascii="Arial" w:eastAsia="宋体" w:hAnsi="Arial" w:cs="Arial"/>
                <w:b/>
                <w:bCs/>
                <w:color w:val="00A3F6"/>
                <w:sz w:val="18"/>
                <w:szCs w:val="18"/>
              </w:rPr>
              <w:t>+</w:t>
            </w:r>
          </w:p>
        </w:tc>
        <w:tc>
          <w:tcPr>
            <w:tcW w:w="0" w:type="auto"/>
            <w:gridSpan w:val="3"/>
            <w:shd w:val="clear" w:color="auto" w:fill="FFFFFF"/>
            <w:tcMar>
              <w:top w:w="40" w:type="dxa"/>
              <w:left w:w="20" w:type="dxa"/>
              <w:bottom w:w="40" w:type="dxa"/>
              <w:right w:w="20" w:type="dxa"/>
            </w:tcMar>
            <w:vAlign w:val="bottom"/>
          </w:tcPr>
          <w:p w14:paraId="39D99A96" w14:textId="77777777" w:rsidR="00996AD7" w:rsidRDefault="00D96458">
            <w:pPr>
              <w:textAlignment w:val="bottom"/>
            </w:pPr>
            <w:r>
              <w:rPr>
                <w:rFonts w:ascii="Arial" w:eastAsia="宋体" w:hAnsi="Arial" w:cs="Arial"/>
                <w:color w:val="262626"/>
                <w:sz w:val="18"/>
                <w:szCs w:val="18"/>
              </w:rPr>
              <w:t>Investments in our process technology</w:t>
            </w:r>
          </w:p>
        </w:tc>
        <w:tc>
          <w:tcPr>
            <w:tcW w:w="0" w:type="auto"/>
            <w:shd w:val="clear" w:color="auto" w:fill="auto"/>
            <w:vAlign w:val="bottom"/>
          </w:tcPr>
          <w:p w14:paraId="39D99A97" w14:textId="77777777" w:rsidR="00996AD7" w:rsidRDefault="00996AD7">
            <w:pPr>
              <w:rPr>
                <w:rFonts w:ascii="宋体"/>
                <w:vanish/>
              </w:rPr>
            </w:pPr>
          </w:p>
        </w:tc>
        <w:tc>
          <w:tcPr>
            <w:tcW w:w="0" w:type="auto"/>
            <w:shd w:val="clear" w:color="auto" w:fill="auto"/>
            <w:vAlign w:val="bottom"/>
          </w:tcPr>
          <w:p w14:paraId="39D99A98" w14:textId="77777777" w:rsidR="00996AD7" w:rsidRDefault="00996AD7">
            <w:pPr>
              <w:rPr>
                <w:rFonts w:ascii="宋体"/>
                <w:vanish/>
              </w:rPr>
            </w:pPr>
          </w:p>
        </w:tc>
      </w:tr>
      <w:tr w:rsidR="00996AD7" w14:paraId="39D99A9E" w14:textId="77777777">
        <w:tc>
          <w:tcPr>
            <w:tcW w:w="0" w:type="auto"/>
            <w:gridSpan w:val="3"/>
            <w:shd w:val="clear" w:color="auto" w:fill="FFFFFF"/>
            <w:tcMar>
              <w:top w:w="40" w:type="dxa"/>
              <w:left w:w="20" w:type="dxa"/>
              <w:bottom w:w="40" w:type="dxa"/>
              <w:right w:w="20" w:type="dxa"/>
            </w:tcMar>
            <w:vAlign w:val="bottom"/>
          </w:tcPr>
          <w:p w14:paraId="39D99A9A" w14:textId="77777777" w:rsidR="00996AD7" w:rsidRDefault="00D96458">
            <w:pPr>
              <w:jc w:val="center"/>
              <w:textAlignment w:val="bottom"/>
            </w:pPr>
            <w:r>
              <w:rPr>
                <w:rFonts w:ascii="Arial" w:eastAsia="宋体" w:hAnsi="Arial" w:cs="Arial"/>
                <w:b/>
                <w:bCs/>
                <w:color w:val="00A3F6"/>
                <w:sz w:val="18"/>
                <w:szCs w:val="18"/>
              </w:rPr>
              <w:t>+</w:t>
            </w:r>
          </w:p>
        </w:tc>
        <w:tc>
          <w:tcPr>
            <w:tcW w:w="0" w:type="auto"/>
            <w:gridSpan w:val="3"/>
            <w:shd w:val="clear" w:color="auto" w:fill="FFFFFF"/>
            <w:tcMar>
              <w:top w:w="40" w:type="dxa"/>
              <w:left w:w="20" w:type="dxa"/>
              <w:bottom w:w="40" w:type="dxa"/>
              <w:right w:w="20" w:type="dxa"/>
            </w:tcMar>
            <w:vAlign w:val="bottom"/>
          </w:tcPr>
          <w:p w14:paraId="39D99A9B" w14:textId="77777777" w:rsidR="00996AD7" w:rsidRDefault="00D96458">
            <w:pPr>
              <w:textAlignment w:val="bottom"/>
            </w:pPr>
            <w:r>
              <w:rPr>
                <w:rFonts w:ascii="Arial" w:eastAsia="宋体" w:hAnsi="Arial" w:cs="Arial"/>
                <w:color w:val="262626"/>
                <w:sz w:val="18"/>
                <w:szCs w:val="18"/>
              </w:rPr>
              <w:t>Incentive-based cash compensation</w:t>
            </w:r>
          </w:p>
        </w:tc>
        <w:tc>
          <w:tcPr>
            <w:tcW w:w="0" w:type="auto"/>
            <w:shd w:val="clear" w:color="auto" w:fill="auto"/>
            <w:vAlign w:val="bottom"/>
          </w:tcPr>
          <w:p w14:paraId="39D99A9C" w14:textId="77777777" w:rsidR="00996AD7" w:rsidRDefault="00996AD7">
            <w:pPr>
              <w:rPr>
                <w:rFonts w:ascii="宋体"/>
                <w:vanish/>
              </w:rPr>
            </w:pPr>
          </w:p>
        </w:tc>
        <w:tc>
          <w:tcPr>
            <w:tcW w:w="0" w:type="auto"/>
            <w:shd w:val="clear" w:color="auto" w:fill="auto"/>
            <w:vAlign w:val="bottom"/>
          </w:tcPr>
          <w:p w14:paraId="39D99A9D" w14:textId="77777777" w:rsidR="00996AD7" w:rsidRDefault="00996AD7">
            <w:pPr>
              <w:rPr>
                <w:rFonts w:ascii="宋体"/>
                <w:vanish/>
              </w:rPr>
            </w:pPr>
          </w:p>
        </w:tc>
      </w:tr>
      <w:tr w:rsidR="00996AD7" w14:paraId="39D99AA3" w14:textId="77777777">
        <w:trPr>
          <w:hidden/>
        </w:trPr>
        <w:tc>
          <w:tcPr>
            <w:tcW w:w="0" w:type="auto"/>
            <w:gridSpan w:val="3"/>
            <w:shd w:val="clear" w:color="auto" w:fill="auto"/>
            <w:vAlign w:val="bottom"/>
          </w:tcPr>
          <w:p w14:paraId="39D99A9F" w14:textId="77777777" w:rsidR="00996AD7" w:rsidRDefault="00996AD7">
            <w:pPr>
              <w:rPr>
                <w:rFonts w:ascii="宋体"/>
                <w:vanish/>
              </w:rPr>
            </w:pPr>
          </w:p>
        </w:tc>
        <w:tc>
          <w:tcPr>
            <w:tcW w:w="0" w:type="auto"/>
            <w:gridSpan w:val="3"/>
            <w:shd w:val="clear" w:color="auto" w:fill="auto"/>
            <w:vAlign w:val="bottom"/>
          </w:tcPr>
          <w:p w14:paraId="39D99AA0" w14:textId="77777777" w:rsidR="00996AD7" w:rsidRDefault="00996AD7">
            <w:pPr>
              <w:rPr>
                <w:rFonts w:ascii="宋体"/>
                <w:vanish/>
              </w:rPr>
            </w:pPr>
          </w:p>
        </w:tc>
        <w:tc>
          <w:tcPr>
            <w:tcW w:w="0" w:type="auto"/>
            <w:shd w:val="clear" w:color="auto" w:fill="auto"/>
            <w:vAlign w:val="bottom"/>
          </w:tcPr>
          <w:p w14:paraId="39D99AA1" w14:textId="77777777" w:rsidR="00996AD7" w:rsidRDefault="00996AD7">
            <w:pPr>
              <w:rPr>
                <w:rFonts w:ascii="宋体"/>
                <w:vanish/>
              </w:rPr>
            </w:pPr>
          </w:p>
        </w:tc>
        <w:tc>
          <w:tcPr>
            <w:tcW w:w="0" w:type="auto"/>
            <w:shd w:val="clear" w:color="auto" w:fill="auto"/>
            <w:vAlign w:val="bottom"/>
          </w:tcPr>
          <w:p w14:paraId="39D99AA2" w14:textId="77777777" w:rsidR="00996AD7" w:rsidRDefault="00996AD7">
            <w:pPr>
              <w:rPr>
                <w:rFonts w:ascii="宋体"/>
                <w:vanish/>
              </w:rPr>
            </w:pPr>
          </w:p>
        </w:tc>
      </w:tr>
      <w:tr w:rsidR="00996AD7" w14:paraId="39D99AA8" w14:textId="77777777">
        <w:trPr>
          <w:hidden/>
        </w:trPr>
        <w:tc>
          <w:tcPr>
            <w:tcW w:w="0" w:type="auto"/>
            <w:gridSpan w:val="3"/>
            <w:shd w:val="clear" w:color="auto" w:fill="auto"/>
            <w:vAlign w:val="bottom"/>
          </w:tcPr>
          <w:p w14:paraId="39D99AA4" w14:textId="77777777" w:rsidR="00996AD7" w:rsidRDefault="00996AD7">
            <w:pPr>
              <w:rPr>
                <w:rFonts w:ascii="宋体"/>
                <w:vanish/>
              </w:rPr>
            </w:pPr>
          </w:p>
        </w:tc>
        <w:tc>
          <w:tcPr>
            <w:tcW w:w="0" w:type="auto"/>
            <w:gridSpan w:val="3"/>
            <w:shd w:val="clear" w:color="auto" w:fill="auto"/>
            <w:vAlign w:val="bottom"/>
          </w:tcPr>
          <w:p w14:paraId="39D99AA5" w14:textId="77777777" w:rsidR="00996AD7" w:rsidRDefault="00996AD7">
            <w:pPr>
              <w:rPr>
                <w:rFonts w:ascii="宋体"/>
                <w:vanish/>
              </w:rPr>
            </w:pPr>
          </w:p>
        </w:tc>
        <w:tc>
          <w:tcPr>
            <w:tcW w:w="0" w:type="auto"/>
            <w:shd w:val="clear" w:color="auto" w:fill="auto"/>
            <w:vAlign w:val="bottom"/>
          </w:tcPr>
          <w:p w14:paraId="39D99AA6" w14:textId="77777777" w:rsidR="00996AD7" w:rsidRDefault="00996AD7">
            <w:pPr>
              <w:rPr>
                <w:rFonts w:ascii="宋体"/>
                <w:vanish/>
              </w:rPr>
            </w:pPr>
          </w:p>
        </w:tc>
        <w:tc>
          <w:tcPr>
            <w:tcW w:w="0" w:type="auto"/>
            <w:shd w:val="clear" w:color="auto" w:fill="auto"/>
            <w:vAlign w:val="bottom"/>
          </w:tcPr>
          <w:p w14:paraId="39D99AA7" w14:textId="77777777" w:rsidR="00996AD7" w:rsidRDefault="00996AD7">
            <w:pPr>
              <w:rPr>
                <w:rFonts w:ascii="宋体"/>
                <w:vanish/>
              </w:rPr>
            </w:pPr>
          </w:p>
        </w:tc>
      </w:tr>
    </w:tbl>
    <w:p w14:paraId="39D99AA9"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96AD7" w14:paraId="39D99AAD" w14:textId="77777777">
        <w:tc>
          <w:tcPr>
            <w:tcW w:w="50" w:type="pct"/>
            <w:shd w:val="clear" w:color="auto" w:fill="auto"/>
            <w:vAlign w:val="bottom"/>
          </w:tcPr>
          <w:p w14:paraId="39D99AAA" w14:textId="77777777" w:rsidR="00996AD7" w:rsidRDefault="00996AD7">
            <w:pPr>
              <w:rPr>
                <w:rFonts w:ascii="宋体"/>
              </w:rPr>
            </w:pPr>
          </w:p>
        </w:tc>
        <w:tc>
          <w:tcPr>
            <w:tcW w:w="4945" w:type="pct"/>
            <w:shd w:val="clear" w:color="auto" w:fill="auto"/>
            <w:vAlign w:val="bottom"/>
          </w:tcPr>
          <w:p w14:paraId="39D99AAB" w14:textId="77777777" w:rsidR="00996AD7" w:rsidRDefault="00996AD7">
            <w:pPr>
              <w:rPr>
                <w:rFonts w:ascii="宋体"/>
              </w:rPr>
            </w:pPr>
          </w:p>
        </w:tc>
        <w:tc>
          <w:tcPr>
            <w:tcW w:w="5" w:type="pct"/>
            <w:shd w:val="clear" w:color="auto" w:fill="auto"/>
            <w:vAlign w:val="bottom"/>
          </w:tcPr>
          <w:p w14:paraId="39D99AAC" w14:textId="77777777" w:rsidR="00996AD7" w:rsidRDefault="00996AD7">
            <w:pPr>
              <w:rPr>
                <w:rFonts w:ascii="宋体"/>
              </w:rPr>
            </w:pPr>
          </w:p>
        </w:tc>
      </w:tr>
      <w:tr w:rsidR="00996AD7" w14:paraId="39D99AAF"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AAE" w14:textId="77777777" w:rsidR="00996AD7" w:rsidRDefault="00D96458">
            <w:pPr>
              <w:textAlignment w:val="bottom"/>
            </w:pPr>
            <w:r>
              <w:rPr>
                <w:rFonts w:ascii="Arial" w:eastAsia="宋体" w:hAnsi="Arial" w:cs="Arial"/>
                <w:color w:val="0068B5"/>
                <w:sz w:val="20"/>
                <w:szCs w:val="20"/>
              </w:rPr>
              <w:t>Marketing, General, and Administrative</w:t>
            </w:r>
          </w:p>
        </w:tc>
      </w:tr>
    </w:tbl>
    <w:p w14:paraId="39D99AB0" w14:textId="77777777" w:rsidR="00996AD7" w:rsidRDefault="00D96458">
      <w:pPr>
        <w:spacing w:after="120"/>
      </w:pPr>
      <w:r>
        <w:rPr>
          <w:rFonts w:ascii="Arial" w:eastAsia="宋体" w:hAnsi="Arial" w:cs="Arial"/>
          <w:color w:val="0068B5"/>
          <w:sz w:val="20"/>
          <w:szCs w:val="20"/>
        </w:rPr>
        <w:t>Q3 2021 vs. Q3 2020</w:t>
      </w:r>
      <w:r>
        <w:rPr>
          <w:rFonts w:ascii="Arial" w:eastAsia="宋体" w:hAnsi="Arial" w:cs="Arial"/>
          <w:color w:val="0068B5"/>
          <w:sz w:val="18"/>
          <w:szCs w:val="18"/>
        </w:rPr>
        <w:t xml:space="preserve"> </w:t>
      </w:r>
    </w:p>
    <w:tbl>
      <w:tblPr>
        <w:tblW w:w="2999" w:type="pct"/>
        <w:tblCellMar>
          <w:top w:w="15" w:type="dxa"/>
          <w:left w:w="15" w:type="dxa"/>
          <w:bottom w:w="15" w:type="dxa"/>
          <w:right w:w="15" w:type="dxa"/>
        </w:tblCellMar>
        <w:tblLook w:val="04A0" w:firstRow="1" w:lastRow="0" w:firstColumn="1" w:lastColumn="0" w:noHBand="0" w:noVBand="1"/>
      </w:tblPr>
      <w:tblGrid>
        <w:gridCol w:w="41"/>
        <w:gridCol w:w="103"/>
        <w:gridCol w:w="38"/>
        <w:gridCol w:w="37"/>
        <w:gridCol w:w="4744"/>
        <w:gridCol w:w="37"/>
      </w:tblGrid>
      <w:tr w:rsidR="00996AD7" w14:paraId="39D99AB7" w14:textId="77777777">
        <w:tc>
          <w:tcPr>
            <w:tcW w:w="50" w:type="pct"/>
            <w:shd w:val="clear" w:color="auto" w:fill="auto"/>
            <w:vAlign w:val="bottom"/>
          </w:tcPr>
          <w:p w14:paraId="39D99AB1" w14:textId="77777777" w:rsidR="00996AD7" w:rsidRDefault="00996AD7">
            <w:pPr>
              <w:rPr>
                <w:rFonts w:ascii="宋体"/>
              </w:rPr>
            </w:pPr>
          </w:p>
        </w:tc>
        <w:tc>
          <w:tcPr>
            <w:tcW w:w="127" w:type="pct"/>
            <w:shd w:val="clear" w:color="auto" w:fill="auto"/>
            <w:vAlign w:val="bottom"/>
          </w:tcPr>
          <w:p w14:paraId="39D99AB2" w14:textId="77777777" w:rsidR="00996AD7" w:rsidRDefault="00996AD7">
            <w:pPr>
              <w:rPr>
                <w:rFonts w:ascii="宋体"/>
              </w:rPr>
            </w:pPr>
          </w:p>
        </w:tc>
        <w:tc>
          <w:tcPr>
            <w:tcW w:w="5" w:type="pct"/>
            <w:shd w:val="clear" w:color="auto" w:fill="auto"/>
            <w:vAlign w:val="bottom"/>
          </w:tcPr>
          <w:p w14:paraId="39D99AB3" w14:textId="77777777" w:rsidR="00996AD7" w:rsidRDefault="00996AD7">
            <w:pPr>
              <w:rPr>
                <w:rFonts w:ascii="宋体"/>
              </w:rPr>
            </w:pPr>
          </w:p>
        </w:tc>
        <w:tc>
          <w:tcPr>
            <w:tcW w:w="50" w:type="pct"/>
            <w:shd w:val="clear" w:color="auto" w:fill="auto"/>
            <w:vAlign w:val="bottom"/>
          </w:tcPr>
          <w:p w14:paraId="39D99AB4" w14:textId="77777777" w:rsidR="00996AD7" w:rsidRDefault="00996AD7">
            <w:pPr>
              <w:rPr>
                <w:rFonts w:ascii="宋体"/>
              </w:rPr>
            </w:pPr>
          </w:p>
        </w:tc>
        <w:tc>
          <w:tcPr>
            <w:tcW w:w="4762" w:type="pct"/>
            <w:shd w:val="clear" w:color="auto" w:fill="auto"/>
            <w:vAlign w:val="bottom"/>
          </w:tcPr>
          <w:p w14:paraId="39D99AB5" w14:textId="77777777" w:rsidR="00996AD7" w:rsidRDefault="00996AD7">
            <w:pPr>
              <w:rPr>
                <w:rFonts w:ascii="宋体"/>
              </w:rPr>
            </w:pPr>
          </w:p>
        </w:tc>
        <w:tc>
          <w:tcPr>
            <w:tcW w:w="5" w:type="pct"/>
            <w:shd w:val="clear" w:color="auto" w:fill="auto"/>
            <w:vAlign w:val="bottom"/>
          </w:tcPr>
          <w:p w14:paraId="39D99AB6" w14:textId="77777777" w:rsidR="00996AD7" w:rsidRDefault="00996AD7">
            <w:pPr>
              <w:rPr>
                <w:rFonts w:ascii="宋体"/>
              </w:rPr>
            </w:pPr>
          </w:p>
        </w:tc>
      </w:tr>
      <w:tr w:rsidR="00996AD7" w14:paraId="39D99AB9" w14:textId="77777777">
        <w:tc>
          <w:tcPr>
            <w:tcW w:w="0" w:type="auto"/>
            <w:gridSpan w:val="6"/>
            <w:shd w:val="clear" w:color="auto" w:fill="auto"/>
            <w:tcMar>
              <w:top w:w="40" w:type="dxa"/>
              <w:left w:w="20" w:type="dxa"/>
              <w:bottom w:w="40" w:type="dxa"/>
              <w:right w:w="20" w:type="dxa"/>
            </w:tcMar>
            <w:vAlign w:val="bottom"/>
          </w:tcPr>
          <w:p w14:paraId="39D99AB8" w14:textId="77777777" w:rsidR="00996AD7" w:rsidRDefault="00D96458">
            <w:pPr>
              <w:textAlignment w:val="bottom"/>
            </w:pPr>
            <w:r>
              <w:rPr>
                <w:rFonts w:ascii="Arial" w:eastAsia="宋体" w:hAnsi="Arial" w:cs="Arial"/>
                <w:color w:val="262626"/>
                <w:sz w:val="18"/>
                <w:szCs w:val="18"/>
              </w:rPr>
              <w:t>MG&amp;A increased by $239 million, or 16.7%, driven by the following:</w:t>
            </w:r>
          </w:p>
        </w:tc>
      </w:tr>
      <w:tr w:rsidR="00996AD7" w14:paraId="39D99ABC" w14:textId="77777777">
        <w:trPr>
          <w:trHeight w:val="100"/>
        </w:trPr>
        <w:tc>
          <w:tcPr>
            <w:tcW w:w="0" w:type="auto"/>
            <w:gridSpan w:val="3"/>
            <w:shd w:val="clear" w:color="auto" w:fill="auto"/>
            <w:tcMar>
              <w:top w:w="0" w:type="dxa"/>
              <w:left w:w="20" w:type="dxa"/>
              <w:bottom w:w="0" w:type="dxa"/>
              <w:right w:w="20" w:type="dxa"/>
            </w:tcMar>
            <w:vAlign w:val="bottom"/>
          </w:tcPr>
          <w:p w14:paraId="39D99AB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ABB" w14:textId="77777777" w:rsidR="00996AD7" w:rsidRDefault="00996AD7">
            <w:pPr>
              <w:rPr>
                <w:rFonts w:ascii="宋体"/>
              </w:rPr>
            </w:pPr>
          </w:p>
        </w:tc>
      </w:tr>
      <w:tr w:rsidR="00996AD7" w14:paraId="39D99ABF" w14:textId="77777777">
        <w:tc>
          <w:tcPr>
            <w:tcW w:w="0" w:type="auto"/>
            <w:gridSpan w:val="3"/>
            <w:shd w:val="clear" w:color="auto" w:fill="auto"/>
            <w:tcMar>
              <w:top w:w="40" w:type="dxa"/>
              <w:left w:w="20" w:type="dxa"/>
              <w:bottom w:w="40" w:type="dxa"/>
              <w:right w:w="20" w:type="dxa"/>
            </w:tcMar>
            <w:vAlign w:val="bottom"/>
          </w:tcPr>
          <w:p w14:paraId="39D99ABD" w14:textId="77777777" w:rsidR="00996AD7" w:rsidRDefault="00D96458">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39D99ABE" w14:textId="77777777" w:rsidR="00996AD7" w:rsidRDefault="00D96458">
            <w:pPr>
              <w:textAlignment w:val="bottom"/>
            </w:pPr>
            <w:r>
              <w:rPr>
                <w:rFonts w:ascii="Arial" w:eastAsia="宋体" w:hAnsi="Arial" w:cs="Arial"/>
                <w:color w:val="262626"/>
                <w:sz w:val="18"/>
                <w:szCs w:val="18"/>
              </w:rPr>
              <w:t xml:space="preserve">Increase in </w:t>
            </w:r>
            <w:r>
              <w:rPr>
                <w:rFonts w:ascii="Arial" w:eastAsia="宋体" w:hAnsi="Arial" w:cs="Arial"/>
                <w:color w:val="262626"/>
                <w:sz w:val="18"/>
                <w:szCs w:val="18"/>
              </w:rPr>
              <w:t>corporate spending</w:t>
            </w:r>
          </w:p>
        </w:tc>
      </w:tr>
      <w:tr w:rsidR="00996AD7" w14:paraId="39D99AC2" w14:textId="77777777">
        <w:tc>
          <w:tcPr>
            <w:tcW w:w="0" w:type="auto"/>
            <w:gridSpan w:val="3"/>
            <w:shd w:val="clear" w:color="auto" w:fill="auto"/>
            <w:tcMar>
              <w:top w:w="40" w:type="dxa"/>
              <w:left w:w="20" w:type="dxa"/>
              <w:bottom w:w="40" w:type="dxa"/>
              <w:right w:w="20" w:type="dxa"/>
            </w:tcMar>
            <w:vAlign w:val="bottom"/>
          </w:tcPr>
          <w:p w14:paraId="39D99AC0" w14:textId="77777777" w:rsidR="00996AD7" w:rsidRDefault="00D96458">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39D99AC1" w14:textId="77777777" w:rsidR="00996AD7" w:rsidRDefault="00D96458">
            <w:pPr>
              <w:textAlignment w:val="bottom"/>
            </w:pPr>
            <w:r>
              <w:rPr>
                <w:rFonts w:ascii="Arial" w:eastAsia="宋体" w:hAnsi="Arial" w:cs="Arial"/>
                <w:color w:val="262626"/>
                <w:sz w:val="18"/>
                <w:szCs w:val="18"/>
              </w:rPr>
              <w:t>Incentive-based cash compensation</w:t>
            </w:r>
          </w:p>
        </w:tc>
      </w:tr>
      <w:tr w:rsidR="00996AD7" w14:paraId="39D99AC5" w14:textId="77777777">
        <w:trPr>
          <w:hidden/>
        </w:trPr>
        <w:tc>
          <w:tcPr>
            <w:tcW w:w="0" w:type="auto"/>
            <w:gridSpan w:val="3"/>
            <w:shd w:val="clear" w:color="auto" w:fill="auto"/>
            <w:vAlign w:val="bottom"/>
          </w:tcPr>
          <w:p w14:paraId="39D99AC3" w14:textId="77777777" w:rsidR="00996AD7" w:rsidRDefault="00996AD7">
            <w:pPr>
              <w:rPr>
                <w:rFonts w:ascii="宋体"/>
                <w:vanish/>
              </w:rPr>
            </w:pPr>
          </w:p>
        </w:tc>
        <w:tc>
          <w:tcPr>
            <w:tcW w:w="0" w:type="auto"/>
            <w:gridSpan w:val="3"/>
            <w:shd w:val="clear" w:color="auto" w:fill="auto"/>
            <w:vAlign w:val="bottom"/>
          </w:tcPr>
          <w:p w14:paraId="39D99AC4" w14:textId="77777777" w:rsidR="00996AD7" w:rsidRDefault="00996AD7">
            <w:pPr>
              <w:rPr>
                <w:rFonts w:ascii="宋体"/>
                <w:vanish/>
              </w:rPr>
            </w:pPr>
          </w:p>
        </w:tc>
      </w:tr>
      <w:tr w:rsidR="00996AD7" w14:paraId="39D99AC8" w14:textId="77777777">
        <w:trPr>
          <w:hidden/>
        </w:trPr>
        <w:tc>
          <w:tcPr>
            <w:tcW w:w="0" w:type="auto"/>
            <w:gridSpan w:val="3"/>
            <w:shd w:val="clear" w:color="auto" w:fill="auto"/>
            <w:vAlign w:val="bottom"/>
          </w:tcPr>
          <w:p w14:paraId="39D99AC6" w14:textId="77777777" w:rsidR="00996AD7" w:rsidRDefault="00996AD7">
            <w:pPr>
              <w:rPr>
                <w:rFonts w:ascii="宋体"/>
                <w:vanish/>
              </w:rPr>
            </w:pPr>
          </w:p>
        </w:tc>
        <w:tc>
          <w:tcPr>
            <w:tcW w:w="0" w:type="auto"/>
            <w:gridSpan w:val="3"/>
            <w:shd w:val="clear" w:color="auto" w:fill="auto"/>
            <w:vAlign w:val="bottom"/>
          </w:tcPr>
          <w:p w14:paraId="39D99AC7" w14:textId="77777777" w:rsidR="00996AD7" w:rsidRDefault="00996AD7">
            <w:pPr>
              <w:rPr>
                <w:rFonts w:ascii="宋体"/>
                <w:vanish/>
              </w:rPr>
            </w:pPr>
          </w:p>
        </w:tc>
      </w:tr>
      <w:tr w:rsidR="00996AD7" w14:paraId="39D99ACB" w14:textId="77777777">
        <w:trPr>
          <w:hidden/>
        </w:trPr>
        <w:tc>
          <w:tcPr>
            <w:tcW w:w="0" w:type="auto"/>
            <w:gridSpan w:val="3"/>
            <w:shd w:val="clear" w:color="auto" w:fill="auto"/>
            <w:vAlign w:val="bottom"/>
          </w:tcPr>
          <w:p w14:paraId="39D99AC9" w14:textId="77777777" w:rsidR="00996AD7" w:rsidRDefault="00996AD7">
            <w:pPr>
              <w:rPr>
                <w:rFonts w:ascii="宋体"/>
                <w:vanish/>
              </w:rPr>
            </w:pPr>
          </w:p>
        </w:tc>
        <w:tc>
          <w:tcPr>
            <w:tcW w:w="0" w:type="auto"/>
            <w:gridSpan w:val="3"/>
            <w:shd w:val="clear" w:color="auto" w:fill="auto"/>
            <w:vAlign w:val="bottom"/>
          </w:tcPr>
          <w:p w14:paraId="39D99ACA" w14:textId="77777777" w:rsidR="00996AD7" w:rsidRDefault="00996AD7">
            <w:pPr>
              <w:rPr>
                <w:rFonts w:ascii="宋体"/>
                <w:vanish/>
              </w:rPr>
            </w:pPr>
          </w:p>
        </w:tc>
      </w:tr>
    </w:tbl>
    <w:p w14:paraId="39D99ACC" w14:textId="77777777" w:rsidR="00996AD7" w:rsidRDefault="00D96458">
      <w:pPr>
        <w:spacing w:after="120"/>
      </w:pPr>
      <w:r>
        <w:rPr>
          <w:rFonts w:ascii="Arial" w:eastAsia="宋体" w:hAnsi="Arial" w:cs="Arial"/>
          <w:color w:val="0068B5"/>
          <w:sz w:val="20"/>
          <w:szCs w:val="20"/>
        </w:rPr>
        <w:t>YTD 2021 vs. YTD 2020</w:t>
      </w:r>
    </w:p>
    <w:tbl>
      <w:tblPr>
        <w:tblW w:w="3490" w:type="pct"/>
        <w:tblCellMar>
          <w:top w:w="15" w:type="dxa"/>
          <w:left w:w="15" w:type="dxa"/>
          <w:bottom w:w="15" w:type="dxa"/>
          <w:right w:w="15" w:type="dxa"/>
        </w:tblCellMar>
        <w:tblLook w:val="04A0" w:firstRow="1" w:lastRow="0" w:firstColumn="1" w:lastColumn="0" w:noHBand="0" w:noVBand="1"/>
      </w:tblPr>
      <w:tblGrid>
        <w:gridCol w:w="47"/>
        <w:gridCol w:w="95"/>
        <w:gridCol w:w="38"/>
        <w:gridCol w:w="40"/>
        <w:gridCol w:w="5490"/>
        <w:gridCol w:w="37"/>
        <w:gridCol w:w="36"/>
        <w:gridCol w:w="36"/>
      </w:tblGrid>
      <w:tr w:rsidR="00996AD7" w14:paraId="39D99AD5" w14:textId="77777777">
        <w:tc>
          <w:tcPr>
            <w:tcW w:w="50" w:type="pct"/>
            <w:shd w:val="clear" w:color="auto" w:fill="auto"/>
            <w:vAlign w:val="bottom"/>
          </w:tcPr>
          <w:p w14:paraId="39D99ACD" w14:textId="77777777" w:rsidR="00996AD7" w:rsidRDefault="00996AD7">
            <w:pPr>
              <w:rPr>
                <w:rFonts w:ascii="宋体"/>
              </w:rPr>
            </w:pPr>
          </w:p>
        </w:tc>
        <w:tc>
          <w:tcPr>
            <w:tcW w:w="101" w:type="pct"/>
            <w:shd w:val="clear" w:color="auto" w:fill="auto"/>
            <w:vAlign w:val="bottom"/>
          </w:tcPr>
          <w:p w14:paraId="39D99ACE" w14:textId="77777777" w:rsidR="00996AD7" w:rsidRDefault="00996AD7">
            <w:pPr>
              <w:rPr>
                <w:rFonts w:ascii="宋体"/>
              </w:rPr>
            </w:pPr>
          </w:p>
        </w:tc>
        <w:tc>
          <w:tcPr>
            <w:tcW w:w="5" w:type="pct"/>
            <w:shd w:val="clear" w:color="auto" w:fill="auto"/>
            <w:vAlign w:val="bottom"/>
          </w:tcPr>
          <w:p w14:paraId="39D99ACF" w14:textId="77777777" w:rsidR="00996AD7" w:rsidRDefault="00996AD7">
            <w:pPr>
              <w:rPr>
                <w:rFonts w:ascii="宋体"/>
              </w:rPr>
            </w:pPr>
          </w:p>
        </w:tc>
        <w:tc>
          <w:tcPr>
            <w:tcW w:w="50" w:type="pct"/>
            <w:shd w:val="clear" w:color="auto" w:fill="auto"/>
            <w:vAlign w:val="bottom"/>
          </w:tcPr>
          <w:p w14:paraId="39D99AD0" w14:textId="77777777" w:rsidR="00996AD7" w:rsidRDefault="00996AD7">
            <w:pPr>
              <w:rPr>
                <w:rFonts w:ascii="宋体"/>
              </w:rPr>
            </w:pPr>
          </w:p>
        </w:tc>
        <w:tc>
          <w:tcPr>
            <w:tcW w:w="4788" w:type="pct"/>
            <w:shd w:val="clear" w:color="auto" w:fill="auto"/>
            <w:vAlign w:val="bottom"/>
          </w:tcPr>
          <w:p w14:paraId="39D99AD1" w14:textId="77777777" w:rsidR="00996AD7" w:rsidRDefault="00996AD7">
            <w:pPr>
              <w:rPr>
                <w:rFonts w:ascii="宋体"/>
              </w:rPr>
            </w:pPr>
          </w:p>
        </w:tc>
        <w:tc>
          <w:tcPr>
            <w:tcW w:w="5" w:type="pct"/>
            <w:shd w:val="clear" w:color="auto" w:fill="auto"/>
            <w:vAlign w:val="bottom"/>
          </w:tcPr>
          <w:p w14:paraId="39D99AD2" w14:textId="77777777" w:rsidR="00996AD7" w:rsidRDefault="00996AD7">
            <w:pPr>
              <w:rPr>
                <w:rFonts w:ascii="宋体"/>
              </w:rPr>
            </w:pPr>
          </w:p>
        </w:tc>
        <w:tc>
          <w:tcPr>
            <w:tcW w:w="0" w:type="auto"/>
            <w:shd w:val="clear" w:color="auto" w:fill="auto"/>
            <w:vAlign w:val="bottom"/>
          </w:tcPr>
          <w:p w14:paraId="39D99AD3" w14:textId="77777777" w:rsidR="00996AD7" w:rsidRDefault="00996AD7">
            <w:pPr>
              <w:rPr>
                <w:rFonts w:ascii="宋体"/>
                <w:vanish/>
              </w:rPr>
            </w:pPr>
          </w:p>
        </w:tc>
        <w:tc>
          <w:tcPr>
            <w:tcW w:w="0" w:type="auto"/>
            <w:shd w:val="clear" w:color="auto" w:fill="auto"/>
            <w:vAlign w:val="bottom"/>
          </w:tcPr>
          <w:p w14:paraId="39D99AD4" w14:textId="77777777" w:rsidR="00996AD7" w:rsidRDefault="00996AD7">
            <w:pPr>
              <w:rPr>
                <w:rFonts w:ascii="宋体"/>
                <w:vanish/>
              </w:rPr>
            </w:pPr>
          </w:p>
        </w:tc>
      </w:tr>
      <w:tr w:rsidR="00996AD7" w14:paraId="39D99AD9" w14:textId="77777777">
        <w:tc>
          <w:tcPr>
            <w:tcW w:w="0" w:type="auto"/>
            <w:gridSpan w:val="6"/>
            <w:shd w:val="clear" w:color="auto" w:fill="auto"/>
            <w:tcMar>
              <w:top w:w="40" w:type="dxa"/>
              <w:left w:w="20" w:type="dxa"/>
              <w:bottom w:w="40" w:type="dxa"/>
              <w:right w:w="20" w:type="dxa"/>
            </w:tcMar>
            <w:vAlign w:val="bottom"/>
          </w:tcPr>
          <w:p w14:paraId="39D99AD6" w14:textId="77777777" w:rsidR="00996AD7" w:rsidRDefault="00D96458">
            <w:pPr>
              <w:textAlignment w:val="bottom"/>
            </w:pPr>
            <w:r>
              <w:rPr>
                <w:rFonts w:ascii="Arial" w:eastAsia="宋体" w:hAnsi="Arial" w:cs="Arial"/>
                <w:color w:val="333333"/>
                <w:sz w:val="18"/>
                <w:szCs w:val="18"/>
              </w:rPr>
              <w:t>MG&amp;A spending increased by $178 million, or 4.0%, driven by the following:</w:t>
            </w:r>
          </w:p>
        </w:tc>
        <w:tc>
          <w:tcPr>
            <w:tcW w:w="0" w:type="auto"/>
            <w:shd w:val="clear" w:color="auto" w:fill="auto"/>
            <w:vAlign w:val="bottom"/>
          </w:tcPr>
          <w:p w14:paraId="39D99AD7" w14:textId="77777777" w:rsidR="00996AD7" w:rsidRDefault="00996AD7">
            <w:pPr>
              <w:rPr>
                <w:rFonts w:ascii="宋体"/>
                <w:vanish/>
              </w:rPr>
            </w:pPr>
          </w:p>
        </w:tc>
        <w:tc>
          <w:tcPr>
            <w:tcW w:w="0" w:type="auto"/>
            <w:shd w:val="clear" w:color="auto" w:fill="auto"/>
            <w:vAlign w:val="bottom"/>
          </w:tcPr>
          <w:p w14:paraId="39D99AD8" w14:textId="77777777" w:rsidR="00996AD7" w:rsidRDefault="00996AD7">
            <w:pPr>
              <w:rPr>
                <w:rFonts w:ascii="宋体"/>
                <w:vanish/>
              </w:rPr>
            </w:pPr>
          </w:p>
        </w:tc>
      </w:tr>
      <w:tr w:rsidR="00996AD7" w14:paraId="39D99ADE" w14:textId="77777777">
        <w:trPr>
          <w:trHeight w:val="100"/>
        </w:trPr>
        <w:tc>
          <w:tcPr>
            <w:tcW w:w="0" w:type="auto"/>
            <w:gridSpan w:val="3"/>
            <w:shd w:val="clear" w:color="auto" w:fill="auto"/>
            <w:tcMar>
              <w:top w:w="0" w:type="dxa"/>
              <w:left w:w="20" w:type="dxa"/>
              <w:bottom w:w="0" w:type="dxa"/>
              <w:right w:w="20" w:type="dxa"/>
            </w:tcMar>
            <w:vAlign w:val="bottom"/>
          </w:tcPr>
          <w:p w14:paraId="39D99AD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ADB" w14:textId="77777777" w:rsidR="00996AD7" w:rsidRDefault="00996AD7">
            <w:pPr>
              <w:rPr>
                <w:rFonts w:ascii="宋体"/>
              </w:rPr>
            </w:pPr>
          </w:p>
        </w:tc>
        <w:tc>
          <w:tcPr>
            <w:tcW w:w="0" w:type="auto"/>
            <w:shd w:val="clear" w:color="auto" w:fill="auto"/>
            <w:vAlign w:val="bottom"/>
          </w:tcPr>
          <w:p w14:paraId="39D99ADC" w14:textId="77777777" w:rsidR="00996AD7" w:rsidRDefault="00996AD7">
            <w:pPr>
              <w:rPr>
                <w:rFonts w:ascii="宋体"/>
                <w:vanish/>
              </w:rPr>
            </w:pPr>
          </w:p>
        </w:tc>
        <w:tc>
          <w:tcPr>
            <w:tcW w:w="0" w:type="auto"/>
            <w:shd w:val="clear" w:color="auto" w:fill="auto"/>
            <w:vAlign w:val="bottom"/>
          </w:tcPr>
          <w:p w14:paraId="39D99ADD" w14:textId="77777777" w:rsidR="00996AD7" w:rsidRDefault="00996AD7">
            <w:pPr>
              <w:rPr>
                <w:rFonts w:ascii="宋体"/>
                <w:vanish/>
              </w:rPr>
            </w:pPr>
          </w:p>
        </w:tc>
      </w:tr>
      <w:tr w:rsidR="00996AD7" w14:paraId="39D99AE3" w14:textId="77777777">
        <w:tc>
          <w:tcPr>
            <w:tcW w:w="0" w:type="auto"/>
            <w:gridSpan w:val="3"/>
            <w:shd w:val="clear" w:color="auto" w:fill="auto"/>
            <w:tcMar>
              <w:top w:w="40" w:type="dxa"/>
              <w:left w:w="20" w:type="dxa"/>
              <w:bottom w:w="40" w:type="dxa"/>
              <w:right w:w="20" w:type="dxa"/>
            </w:tcMar>
            <w:vAlign w:val="bottom"/>
          </w:tcPr>
          <w:p w14:paraId="39D99ADF" w14:textId="77777777" w:rsidR="00996AD7" w:rsidRDefault="00D96458">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39D99AE0" w14:textId="77777777" w:rsidR="00996AD7" w:rsidRDefault="00D96458">
            <w:pPr>
              <w:textAlignment w:val="bottom"/>
            </w:pPr>
            <w:r>
              <w:rPr>
                <w:rFonts w:ascii="Arial" w:eastAsia="宋体" w:hAnsi="Arial" w:cs="Arial"/>
                <w:color w:val="262626"/>
                <w:sz w:val="18"/>
                <w:szCs w:val="18"/>
              </w:rPr>
              <w:t>Increase in corporate spending</w:t>
            </w:r>
          </w:p>
        </w:tc>
        <w:tc>
          <w:tcPr>
            <w:tcW w:w="0" w:type="auto"/>
            <w:shd w:val="clear" w:color="auto" w:fill="auto"/>
            <w:vAlign w:val="bottom"/>
          </w:tcPr>
          <w:p w14:paraId="39D99AE1" w14:textId="77777777" w:rsidR="00996AD7" w:rsidRDefault="00996AD7">
            <w:pPr>
              <w:rPr>
                <w:rFonts w:ascii="宋体"/>
                <w:vanish/>
              </w:rPr>
            </w:pPr>
          </w:p>
        </w:tc>
        <w:tc>
          <w:tcPr>
            <w:tcW w:w="0" w:type="auto"/>
            <w:shd w:val="clear" w:color="auto" w:fill="auto"/>
            <w:vAlign w:val="bottom"/>
          </w:tcPr>
          <w:p w14:paraId="39D99AE2" w14:textId="77777777" w:rsidR="00996AD7" w:rsidRDefault="00996AD7">
            <w:pPr>
              <w:rPr>
                <w:rFonts w:ascii="宋体"/>
                <w:vanish/>
              </w:rPr>
            </w:pPr>
          </w:p>
        </w:tc>
      </w:tr>
      <w:tr w:rsidR="00996AD7" w14:paraId="39D99AE8" w14:textId="77777777">
        <w:tc>
          <w:tcPr>
            <w:tcW w:w="0" w:type="auto"/>
            <w:gridSpan w:val="3"/>
            <w:shd w:val="clear" w:color="auto" w:fill="auto"/>
            <w:tcMar>
              <w:top w:w="40" w:type="dxa"/>
              <w:left w:w="20" w:type="dxa"/>
              <w:bottom w:w="40" w:type="dxa"/>
              <w:right w:w="20" w:type="dxa"/>
            </w:tcMar>
            <w:vAlign w:val="bottom"/>
          </w:tcPr>
          <w:p w14:paraId="39D99AE4" w14:textId="77777777" w:rsidR="00996AD7" w:rsidRDefault="00D96458">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39D99AE5" w14:textId="77777777" w:rsidR="00996AD7" w:rsidRDefault="00D96458">
            <w:pPr>
              <w:textAlignment w:val="bottom"/>
            </w:pPr>
            <w:r>
              <w:rPr>
                <w:rFonts w:ascii="Arial" w:eastAsia="宋体" w:hAnsi="Arial" w:cs="Arial"/>
                <w:color w:val="262626"/>
                <w:sz w:val="18"/>
                <w:szCs w:val="18"/>
              </w:rPr>
              <w:t xml:space="preserve">Incentive-based cash </w:t>
            </w:r>
            <w:r>
              <w:rPr>
                <w:rFonts w:ascii="Arial" w:eastAsia="宋体" w:hAnsi="Arial" w:cs="Arial"/>
                <w:color w:val="262626"/>
                <w:sz w:val="18"/>
                <w:szCs w:val="18"/>
              </w:rPr>
              <w:t>compensation</w:t>
            </w:r>
          </w:p>
        </w:tc>
        <w:tc>
          <w:tcPr>
            <w:tcW w:w="0" w:type="auto"/>
            <w:shd w:val="clear" w:color="auto" w:fill="auto"/>
            <w:vAlign w:val="bottom"/>
          </w:tcPr>
          <w:p w14:paraId="39D99AE6" w14:textId="77777777" w:rsidR="00996AD7" w:rsidRDefault="00996AD7">
            <w:pPr>
              <w:rPr>
                <w:rFonts w:ascii="宋体"/>
                <w:vanish/>
              </w:rPr>
            </w:pPr>
          </w:p>
        </w:tc>
        <w:tc>
          <w:tcPr>
            <w:tcW w:w="0" w:type="auto"/>
            <w:shd w:val="clear" w:color="auto" w:fill="auto"/>
            <w:vAlign w:val="bottom"/>
          </w:tcPr>
          <w:p w14:paraId="39D99AE7" w14:textId="77777777" w:rsidR="00996AD7" w:rsidRDefault="00996AD7">
            <w:pPr>
              <w:rPr>
                <w:rFonts w:ascii="宋体"/>
                <w:vanish/>
              </w:rPr>
            </w:pPr>
          </w:p>
        </w:tc>
      </w:tr>
      <w:tr w:rsidR="00996AD7" w14:paraId="39D99AED" w14:textId="77777777">
        <w:trPr>
          <w:hidden/>
        </w:trPr>
        <w:tc>
          <w:tcPr>
            <w:tcW w:w="0" w:type="auto"/>
            <w:gridSpan w:val="3"/>
            <w:shd w:val="clear" w:color="auto" w:fill="auto"/>
            <w:vAlign w:val="bottom"/>
          </w:tcPr>
          <w:p w14:paraId="39D99AE9" w14:textId="77777777" w:rsidR="00996AD7" w:rsidRDefault="00996AD7">
            <w:pPr>
              <w:rPr>
                <w:rFonts w:ascii="宋体"/>
                <w:vanish/>
              </w:rPr>
            </w:pPr>
          </w:p>
        </w:tc>
        <w:tc>
          <w:tcPr>
            <w:tcW w:w="0" w:type="auto"/>
            <w:gridSpan w:val="3"/>
            <w:shd w:val="clear" w:color="auto" w:fill="auto"/>
            <w:vAlign w:val="bottom"/>
          </w:tcPr>
          <w:p w14:paraId="39D99AEA" w14:textId="77777777" w:rsidR="00996AD7" w:rsidRDefault="00996AD7">
            <w:pPr>
              <w:rPr>
                <w:rFonts w:ascii="宋体"/>
                <w:vanish/>
              </w:rPr>
            </w:pPr>
          </w:p>
        </w:tc>
        <w:tc>
          <w:tcPr>
            <w:tcW w:w="0" w:type="auto"/>
            <w:shd w:val="clear" w:color="auto" w:fill="auto"/>
            <w:vAlign w:val="bottom"/>
          </w:tcPr>
          <w:p w14:paraId="39D99AEB" w14:textId="77777777" w:rsidR="00996AD7" w:rsidRDefault="00996AD7">
            <w:pPr>
              <w:rPr>
                <w:rFonts w:ascii="宋体"/>
                <w:vanish/>
              </w:rPr>
            </w:pPr>
          </w:p>
        </w:tc>
        <w:tc>
          <w:tcPr>
            <w:tcW w:w="0" w:type="auto"/>
            <w:shd w:val="clear" w:color="auto" w:fill="auto"/>
            <w:vAlign w:val="bottom"/>
          </w:tcPr>
          <w:p w14:paraId="39D99AEC" w14:textId="77777777" w:rsidR="00996AD7" w:rsidRDefault="00996AD7">
            <w:pPr>
              <w:rPr>
                <w:rFonts w:ascii="宋体"/>
                <w:vanish/>
              </w:rPr>
            </w:pPr>
          </w:p>
        </w:tc>
      </w:tr>
      <w:tr w:rsidR="00996AD7" w14:paraId="39D99AF2" w14:textId="77777777">
        <w:trPr>
          <w:hidden/>
        </w:trPr>
        <w:tc>
          <w:tcPr>
            <w:tcW w:w="0" w:type="auto"/>
            <w:gridSpan w:val="3"/>
            <w:shd w:val="clear" w:color="auto" w:fill="auto"/>
            <w:vAlign w:val="bottom"/>
          </w:tcPr>
          <w:p w14:paraId="39D99AEE" w14:textId="77777777" w:rsidR="00996AD7" w:rsidRDefault="00996AD7">
            <w:pPr>
              <w:rPr>
                <w:rFonts w:ascii="宋体"/>
                <w:vanish/>
              </w:rPr>
            </w:pPr>
          </w:p>
        </w:tc>
        <w:tc>
          <w:tcPr>
            <w:tcW w:w="0" w:type="auto"/>
            <w:gridSpan w:val="3"/>
            <w:shd w:val="clear" w:color="auto" w:fill="auto"/>
            <w:vAlign w:val="bottom"/>
          </w:tcPr>
          <w:p w14:paraId="39D99AEF" w14:textId="77777777" w:rsidR="00996AD7" w:rsidRDefault="00996AD7">
            <w:pPr>
              <w:rPr>
                <w:rFonts w:ascii="宋体"/>
                <w:vanish/>
              </w:rPr>
            </w:pPr>
          </w:p>
        </w:tc>
        <w:tc>
          <w:tcPr>
            <w:tcW w:w="0" w:type="auto"/>
            <w:shd w:val="clear" w:color="auto" w:fill="auto"/>
            <w:vAlign w:val="bottom"/>
          </w:tcPr>
          <w:p w14:paraId="39D99AF0" w14:textId="77777777" w:rsidR="00996AD7" w:rsidRDefault="00996AD7">
            <w:pPr>
              <w:rPr>
                <w:rFonts w:ascii="宋体"/>
                <w:vanish/>
              </w:rPr>
            </w:pPr>
          </w:p>
        </w:tc>
        <w:tc>
          <w:tcPr>
            <w:tcW w:w="0" w:type="auto"/>
            <w:shd w:val="clear" w:color="auto" w:fill="auto"/>
            <w:vAlign w:val="bottom"/>
          </w:tcPr>
          <w:p w14:paraId="39D99AF1" w14:textId="77777777" w:rsidR="00996AD7" w:rsidRDefault="00996AD7">
            <w:pPr>
              <w:rPr>
                <w:rFonts w:ascii="宋体"/>
                <w:vanish/>
              </w:rPr>
            </w:pPr>
          </w:p>
        </w:tc>
      </w:tr>
      <w:tr w:rsidR="00996AD7" w14:paraId="39D99AF7" w14:textId="77777777">
        <w:trPr>
          <w:hidden/>
        </w:trPr>
        <w:tc>
          <w:tcPr>
            <w:tcW w:w="0" w:type="auto"/>
            <w:gridSpan w:val="3"/>
            <w:shd w:val="clear" w:color="auto" w:fill="auto"/>
            <w:vAlign w:val="bottom"/>
          </w:tcPr>
          <w:p w14:paraId="39D99AF3" w14:textId="77777777" w:rsidR="00996AD7" w:rsidRDefault="00996AD7">
            <w:pPr>
              <w:rPr>
                <w:rFonts w:ascii="宋体"/>
                <w:vanish/>
              </w:rPr>
            </w:pPr>
          </w:p>
        </w:tc>
        <w:tc>
          <w:tcPr>
            <w:tcW w:w="0" w:type="auto"/>
            <w:gridSpan w:val="3"/>
            <w:shd w:val="clear" w:color="auto" w:fill="auto"/>
            <w:vAlign w:val="bottom"/>
          </w:tcPr>
          <w:p w14:paraId="39D99AF4" w14:textId="77777777" w:rsidR="00996AD7" w:rsidRDefault="00996AD7">
            <w:pPr>
              <w:rPr>
                <w:rFonts w:ascii="宋体"/>
                <w:vanish/>
              </w:rPr>
            </w:pPr>
          </w:p>
        </w:tc>
        <w:tc>
          <w:tcPr>
            <w:tcW w:w="0" w:type="auto"/>
            <w:shd w:val="clear" w:color="auto" w:fill="auto"/>
            <w:vAlign w:val="bottom"/>
          </w:tcPr>
          <w:p w14:paraId="39D99AF5" w14:textId="77777777" w:rsidR="00996AD7" w:rsidRDefault="00996AD7">
            <w:pPr>
              <w:rPr>
                <w:rFonts w:ascii="宋体"/>
                <w:vanish/>
              </w:rPr>
            </w:pPr>
          </w:p>
        </w:tc>
        <w:tc>
          <w:tcPr>
            <w:tcW w:w="0" w:type="auto"/>
            <w:shd w:val="clear" w:color="auto" w:fill="auto"/>
            <w:vAlign w:val="bottom"/>
          </w:tcPr>
          <w:p w14:paraId="39D99AF6" w14:textId="77777777" w:rsidR="00996AD7" w:rsidRDefault="00996AD7">
            <w:pPr>
              <w:rPr>
                <w:rFonts w:ascii="宋体"/>
                <w:vanish/>
              </w:rPr>
            </w:pPr>
          </w:p>
        </w:tc>
      </w:tr>
    </w:tbl>
    <w:p w14:paraId="39D99AF8" w14:textId="77777777" w:rsidR="00996AD7" w:rsidRDefault="00996AD7">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996AD7" w14:paraId="39D99B02" w14:textId="77777777">
        <w:tc>
          <w:tcPr>
            <w:tcW w:w="50" w:type="pct"/>
            <w:shd w:val="clear" w:color="auto" w:fill="auto"/>
            <w:vAlign w:val="bottom"/>
          </w:tcPr>
          <w:p w14:paraId="39D99AF9" w14:textId="77777777" w:rsidR="00996AD7" w:rsidRDefault="00996AD7">
            <w:pPr>
              <w:rPr>
                <w:rFonts w:ascii="宋体"/>
              </w:rPr>
            </w:pPr>
          </w:p>
        </w:tc>
        <w:tc>
          <w:tcPr>
            <w:tcW w:w="212" w:type="pct"/>
            <w:shd w:val="clear" w:color="auto" w:fill="auto"/>
            <w:vAlign w:val="bottom"/>
          </w:tcPr>
          <w:p w14:paraId="39D99AFA" w14:textId="77777777" w:rsidR="00996AD7" w:rsidRDefault="00996AD7">
            <w:pPr>
              <w:rPr>
                <w:rFonts w:ascii="宋体"/>
              </w:rPr>
            </w:pPr>
          </w:p>
        </w:tc>
        <w:tc>
          <w:tcPr>
            <w:tcW w:w="5" w:type="pct"/>
            <w:shd w:val="clear" w:color="auto" w:fill="auto"/>
            <w:vAlign w:val="bottom"/>
          </w:tcPr>
          <w:p w14:paraId="39D99AFB" w14:textId="77777777" w:rsidR="00996AD7" w:rsidRDefault="00996AD7">
            <w:pPr>
              <w:rPr>
                <w:rFonts w:ascii="宋体"/>
              </w:rPr>
            </w:pPr>
          </w:p>
        </w:tc>
        <w:tc>
          <w:tcPr>
            <w:tcW w:w="50" w:type="pct"/>
            <w:shd w:val="clear" w:color="auto" w:fill="auto"/>
            <w:vAlign w:val="bottom"/>
          </w:tcPr>
          <w:p w14:paraId="39D99AFC" w14:textId="77777777" w:rsidR="00996AD7" w:rsidRDefault="00996AD7">
            <w:pPr>
              <w:rPr>
                <w:rFonts w:ascii="宋体"/>
              </w:rPr>
            </w:pPr>
          </w:p>
        </w:tc>
        <w:tc>
          <w:tcPr>
            <w:tcW w:w="2499" w:type="pct"/>
            <w:shd w:val="clear" w:color="auto" w:fill="auto"/>
            <w:vAlign w:val="bottom"/>
          </w:tcPr>
          <w:p w14:paraId="39D99AFD" w14:textId="77777777" w:rsidR="00996AD7" w:rsidRDefault="00996AD7">
            <w:pPr>
              <w:rPr>
                <w:rFonts w:ascii="宋体"/>
              </w:rPr>
            </w:pPr>
          </w:p>
        </w:tc>
        <w:tc>
          <w:tcPr>
            <w:tcW w:w="5" w:type="pct"/>
            <w:shd w:val="clear" w:color="auto" w:fill="auto"/>
            <w:vAlign w:val="bottom"/>
          </w:tcPr>
          <w:p w14:paraId="39D99AFE" w14:textId="77777777" w:rsidR="00996AD7" w:rsidRDefault="00996AD7">
            <w:pPr>
              <w:rPr>
                <w:rFonts w:ascii="宋体"/>
              </w:rPr>
            </w:pPr>
          </w:p>
        </w:tc>
        <w:tc>
          <w:tcPr>
            <w:tcW w:w="50" w:type="pct"/>
            <w:shd w:val="clear" w:color="auto" w:fill="auto"/>
            <w:vAlign w:val="bottom"/>
          </w:tcPr>
          <w:p w14:paraId="39D99AFF" w14:textId="77777777" w:rsidR="00996AD7" w:rsidRDefault="00996AD7">
            <w:pPr>
              <w:rPr>
                <w:rFonts w:ascii="宋体"/>
              </w:rPr>
            </w:pPr>
          </w:p>
        </w:tc>
        <w:tc>
          <w:tcPr>
            <w:tcW w:w="2122" w:type="pct"/>
            <w:shd w:val="clear" w:color="auto" w:fill="auto"/>
            <w:vAlign w:val="bottom"/>
          </w:tcPr>
          <w:p w14:paraId="39D99B00" w14:textId="77777777" w:rsidR="00996AD7" w:rsidRDefault="00996AD7">
            <w:pPr>
              <w:rPr>
                <w:rFonts w:ascii="宋体"/>
              </w:rPr>
            </w:pPr>
          </w:p>
        </w:tc>
        <w:tc>
          <w:tcPr>
            <w:tcW w:w="5" w:type="pct"/>
            <w:shd w:val="clear" w:color="auto" w:fill="auto"/>
            <w:vAlign w:val="bottom"/>
          </w:tcPr>
          <w:p w14:paraId="39D99B01" w14:textId="77777777" w:rsidR="00996AD7" w:rsidRDefault="00996AD7">
            <w:pPr>
              <w:rPr>
                <w:rFonts w:ascii="宋体"/>
              </w:rPr>
            </w:pPr>
          </w:p>
        </w:tc>
      </w:tr>
      <w:tr w:rsidR="00996AD7" w14:paraId="39D99B0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B03"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20" wp14:editId="39D9A421">
                  <wp:extent cx="304800" cy="304800"/>
                  <wp:effectExtent l="0" t="0" r="0" b="0"/>
                  <wp:docPr id="38" name="图片 12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7"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B04"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B05" w14:textId="77777777" w:rsidR="00996AD7" w:rsidRDefault="00D96458">
            <w:pPr>
              <w:jc w:val="right"/>
              <w:textAlignment w:val="center"/>
            </w:pPr>
            <w:r>
              <w:rPr>
                <w:rFonts w:ascii="Arial" w:eastAsia="宋体" w:hAnsi="Arial" w:cs="Arial"/>
                <w:color w:val="262626"/>
                <w:sz w:val="16"/>
                <w:szCs w:val="16"/>
              </w:rPr>
              <w:t>35</w:t>
            </w:r>
          </w:p>
        </w:tc>
      </w:tr>
    </w:tbl>
    <w:p w14:paraId="39D99B07" w14:textId="77777777" w:rsidR="00996AD7" w:rsidRDefault="00D96458">
      <w:r>
        <w:pict w14:anchorId="39D9A422">
          <v:rect id="_x0000_i1061" style="width:415.3pt;height:1.5pt" o:hralign="center" o:hrstd="t" o:hr="t" fillcolor="#a0a0a0" stroked="f"/>
        </w:pict>
      </w:r>
    </w:p>
    <w:p w14:paraId="39D99B08" w14:textId="77777777" w:rsidR="00996AD7" w:rsidRDefault="00D96458">
      <w:pPr>
        <w:spacing w:after="180"/>
        <w:jc w:val="right"/>
      </w:pPr>
      <w:hyperlink r:id="rId62" w:anchor="i94e6cc3aa83643b8b968bd5bab038338_7" w:history="1">
        <w:r>
          <w:rPr>
            <w:rStyle w:val="a5"/>
            <w:rFonts w:ascii="Arial" w:eastAsia="宋体" w:hAnsi="Arial" w:cs="Arial"/>
            <w:b/>
            <w:bCs/>
            <w:color w:val="0068B5"/>
            <w:sz w:val="16"/>
            <w:szCs w:val="16"/>
          </w:rPr>
          <w:t>Table of Contents</w:t>
        </w:r>
      </w:hyperlink>
    </w:p>
    <w:p w14:paraId="39D99B09" w14:textId="77777777" w:rsidR="00996AD7" w:rsidRDefault="00996AD7">
      <w:pPr>
        <w:spacing w:after="180"/>
        <w:jc w:val="right"/>
      </w:pPr>
    </w:p>
    <w:p w14:paraId="39D99B0A" w14:textId="77777777" w:rsidR="00996AD7" w:rsidRDefault="00D96458">
      <w:pPr>
        <w:spacing w:after="180"/>
      </w:pPr>
      <w:r>
        <w:rPr>
          <w:rFonts w:ascii="Arial" w:eastAsia="宋体" w:hAnsi="Arial" w:cs="Arial"/>
          <w:color w:val="0068B5"/>
          <w:sz w:val="28"/>
          <w:szCs w:val="28"/>
        </w:rPr>
        <w:t>Gains (Losses) on Equity Investments and 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43"/>
        <w:gridCol w:w="3911"/>
        <w:gridCol w:w="37"/>
        <w:gridCol w:w="36"/>
        <w:gridCol w:w="36"/>
        <w:gridCol w:w="36"/>
        <w:gridCol w:w="121"/>
        <w:gridCol w:w="753"/>
        <w:gridCol w:w="36"/>
        <w:gridCol w:w="36"/>
        <w:gridCol w:w="36"/>
        <w:gridCol w:w="36"/>
        <w:gridCol w:w="121"/>
        <w:gridCol w:w="754"/>
        <w:gridCol w:w="36"/>
        <w:gridCol w:w="36"/>
        <w:gridCol w:w="36"/>
        <w:gridCol w:w="36"/>
        <w:gridCol w:w="121"/>
        <w:gridCol w:w="817"/>
        <w:gridCol w:w="36"/>
        <w:gridCol w:w="36"/>
        <w:gridCol w:w="36"/>
        <w:gridCol w:w="36"/>
        <w:gridCol w:w="121"/>
        <w:gridCol w:w="817"/>
        <w:gridCol w:w="36"/>
        <w:gridCol w:w="36"/>
        <w:gridCol w:w="36"/>
        <w:gridCol w:w="36"/>
        <w:gridCol w:w="36"/>
      </w:tblGrid>
      <w:tr w:rsidR="00996AD7" w14:paraId="39D99B2A" w14:textId="77777777">
        <w:tc>
          <w:tcPr>
            <w:tcW w:w="50" w:type="pct"/>
            <w:shd w:val="clear" w:color="auto" w:fill="auto"/>
            <w:vAlign w:val="bottom"/>
          </w:tcPr>
          <w:p w14:paraId="39D99B0B" w14:textId="77777777" w:rsidR="00996AD7" w:rsidRDefault="00996AD7">
            <w:pPr>
              <w:rPr>
                <w:rFonts w:ascii="宋体"/>
              </w:rPr>
            </w:pPr>
          </w:p>
        </w:tc>
        <w:tc>
          <w:tcPr>
            <w:tcW w:w="2445" w:type="pct"/>
            <w:shd w:val="clear" w:color="auto" w:fill="auto"/>
            <w:vAlign w:val="bottom"/>
          </w:tcPr>
          <w:p w14:paraId="39D99B0C" w14:textId="77777777" w:rsidR="00996AD7" w:rsidRDefault="00996AD7">
            <w:pPr>
              <w:rPr>
                <w:rFonts w:ascii="宋体"/>
              </w:rPr>
            </w:pPr>
          </w:p>
        </w:tc>
        <w:tc>
          <w:tcPr>
            <w:tcW w:w="5" w:type="pct"/>
            <w:shd w:val="clear" w:color="auto" w:fill="auto"/>
            <w:vAlign w:val="bottom"/>
          </w:tcPr>
          <w:p w14:paraId="39D99B0D" w14:textId="77777777" w:rsidR="00996AD7" w:rsidRDefault="00996AD7">
            <w:pPr>
              <w:rPr>
                <w:rFonts w:ascii="宋体"/>
              </w:rPr>
            </w:pPr>
          </w:p>
        </w:tc>
        <w:tc>
          <w:tcPr>
            <w:tcW w:w="5" w:type="pct"/>
            <w:shd w:val="clear" w:color="auto" w:fill="auto"/>
            <w:vAlign w:val="bottom"/>
          </w:tcPr>
          <w:p w14:paraId="39D99B0E" w14:textId="77777777" w:rsidR="00996AD7" w:rsidRDefault="00996AD7">
            <w:pPr>
              <w:rPr>
                <w:rFonts w:ascii="宋体"/>
              </w:rPr>
            </w:pPr>
          </w:p>
        </w:tc>
        <w:tc>
          <w:tcPr>
            <w:tcW w:w="24" w:type="pct"/>
            <w:shd w:val="clear" w:color="auto" w:fill="auto"/>
            <w:vAlign w:val="bottom"/>
          </w:tcPr>
          <w:p w14:paraId="39D99B0F" w14:textId="77777777" w:rsidR="00996AD7" w:rsidRDefault="00996AD7">
            <w:pPr>
              <w:rPr>
                <w:rFonts w:ascii="宋体"/>
              </w:rPr>
            </w:pPr>
          </w:p>
        </w:tc>
        <w:tc>
          <w:tcPr>
            <w:tcW w:w="5" w:type="pct"/>
            <w:shd w:val="clear" w:color="auto" w:fill="auto"/>
            <w:vAlign w:val="bottom"/>
          </w:tcPr>
          <w:p w14:paraId="39D99B10" w14:textId="77777777" w:rsidR="00996AD7" w:rsidRDefault="00996AD7">
            <w:pPr>
              <w:rPr>
                <w:rFonts w:ascii="宋体"/>
              </w:rPr>
            </w:pPr>
          </w:p>
        </w:tc>
        <w:tc>
          <w:tcPr>
            <w:tcW w:w="50" w:type="pct"/>
            <w:shd w:val="clear" w:color="auto" w:fill="auto"/>
            <w:vAlign w:val="bottom"/>
          </w:tcPr>
          <w:p w14:paraId="39D99B11" w14:textId="77777777" w:rsidR="00996AD7" w:rsidRDefault="00996AD7">
            <w:pPr>
              <w:rPr>
                <w:rFonts w:ascii="宋体"/>
              </w:rPr>
            </w:pPr>
          </w:p>
        </w:tc>
        <w:tc>
          <w:tcPr>
            <w:tcW w:w="539" w:type="pct"/>
            <w:shd w:val="clear" w:color="auto" w:fill="auto"/>
            <w:vAlign w:val="bottom"/>
          </w:tcPr>
          <w:p w14:paraId="39D99B12" w14:textId="77777777" w:rsidR="00996AD7" w:rsidRDefault="00996AD7">
            <w:pPr>
              <w:rPr>
                <w:rFonts w:ascii="宋体"/>
              </w:rPr>
            </w:pPr>
          </w:p>
        </w:tc>
        <w:tc>
          <w:tcPr>
            <w:tcW w:w="5" w:type="pct"/>
            <w:shd w:val="clear" w:color="auto" w:fill="auto"/>
            <w:vAlign w:val="bottom"/>
          </w:tcPr>
          <w:p w14:paraId="39D99B13" w14:textId="77777777" w:rsidR="00996AD7" w:rsidRDefault="00996AD7">
            <w:pPr>
              <w:rPr>
                <w:rFonts w:ascii="宋体"/>
              </w:rPr>
            </w:pPr>
          </w:p>
        </w:tc>
        <w:tc>
          <w:tcPr>
            <w:tcW w:w="5" w:type="pct"/>
            <w:shd w:val="clear" w:color="auto" w:fill="auto"/>
            <w:vAlign w:val="bottom"/>
          </w:tcPr>
          <w:p w14:paraId="39D99B14" w14:textId="77777777" w:rsidR="00996AD7" w:rsidRDefault="00996AD7">
            <w:pPr>
              <w:rPr>
                <w:rFonts w:ascii="宋体"/>
              </w:rPr>
            </w:pPr>
          </w:p>
        </w:tc>
        <w:tc>
          <w:tcPr>
            <w:tcW w:w="24" w:type="pct"/>
            <w:shd w:val="clear" w:color="auto" w:fill="auto"/>
            <w:vAlign w:val="bottom"/>
          </w:tcPr>
          <w:p w14:paraId="39D99B15" w14:textId="77777777" w:rsidR="00996AD7" w:rsidRDefault="00996AD7">
            <w:pPr>
              <w:rPr>
                <w:rFonts w:ascii="宋体"/>
              </w:rPr>
            </w:pPr>
          </w:p>
        </w:tc>
        <w:tc>
          <w:tcPr>
            <w:tcW w:w="5" w:type="pct"/>
            <w:shd w:val="clear" w:color="auto" w:fill="auto"/>
            <w:vAlign w:val="bottom"/>
          </w:tcPr>
          <w:p w14:paraId="39D99B16" w14:textId="77777777" w:rsidR="00996AD7" w:rsidRDefault="00996AD7">
            <w:pPr>
              <w:rPr>
                <w:rFonts w:ascii="宋体"/>
              </w:rPr>
            </w:pPr>
          </w:p>
        </w:tc>
        <w:tc>
          <w:tcPr>
            <w:tcW w:w="50" w:type="pct"/>
            <w:shd w:val="clear" w:color="auto" w:fill="auto"/>
            <w:vAlign w:val="bottom"/>
          </w:tcPr>
          <w:p w14:paraId="39D99B17" w14:textId="77777777" w:rsidR="00996AD7" w:rsidRDefault="00996AD7">
            <w:pPr>
              <w:rPr>
                <w:rFonts w:ascii="宋体"/>
              </w:rPr>
            </w:pPr>
          </w:p>
        </w:tc>
        <w:tc>
          <w:tcPr>
            <w:tcW w:w="539" w:type="pct"/>
            <w:shd w:val="clear" w:color="auto" w:fill="auto"/>
            <w:vAlign w:val="bottom"/>
          </w:tcPr>
          <w:p w14:paraId="39D99B18" w14:textId="77777777" w:rsidR="00996AD7" w:rsidRDefault="00996AD7">
            <w:pPr>
              <w:rPr>
                <w:rFonts w:ascii="宋体"/>
              </w:rPr>
            </w:pPr>
          </w:p>
        </w:tc>
        <w:tc>
          <w:tcPr>
            <w:tcW w:w="5" w:type="pct"/>
            <w:shd w:val="clear" w:color="auto" w:fill="auto"/>
            <w:vAlign w:val="bottom"/>
          </w:tcPr>
          <w:p w14:paraId="39D99B19" w14:textId="77777777" w:rsidR="00996AD7" w:rsidRDefault="00996AD7">
            <w:pPr>
              <w:rPr>
                <w:rFonts w:ascii="宋体"/>
              </w:rPr>
            </w:pPr>
          </w:p>
        </w:tc>
        <w:tc>
          <w:tcPr>
            <w:tcW w:w="5" w:type="pct"/>
            <w:shd w:val="clear" w:color="auto" w:fill="auto"/>
            <w:vAlign w:val="bottom"/>
          </w:tcPr>
          <w:p w14:paraId="39D99B1A" w14:textId="77777777" w:rsidR="00996AD7" w:rsidRDefault="00996AD7">
            <w:pPr>
              <w:rPr>
                <w:rFonts w:ascii="宋体"/>
              </w:rPr>
            </w:pPr>
          </w:p>
        </w:tc>
        <w:tc>
          <w:tcPr>
            <w:tcW w:w="17" w:type="pct"/>
            <w:shd w:val="clear" w:color="auto" w:fill="auto"/>
            <w:vAlign w:val="bottom"/>
          </w:tcPr>
          <w:p w14:paraId="39D99B1B" w14:textId="77777777" w:rsidR="00996AD7" w:rsidRDefault="00996AD7">
            <w:pPr>
              <w:rPr>
                <w:rFonts w:ascii="宋体"/>
              </w:rPr>
            </w:pPr>
          </w:p>
        </w:tc>
        <w:tc>
          <w:tcPr>
            <w:tcW w:w="5" w:type="pct"/>
            <w:shd w:val="clear" w:color="auto" w:fill="auto"/>
            <w:vAlign w:val="bottom"/>
          </w:tcPr>
          <w:p w14:paraId="39D99B1C" w14:textId="77777777" w:rsidR="00996AD7" w:rsidRDefault="00996AD7">
            <w:pPr>
              <w:rPr>
                <w:rFonts w:ascii="宋体"/>
              </w:rPr>
            </w:pPr>
          </w:p>
        </w:tc>
        <w:tc>
          <w:tcPr>
            <w:tcW w:w="50" w:type="pct"/>
            <w:shd w:val="clear" w:color="auto" w:fill="auto"/>
            <w:vAlign w:val="bottom"/>
          </w:tcPr>
          <w:p w14:paraId="39D99B1D" w14:textId="77777777" w:rsidR="00996AD7" w:rsidRDefault="00996AD7">
            <w:pPr>
              <w:rPr>
                <w:rFonts w:ascii="宋体"/>
              </w:rPr>
            </w:pPr>
          </w:p>
        </w:tc>
        <w:tc>
          <w:tcPr>
            <w:tcW w:w="539" w:type="pct"/>
            <w:shd w:val="clear" w:color="auto" w:fill="auto"/>
            <w:vAlign w:val="bottom"/>
          </w:tcPr>
          <w:p w14:paraId="39D99B1E" w14:textId="77777777" w:rsidR="00996AD7" w:rsidRDefault="00996AD7">
            <w:pPr>
              <w:rPr>
                <w:rFonts w:ascii="宋体"/>
              </w:rPr>
            </w:pPr>
          </w:p>
        </w:tc>
        <w:tc>
          <w:tcPr>
            <w:tcW w:w="5" w:type="pct"/>
            <w:shd w:val="clear" w:color="auto" w:fill="auto"/>
            <w:vAlign w:val="bottom"/>
          </w:tcPr>
          <w:p w14:paraId="39D99B1F" w14:textId="77777777" w:rsidR="00996AD7" w:rsidRDefault="00996AD7">
            <w:pPr>
              <w:rPr>
                <w:rFonts w:ascii="宋体"/>
              </w:rPr>
            </w:pPr>
          </w:p>
        </w:tc>
        <w:tc>
          <w:tcPr>
            <w:tcW w:w="5" w:type="pct"/>
            <w:shd w:val="clear" w:color="auto" w:fill="auto"/>
            <w:vAlign w:val="bottom"/>
          </w:tcPr>
          <w:p w14:paraId="39D99B20" w14:textId="77777777" w:rsidR="00996AD7" w:rsidRDefault="00996AD7">
            <w:pPr>
              <w:rPr>
                <w:rFonts w:ascii="宋体"/>
              </w:rPr>
            </w:pPr>
          </w:p>
        </w:tc>
        <w:tc>
          <w:tcPr>
            <w:tcW w:w="17" w:type="pct"/>
            <w:shd w:val="clear" w:color="auto" w:fill="auto"/>
            <w:vAlign w:val="bottom"/>
          </w:tcPr>
          <w:p w14:paraId="39D99B21" w14:textId="77777777" w:rsidR="00996AD7" w:rsidRDefault="00996AD7">
            <w:pPr>
              <w:rPr>
                <w:rFonts w:ascii="宋体"/>
              </w:rPr>
            </w:pPr>
          </w:p>
        </w:tc>
        <w:tc>
          <w:tcPr>
            <w:tcW w:w="5" w:type="pct"/>
            <w:shd w:val="clear" w:color="auto" w:fill="auto"/>
            <w:vAlign w:val="bottom"/>
          </w:tcPr>
          <w:p w14:paraId="39D99B22" w14:textId="77777777" w:rsidR="00996AD7" w:rsidRDefault="00996AD7">
            <w:pPr>
              <w:rPr>
                <w:rFonts w:ascii="宋体"/>
              </w:rPr>
            </w:pPr>
          </w:p>
        </w:tc>
        <w:tc>
          <w:tcPr>
            <w:tcW w:w="50" w:type="pct"/>
            <w:shd w:val="clear" w:color="auto" w:fill="auto"/>
            <w:vAlign w:val="bottom"/>
          </w:tcPr>
          <w:p w14:paraId="39D99B23" w14:textId="77777777" w:rsidR="00996AD7" w:rsidRDefault="00996AD7">
            <w:pPr>
              <w:rPr>
                <w:rFonts w:ascii="宋体"/>
              </w:rPr>
            </w:pPr>
          </w:p>
        </w:tc>
        <w:tc>
          <w:tcPr>
            <w:tcW w:w="539" w:type="pct"/>
            <w:shd w:val="clear" w:color="auto" w:fill="auto"/>
            <w:vAlign w:val="bottom"/>
          </w:tcPr>
          <w:p w14:paraId="39D99B24" w14:textId="77777777" w:rsidR="00996AD7" w:rsidRDefault="00996AD7">
            <w:pPr>
              <w:rPr>
                <w:rFonts w:ascii="宋体"/>
              </w:rPr>
            </w:pPr>
          </w:p>
        </w:tc>
        <w:tc>
          <w:tcPr>
            <w:tcW w:w="5" w:type="pct"/>
            <w:shd w:val="clear" w:color="auto" w:fill="auto"/>
            <w:vAlign w:val="bottom"/>
          </w:tcPr>
          <w:p w14:paraId="39D99B25" w14:textId="77777777" w:rsidR="00996AD7" w:rsidRDefault="00996AD7">
            <w:pPr>
              <w:rPr>
                <w:rFonts w:ascii="宋体"/>
              </w:rPr>
            </w:pPr>
          </w:p>
        </w:tc>
        <w:tc>
          <w:tcPr>
            <w:tcW w:w="0" w:type="auto"/>
            <w:shd w:val="clear" w:color="auto" w:fill="auto"/>
            <w:vAlign w:val="bottom"/>
          </w:tcPr>
          <w:p w14:paraId="39D99B26" w14:textId="77777777" w:rsidR="00996AD7" w:rsidRDefault="00996AD7">
            <w:pPr>
              <w:rPr>
                <w:rFonts w:ascii="宋体"/>
                <w:vanish/>
              </w:rPr>
            </w:pPr>
          </w:p>
        </w:tc>
        <w:tc>
          <w:tcPr>
            <w:tcW w:w="0" w:type="auto"/>
            <w:shd w:val="clear" w:color="auto" w:fill="auto"/>
            <w:vAlign w:val="bottom"/>
          </w:tcPr>
          <w:p w14:paraId="39D99B27" w14:textId="77777777" w:rsidR="00996AD7" w:rsidRDefault="00996AD7">
            <w:pPr>
              <w:rPr>
                <w:rFonts w:ascii="宋体"/>
                <w:vanish/>
              </w:rPr>
            </w:pPr>
          </w:p>
        </w:tc>
        <w:tc>
          <w:tcPr>
            <w:tcW w:w="0" w:type="auto"/>
            <w:shd w:val="clear" w:color="auto" w:fill="auto"/>
            <w:vAlign w:val="bottom"/>
          </w:tcPr>
          <w:p w14:paraId="39D99B28" w14:textId="77777777" w:rsidR="00996AD7" w:rsidRDefault="00996AD7">
            <w:pPr>
              <w:rPr>
                <w:rFonts w:ascii="宋体"/>
                <w:vanish/>
              </w:rPr>
            </w:pPr>
          </w:p>
        </w:tc>
        <w:tc>
          <w:tcPr>
            <w:tcW w:w="0" w:type="auto"/>
            <w:shd w:val="clear" w:color="auto" w:fill="auto"/>
            <w:vAlign w:val="bottom"/>
          </w:tcPr>
          <w:p w14:paraId="39D99B29" w14:textId="77777777" w:rsidR="00996AD7" w:rsidRDefault="00996AD7">
            <w:pPr>
              <w:rPr>
                <w:rFonts w:ascii="宋体"/>
                <w:vanish/>
              </w:rPr>
            </w:pPr>
          </w:p>
        </w:tc>
      </w:tr>
      <w:tr w:rsidR="00996AD7" w14:paraId="39D99B38" w14:textId="77777777">
        <w:tc>
          <w:tcPr>
            <w:tcW w:w="0" w:type="auto"/>
            <w:gridSpan w:val="3"/>
            <w:shd w:val="clear" w:color="auto" w:fill="auto"/>
            <w:tcMar>
              <w:top w:w="40" w:type="dxa"/>
              <w:left w:w="20" w:type="dxa"/>
              <w:bottom w:w="40" w:type="dxa"/>
              <w:right w:w="20" w:type="dxa"/>
            </w:tcMar>
            <w:vAlign w:val="bottom"/>
          </w:tcPr>
          <w:p w14:paraId="39D99B2B"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9B2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B2D" w14:textId="77777777" w:rsidR="00996AD7" w:rsidRDefault="00D96458">
            <w:pPr>
              <w:jc w:val="center"/>
              <w:textAlignment w:val="bottom"/>
            </w:pPr>
            <w:r>
              <w:rPr>
                <w:rFonts w:ascii="Arial" w:eastAsia="宋体" w:hAnsi="Arial" w:cs="Arial"/>
                <w:b/>
                <w:bCs/>
                <w:color w:val="262626"/>
                <w:sz w:val="18"/>
                <w:szCs w:val="18"/>
              </w:rPr>
              <w:t>Q3 2021</w:t>
            </w:r>
          </w:p>
        </w:tc>
        <w:tc>
          <w:tcPr>
            <w:tcW w:w="0" w:type="auto"/>
            <w:gridSpan w:val="3"/>
            <w:shd w:val="clear" w:color="auto" w:fill="auto"/>
            <w:tcMar>
              <w:top w:w="0" w:type="dxa"/>
              <w:left w:w="20" w:type="dxa"/>
              <w:bottom w:w="0" w:type="dxa"/>
              <w:right w:w="20" w:type="dxa"/>
            </w:tcMar>
            <w:vAlign w:val="bottom"/>
          </w:tcPr>
          <w:p w14:paraId="39D99B2E"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B2F" w14:textId="77777777" w:rsidR="00996AD7" w:rsidRDefault="00D96458">
            <w:pPr>
              <w:jc w:val="center"/>
              <w:textAlignment w:val="bottom"/>
            </w:pPr>
            <w:r>
              <w:rPr>
                <w:rFonts w:ascii="Arial" w:eastAsia="宋体" w:hAnsi="Arial" w:cs="Arial"/>
                <w:b/>
                <w:bCs/>
                <w:color w:val="262626"/>
                <w:sz w:val="18"/>
                <w:szCs w:val="18"/>
              </w:rPr>
              <w:t>Q3 2020</w:t>
            </w:r>
          </w:p>
        </w:tc>
        <w:tc>
          <w:tcPr>
            <w:tcW w:w="0" w:type="auto"/>
            <w:gridSpan w:val="3"/>
            <w:shd w:val="clear" w:color="auto" w:fill="auto"/>
            <w:tcMar>
              <w:top w:w="0" w:type="dxa"/>
              <w:left w:w="20" w:type="dxa"/>
              <w:bottom w:w="0" w:type="dxa"/>
              <w:right w:w="20" w:type="dxa"/>
            </w:tcMar>
            <w:vAlign w:val="bottom"/>
          </w:tcPr>
          <w:p w14:paraId="39D99B30"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B31" w14:textId="77777777" w:rsidR="00996AD7" w:rsidRDefault="00D96458">
            <w:pPr>
              <w:jc w:val="center"/>
              <w:textAlignment w:val="bottom"/>
            </w:pPr>
            <w:r>
              <w:rPr>
                <w:rFonts w:ascii="Arial" w:eastAsia="宋体" w:hAnsi="Arial" w:cs="Arial"/>
                <w:b/>
                <w:bCs/>
                <w:color w:val="262626"/>
                <w:sz w:val="18"/>
                <w:szCs w:val="18"/>
              </w:rPr>
              <w:t>YTD 2021</w:t>
            </w:r>
          </w:p>
        </w:tc>
        <w:tc>
          <w:tcPr>
            <w:tcW w:w="0" w:type="auto"/>
            <w:gridSpan w:val="3"/>
            <w:shd w:val="clear" w:color="auto" w:fill="auto"/>
            <w:tcMar>
              <w:top w:w="0" w:type="dxa"/>
              <w:left w:w="20" w:type="dxa"/>
              <w:bottom w:w="0" w:type="dxa"/>
              <w:right w:w="20" w:type="dxa"/>
            </w:tcMar>
            <w:vAlign w:val="bottom"/>
          </w:tcPr>
          <w:p w14:paraId="39D99B3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B33" w14:textId="77777777" w:rsidR="00996AD7" w:rsidRDefault="00D96458">
            <w:pPr>
              <w:jc w:val="center"/>
              <w:textAlignment w:val="bottom"/>
            </w:pPr>
            <w:r>
              <w:rPr>
                <w:rFonts w:ascii="Arial" w:eastAsia="宋体" w:hAnsi="Arial" w:cs="Arial"/>
                <w:b/>
                <w:bCs/>
                <w:color w:val="262626"/>
                <w:sz w:val="18"/>
                <w:szCs w:val="18"/>
              </w:rPr>
              <w:t>YTD 2020</w:t>
            </w:r>
          </w:p>
        </w:tc>
        <w:tc>
          <w:tcPr>
            <w:tcW w:w="0" w:type="auto"/>
            <w:shd w:val="clear" w:color="auto" w:fill="auto"/>
            <w:vAlign w:val="bottom"/>
          </w:tcPr>
          <w:p w14:paraId="39D99B34" w14:textId="77777777" w:rsidR="00996AD7" w:rsidRDefault="00996AD7">
            <w:pPr>
              <w:rPr>
                <w:rFonts w:ascii="宋体"/>
                <w:vanish/>
              </w:rPr>
            </w:pPr>
          </w:p>
        </w:tc>
        <w:tc>
          <w:tcPr>
            <w:tcW w:w="0" w:type="auto"/>
            <w:shd w:val="clear" w:color="auto" w:fill="auto"/>
            <w:vAlign w:val="bottom"/>
          </w:tcPr>
          <w:p w14:paraId="39D99B35" w14:textId="77777777" w:rsidR="00996AD7" w:rsidRDefault="00996AD7">
            <w:pPr>
              <w:rPr>
                <w:rFonts w:ascii="宋体"/>
                <w:vanish/>
              </w:rPr>
            </w:pPr>
          </w:p>
        </w:tc>
        <w:tc>
          <w:tcPr>
            <w:tcW w:w="0" w:type="auto"/>
            <w:shd w:val="clear" w:color="auto" w:fill="auto"/>
            <w:vAlign w:val="bottom"/>
          </w:tcPr>
          <w:p w14:paraId="39D99B36" w14:textId="77777777" w:rsidR="00996AD7" w:rsidRDefault="00996AD7">
            <w:pPr>
              <w:rPr>
                <w:rFonts w:ascii="宋体"/>
                <w:vanish/>
              </w:rPr>
            </w:pPr>
          </w:p>
        </w:tc>
        <w:tc>
          <w:tcPr>
            <w:tcW w:w="0" w:type="auto"/>
            <w:shd w:val="clear" w:color="auto" w:fill="auto"/>
            <w:vAlign w:val="bottom"/>
          </w:tcPr>
          <w:p w14:paraId="39D99B37" w14:textId="77777777" w:rsidR="00996AD7" w:rsidRDefault="00996AD7">
            <w:pPr>
              <w:rPr>
                <w:rFonts w:ascii="宋体"/>
                <w:vanish/>
              </w:rPr>
            </w:pPr>
          </w:p>
        </w:tc>
      </w:tr>
      <w:tr w:rsidR="00996AD7" w14:paraId="39D99B4E"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39D99B39" w14:textId="77777777" w:rsidR="00996AD7" w:rsidRDefault="00D96458">
            <w:pPr>
              <w:textAlignment w:val="center"/>
            </w:pPr>
            <w:r>
              <w:rPr>
                <w:rFonts w:ascii="Arial" w:eastAsia="宋体" w:hAnsi="Arial" w:cs="Arial"/>
                <w:color w:val="262626"/>
                <w:sz w:val="18"/>
                <w:szCs w:val="18"/>
              </w:rPr>
              <w:t>Ongoing mark-to-market adjustments on marketable equity securities</w:t>
            </w:r>
          </w:p>
        </w:tc>
        <w:tc>
          <w:tcPr>
            <w:tcW w:w="0" w:type="auto"/>
            <w:gridSpan w:val="3"/>
            <w:shd w:val="clear" w:color="auto" w:fill="auto"/>
            <w:tcMar>
              <w:top w:w="0" w:type="dxa"/>
              <w:left w:w="20" w:type="dxa"/>
              <w:bottom w:w="0" w:type="dxa"/>
              <w:right w:w="20" w:type="dxa"/>
            </w:tcMar>
            <w:vAlign w:val="bottom"/>
          </w:tcPr>
          <w:p w14:paraId="39D99B3A"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B3B"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B3C" w14:textId="77777777" w:rsidR="00996AD7" w:rsidRDefault="00D96458">
            <w:pPr>
              <w:jc w:val="right"/>
              <w:textAlignment w:val="bottom"/>
            </w:pPr>
            <w:r>
              <w:rPr>
                <w:rFonts w:ascii="Arial" w:eastAsia="宋体" w:hAnsi="Arial" w:cs="Arial"/>
                <w:color w:val="0068B5"/>
                <w:sz w:val="18"/>
                <w:szCs w:val="18"/>
              </w:rPr>
              <w:t>(192)</w:t>
            </w:r>
          </w:p>
        </w:tc>
        <w:tc>
          <w:tcPr>
            <w:tcW w:w="0" w:type="auto"/>
            <w:tcBorders>
              <w:top w:val="single" w:sz="8" w:space="0" w:color="0068B5"/>
            </w:tcBorders>
            <w:shd w:val="clear" w:color="auto" w:fill="auto"/>
            <w:tcMar>
              <w:top w:w="40" w:type="dxa"/>
              <w:left w:w="0" w:type="dxa"/>
              <w:bottom w:w="40" w:type="dxa"/>
              <w:right w:w="20" w:type="dxa"/>
            </w:tcMar>
            <w:vAlign w:val="bottom"/>
          </w:tcPr>
          <w:p w14:paraId="39D99B3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3E"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B3F"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B40" w14:textId="77777777" w:rsidR="00996AD7" w:rsidRDefault="00D96458">
            <w:pPr>
              <w:jc w:val="right"/>
              <w:textAlignment w:val="bottom"/>
            </w:pPr>
            <w:r>
              <w:rPr>
                <w:rFonts w:ascii="Arial" w:eastAsia="宋体" w:hAnsi="Arial" w:cs="Arial"/>
                <w:color w:val="262626"/>
                <w:sz w:val="18"/>
                <w:szCs w:val="18"/>
              </w:rPr>
              <w:t>(146)</w:t>
            </w:r>
          </w:p>
        </w:tc>
        <w:tc>
          <w:tcPr>
            <w:tcW w:w="0" w:type="auto"/>
            <w:tcBorders>
              <w:top w:val="single" w:sz="8" w:space="0" w:color="0068B5"/>
            </w:tcBorders>
            <w:shd w:val="clear" w:color="auto" w:fill="auto"/>
            <w:tcMar>
              <w:top w:w="40" w:type="dxa"/>
              <w:left w:w="0" w:type="dxa"/>
              <w:bottom w:w="40" w:type="dxa"/>
              <w:right w:w="20" w:type="dxa"/>
            </w:tcMar>
            <w:vAlign w:val="bottom"/>
          </w:tcPr>
          <w:p w14:paraId="39D99B4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42"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B43"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B44" w14:textId="77777777" w:rsidR="00996AD7" w:rsidRDefault="00D96458">
            <w:pPr>
              <w:jc w:val="right"/>
              <w:textAlignment w:val="bottom"/>
            </w:pPr>
            <w:r>
              <w:rPr>
                <w:rFonts w:ascii="Arial" w:eastAsia="宋体" w:hAnsi="Arial" w:cs="Arial"/>
                <w:color w:val="0068B5"/>
                <w:sz w:val="18"/>
                <w:szCs w:val="18"/>
              </w:rPr>
              <w:t>(345)</w:t>
            </w:r>
          </w:p>
        </w:tc>
        <w:tc>
          <w:tcPr>
            <w:tcW w:w="0" w:type="auto"/>
            <w:tcBorders>
              <w:top w:val="single" w:sz="8" w:space="0" w:color="0068B5"/>
            </w:tcBorders>
            <w:shd w:val="clear" w:color="auto" w:fill="auto"/>
            <w:tcMar>
              <w:top w:w="40" w:type="dxa"/>
              <w:left w:w="0" w:type="dxa"/>
              <w:bottom w:w="40" w:type="dxa"/>
              <w:right w:w="20" w:type="dxa"/>
            </w:tcMar>
            <w:vAlign w:val="bottom"/>
          </w:tcPr>
          <w:p w14:paraId="39D99B4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46"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B47"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B48" w14:textId="77777777" w:rsidR="00996AD7" w:rsidRDefault="00D96458">
            <w:pPr>
              <w:jc w:val="right"/>
              <w:textAlignment w:val="bottom"/>
            </w:pPr>
            <w:r>
              <w:rPr>
                <w:rFonts w:ascii="Arial" w:eastAsia="宋体" w:hAnsi="Arial" w:cs="Arial"/>
                <w:color w:val="262626"/>
                <w:sz w:val="18"/>
                <w:szCs w:val="18"/>
              </w:rPr>
              <w:t>(84)</w:t>
            </w:r>
          </w:p>
        </w:tc>
        <w:tc>
          <w:tcPr>
            <w:tcW w:w="0" w:type="auto"/>
            <w:tcBorders>
              <w:top w:val="single" w:sz="8" w:space="0" w:color="0068B5"/>
            </w:tcBorders>
            <w:shd w:val="clear" w:color="auto" w:fill="auto"/>
            <w:tcMar>
              <w:top w:w="40" w:type="dxa"/>
              <w:left w:w="0" w:type="dxa"/>
              <w:bottom w:w="40" w:type="dxa"/>
              <w:right w:w="20" w:type="dxa"/>
            </w:tcMar>
            <w:vAlign w:val="bottom"/>
          </w:tcPr>
          <w:p w14:paraId="39D99B49" w14:textId="77777777" w:rsidR="00996AD7" w:rsidRDefault="00996AD7">
            <w:pPr>
              <w:jc w:val="right"/>
              <w:rPr>
                <w:rFonts w:ascii="宋体"/>
              </w:rPr>
            </w:pPr>
          </w:p>
        </w:tc>
        <w:tc>
          <w:tcPr>
            <w:tcW w:w="0" w:type="auto"/>
            <w:shd w:val="clear" w:color="auto" w:fill="auto"/>
            <w:vAlign w:val="bottom"/>
          </w:tcPr>
          <w:p w14:paraId="39D99B4A" w14:textId="77777777" w:rsidR="00996AD7" w:rsidRDefault="00996AD7">
            <w:pPr>
              <w:rPr>
                <w:rFonts w:ascii="宋体"/>
                <w:vanish/>
              </w:rPr>
            </w:pPr>
          </w:p>
        </w:tc>
        <w:tc>
          <w:tcPr>
            <w:tcW w:w="0" w:type="auto"/>
            <w:shd w:val="clear" w:color="auto" w:fill="auto"/>
            <w:vAlign w:val="bottom"/>
          </w:tcPr>
          <w:p w14:paraId="39D99B4B" w14:textId="77777777" w:rsidR="00996AD7" w:rsidRDefault="00996AD7">
            <w:pPr>
              <w:rPr>
                <w:rFonts w:ascii="宋体"/>
                <w:vanish/>
              </w:rPr>
            </w:pPr>
          </w:p>
        </w:tc>
        <w:tc>
          <w:tcPr>
            <w:tcW w:w="0" w:type="auto"/>
            <w:shd w:val="clear" w:color="auto" w:fill="auto"/>
            <w:vAlign w:val="bottom"/>
          </w:tcPr>
          <w:p w14:paraId="39D99B4C" w14:textId="77777777" w:rsidR="00996AD7" w:rsidRDefault="00996AD7">
            <w:pPr>
              <w:rPr>
                <w:rFonts w:ascii="宋体"/>
                <w:vanish/>
              </w:rPr>
            </w:pPr>
          </w:p>
        </w:tc>
        <w:tc>
          <w:tcPr>
            <w:tcW w:w="0" w:type="auto"/>
            <w:shd w:val="clear" w:color="auto" w:fill="auto"/>
            <w:vAlign w:val="bottom"/>
          </w:tcPr>
          <w:p w14:paraId="39D99B4D" w14:textId="77777777" w:rsidR="00996AD7" w:rsidRDefault="00996AD7">
            <w:pPr>
              <w:rPr>
                <w:rFonts w:ascii="宋体"/>
                <w:vanish/>
              </w:rPr>
            </w:pPr>
          </w:p>
        </w:tc>
      </w:tr>
      <w:tr w:rsidR="00996AD7" w14:paraId="39D99B60" w14:textId="77777777">
        <w:tc>
          <w:tcPr>
            <w:tcW w:w="0" w:type="auto"/>
            <w:gridSpan w:val="3"/>
            <w:shd w:val="clear" w:color="auto" w:fill="auto"/>
            <w:tcMar>
              <w:top w:w="40" w:type="dxa"/>
              <w:left w:w="20" w:type="dxa"/>
              <w:bottom w:w="40" w:type="dxa"/>
              <w:right w:w="20" w:type="dxa"/>
            </w:tcMar>
            <w:vAlign w:val="bottom"/>
          </w:tcPr>
          <w:p w14:paraId="39D99B4F" w14:textId="77777777" w:rsidR="00996AD7" w:rsidRDefault="00D96458">
            <w:pPr>
              <w:textAlignment w:val="bottom"/>
            </w:pPr>
            <w:r>
              <w:rPr>
                <w:rFonts w:ascii="Arial" w:eastAsia="宋体" w:hAnsi="Arial" w:cs="Arial"/>
                <w:color w:val="262626"/>
                <w:sz w:val="18"/>
                <w:szCs w:val="18"/>
              </w:rPr>
              <w:t xml:space="preserve">Observable price adjustments on non-marketable equity securities </w:t>
            </w:r>
          </w:p>
        </w:tc>
        <w:tc>
          <w:tcPr>
            <w:tcW w:w="0" w:type="auto"/>
            <w:gridSpan w:val="3"/>
            <w:shd w:val="clear" w:color="auto" w:fill="auto"/>
            <w:tcMar>
              <w:top w:w="0" w:type="dxa"/>
              <w:left w:w="20" w:type="dxa"/>
              <w:bottom w:w="0" w:type="dxa"/>
              <w:right w:w="20" w:type="dxa"/>
            </w:tcMar>
            <w:vAlign w:val="bottom"/>
          </w:tcPr>
          <w:p w14:paraId="39D99B5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B51" w14:textId="77777777" w:rsidR="00996AD7" w:rsidRDefault="00D96458">
            <w:pPr>
              <w:jc w:val="right"/>
              <w:textAlignment w:val="bottom"/>
            </w:pPr>
            <w:r>
              <w:rPr>
                <w:rFonts w:ascii="Arial" w:eastAsia="宋体" w:hAnsi="Arial" w:cs="Arial"/>
                <w:color w:val="0068B5"/>
                <w:sz w:val="18"/>
                <w:szCs w:val="18"/>
              </w:rPr>
              <w:t>79 </w:t>
            </w:r>
          </w:p>
        </w:tc>
        <w:tc>
          <w:tcPr>
            <w:tcW w:w="0" w:type="auto"/>
            <w:shd w:val="clear" w:color="auto" w:fill="auto"/>
            <w:tcMar>
              <w:top w:w="40" w:type="dxa"/>
              <w:left w:w="0" w:type="dxa"/>
              <w:bottom w:w="40" w:type="dxa"/>
              <w:right w:w="20" w:type="dxa"/>
            </w:tcMar>
            <w:vAlign w:val="bottom"/>
          </w:tcPr>
          <w:p w14:paraId="39D99B5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5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B54" w14:textId="77777777" w:rsidR="00996AD7" w:rsidRDefault="00D96458">
            <w:pPr>
              <w:jc w:val="right"/>
              <w:textAlignment w:val="bottom"/>
            </w:pPr>
            <w:r>
              <w:rPr>
                <w:rFonts w:ascii="Arial" w:eastAsia="宋体" w:hAnsi="Arial" w:cs="Arial"/>
                <w:color w:val="262626"/>
                <w:sz w:val="18"/>
                <w:szCs w:val="18"/>
              </w:rPr>
              <w:t>5 </w:t>
            </w:r>
          </w:p>
        </w:tc>
        <w:tc>
          <w:tcPr>
            <w:tcW w:w="0" w:type="auto"/>
            <w:shd w:val="clear" w:color="auto" w:fill="auto"/>
            <w:tcMar>
              <w:top w:w="40" w:type="dxa"/>
              <w:left w:w="0" w:type="dxa"/>
              <w:bottom w:w="40" w:type="dxa"/>
              <w:right w:w="20" w:type="dxa"/>
            </w:tcMar>
            <w:vAlign w:val="bottom"/>
          </w:tcPr>
          <w:p w14:paraId="39D99B5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5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B57" w14:textId="77777777" w:rsidR="00996AD7" w:rsidRDefault="00D96458">
            <w:pPr>
              <w:jc w:val="right"/>
              <w:textAlignment w:val="bottom"/>
            </w:pPr>
            <w:r>
              <w:rPr>
                <w:rFonts w:ascii="Arial" w:eastAsia="宋体" w:hAnsi="Arial" w:cs="Arial"/>
                <w:color w:val="0068B5"/>
                <w:sz w:val="18"/>
                <w:szCs w:val="18"/>
              </w:rPr>
              <w:t>702 </w:t>
            </w:r>
          </w:p>
        </w:tc>
        <w:tc>
          <w:tcPr>
            <w:tcW w:w="0" w:type="auto"/>
            <w:shd w:val="clear" w:color="auto" w:fill="auto"/>
            <w:tcMar>
              <w:top w:w="40" w:type="dxa"/>
              <w:left w:w="0" w:type="dxa"/>
              <w:bottom w:w="40" w:type="dxa"/>
              <w:right w:w="20" w:type="dxa"/>
            </w:tcMar>
            <w:vAlign w:val="bottom"/>
          </w:tcPr>
          <w:p w14:paraId="39D99B5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5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B5A" w14:textId="77777777" w:rsidR="00996AD7" w:rsidRDefault="00D96458">
            <w:pPr>
              <w:jc w:val="right"/>
              <w:textAlignment w:val="bottom"/>
            </w:pPr>
            <w:r>
              <w:rPr>
                <w:rFonts w:ascii="Arial" w:eastAsia="宋体" w:hAnsi="Arial" w:cs="Arial"/>
                <w:color w:val="262626"/>
                <w:sz w:val="18"/>
                <w:szCs w:val="18"/>
              </w:rPr>
              <w:t>142 </w:t>
            </w:r>
          </w:p>
        </w:tc>
        <w:tc>
          <w:tcPr>
            <w:tcW w:w="0" w:type="auto"/>
            <w:shd w:val="clear" w:color="auto" w:fill="auto"/>
            <w:tcMar>
              <w:top w:w="40" w:type="dxa"/>
              <w:left w:w="0" w:type="dxa"/>
              <w:bottom w:w="40" w:type="dxa"/>
              <w:right w:w="20" w:type="dxa"/>
            </w:tcMar>
            <w:vAlign w:val="bottom"/>
          </w:tcPr>
          <w:p w14:paraId="39D99B5B" w14:textId="77777777" w:rsidR="00996AD7" w:rsidRDefault="00996AD7">
            <w:pPr>
              <w:jc w:val="right"/>
              <w:rPr>
                <w:rFonts w:ascii="宋体"/>
              </w:rPr>
            </w:pPr>
          </w:p>
        </w:tc>
        <w:tc>
          <w:tcPr>
            <w:tcW w:w="0" w:type="auto"/>
            <w:shd w:val="clear" w:color="auto" w:fill="auto"/>
            <w:vAlign w:val="bottom"/>
          </w:tcPr>
          <w:p w14:paraId="39D99B5C" w14:textId="77777777" w:rsidR="00996AD7" w:rsidRDefault="00996AD7">
            <w:pPr>
              <w:rPr>
                <w:rFonts w:ascii="宋体"/>
                <w:vanish/>
              </w:rPr>
            </w:pPr>
          </w:p>
        </w:tc>
        <w:tc>
          <w:tcPr>
            <w:tcW w:w="0" w:type="auto"/>
            <w:shd w:val="clear" w:color="auto" w:fill="auto"/>
            <w:vAlign w:val="bottom"/>
          </w:tcPr>
          <w:p w14:paraId="39D99B5D" w14:textId="77777777" w:rsidR="00996AD7" w:rsidRDefault="00996AD7">
            <w:pPr>
              <w:rPr>
                <w:rFonts w:ascii="宋体"/>
                <w:vanish/>
              </w:rPr>
            </w:pPr>
          </w:p>
        </w:tc>
        <w:tc>
          <w:tcPr>
            <w:tcW w:w="0" w:type="auto"/>
            <w:shd w:val="clear" w:color="auto" w:fill="auto"/>
            <w:vAlign w:val="bottom"/>
          </w:tcPr>
          <w:p w14:paraId="39D99B5E" w14:textId="77777777" w:rsidR="00996AD7" w:rsidRDefault="00996AD7">
            <w:pPr>
              <w:rPr>
                <w:rFonts w:ascii="宋体"/>
                <w:vanish/>
              </w:rPr>
            </w:pPr>
          </w:p>
        </w:tc>
        <w:tc>
          <w:tcPr>
            <w:tcW w:w="0" w:type="auto"/>
            <w:shd w:val="clear" w:color="auto" w:fill="auto"/>
            <w:vAlign w:val="bottom"/>
          </w:tcPr>
          <w:p w14:paraId="39D99B5F" w14:textId="77777777" w:rsidR="00996AD7" w:rsidRDefault="00996AD7">
            <w:pPr>
              <w:rPr>
                <w:rFonts w:ascii="宋体"/>
                <w:vanish/>
              </w:rPr>
            </w:pPr>
          </w:p>
        </w:tc>
      </w:tr>
      <w:tr w:rsidR="00996AD7" w14:paraId="39D99B72" w14:textId="77777777">
        <w:tc>
          <w:tcPr>
            <w:tcW w:w="0" w:type="auto"/>
            <w:gridSpan w:val="3"/>
            <w:shd w:val="clear" w:color="auto" w:fill="auto"/>
            <w:tcMar>
              <w:top w:w="40" w:type="dxa"/>
              <w:left w:w="20" w:type="dxa"/>
              <w:bottom w:w="40" w:type="dxa"/>
              <w:right w:w="20" w:type="dxa"/>
            </w:tcMar>
            <w:vAlign w:val="bottom"/>
          </w:tcPr>
          <w:p w14:paraId="39D99B61" w14:textId="77777777" w:rsidR="00996AD7" w:rsidRDefault="00D96458">
            <w:pPr>
              <w:textAlignment w:val="bottom"/>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39D99B6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B63" w14:textId="77777777" w:rsidR="00996AD7" w:rsidRDefault="00D96458">
            <w:pPr>
              <w:jc w:val="right"/>
              <w:textAlignment w:val="bottom"/>
            </w:pPr>
            <w:r>
              <w:rPr>
                <w:rFonts w:ascii="Arial" w:eastAsia="宋体" w:hAnsi="Arial" w:cs="Arial"/>
                <w:color w:val="0068B5"/>
                <w:sz w:val="18"/>
                <w:szCs w:val="18"/>
              </w:rPr>
              <w:t>(38)</w:t>
            </w:r>
          </w:p>
        </w:tc>
        <w:tc>
          <w:tcPr>
            <w:tcW w:w="0" w:type="auto"/>
            <w:shd w:val="clear" w:color="auto" w:fill="auto"/>
            <w:tcMar>
              <w:top w:w="40" w:type="dxa"/>
              <w:left w:w="0" w:type="dxa"/>
              <w:bottom w:w="40" w:type="dxa"/>
              <w:right w:w="20" w:type="dxa"/>
            </w:tcMar>
            <w:vAlign w:val="bottom"/>
          </w:tcPr>
          <w:p w14:paraId="39D99B6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6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B66" w14:textId="77777777" w:rsidR="00996AD7" w:rsidRDefault="00D96458">
            <w:pPr>
              <w:jc w:val="right"/>
              <w:textAlignment w:val="bottom"/>
            </w:pPr>
            <w:r>
              <w:rPr>
                <w:rFonts w:ascii="Arial" w:eastAsia="宋体" w:hAnsi="Arial" w:cs="Arial"/>
                <w:color w:val="262626"/>
                <w:sz w:val="18"/>
                <w:szCs w:val="18"/>
              </w:rPr>
              <w:t>(40)</w:t>
            </w:r>
          </w:p>
        </w:tc>
        <w:tc>
          <w:tcPr>
            <w:tcW w:w="0" w:type="auto"/>
            <w:shd w:val="clear" w:color="auto" w:fill="auto"/>
            <w:tcMar>
              <w:top w:w="40" w:type="dxa"/>
              <w:left w:w="0" w:type="dxa"/>
              <w:bottom w:w="40" w:type="dxa"/>
              <w:right w:w="20" w:type="dxa"/>
            </w:tcMar>
            <w:vAlign w:val="bottom"/>
          </w:tcPr>
          <w:p w14:paraId="39D99B6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6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B69" w14:textId="77777777" w:rsidR="00996AD7" w:rsidRDefault="00D96458">
            <w:pPr>
              <w:jc w:val="right"/>
              <w:textAlignment w:val="bottom"/>
            </w:pPr>
            <w:r>
              <w:rPr>
                <w:rFonts w:ascii="Arial" w:eastAsia="宋体" w:hAnsi="Arial" w:cs="Arial"/>
                <w:color w:val="0068B5"/>
                <w:sz w:val="18"/>
                <w:szCs w:val="18"/>
              </w:rPr>
              <w:t>(111)</w:t>
            </w:r>
          </w:p>
        </w:tc>
        <w:tc>
          <w:tcPr>
            <w:tcW w:w="0" w:type="auto"/>
            <w:shd w:val="clear" w:color="auto" w:fill="auto"/>
            <w:tcMar>
              <w:top w:w="40" w:type="dxa"/>
              <w:left w:w="0" w:type="dxa"/>
              <w:bottom w:w="40" w:type="dxa"/>
              <w:right w:w="20" w:type="dxa"/>
            </w:tcMar>
            <w:vAlign w:val="bottom"/>
          </w:tcPr>
          <w:p w14:paraId="39D99B6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6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B6C" w14:textId="77777777" w:rsidR="00996AD7" w:rsidRDefault="00D96458">
            <w:pPr>
              <w:jc w:val="right"/>
              <w:textAlignment w:val="bottom"/>
            </w:pPr>
            <w:r>
              <w:rPr>
                <w:rFonts w:ascii="Arial" w:eastAsia="宋体" w:hAnsi="Arial" w:cs="Arial"/>
                <w:color w:val="262626"/>
                <w:sz w:val="18"/>
                <w:szCs w:val="18"/>
              </w:rPr>
              <w:t>(233)</w:t>
            </w:r>
          </w:p>
        </w:tc>
        <w:tc>
          <w:tcPr>
            <w:tcW w:w="0" w:type="auto"/>
            <w:shd w:val="clear" w:color="auto" w:fill="auto"/>
            <w:tcMar>
              <w:top w:w="40" w:type="dxa"/>
              <w:left w:w="0" w:type="dxa"/>
              <w:bottom w:w="40" w:type="dxa"/>
              <w:right w:w="20" w:type="dxa"/>
            </w:tcMar>
            <w:vAlign w:val="bottom"/>
          </w:tcPr>
          <w:p w14:paraId="39D99B6D" w14:textId="77777777" w:rsidR="00996AD7" w:rsidRDefault="00996AD7">
            <w:pPr>
              <w:jc w:val="right"/>
              <w:rPr>
                <w:rFonts w:ascii="宋体"/>
              </w:rPr>
            </w:pPr>
          </w:p>
        </w:tc>
        <w:tc>
          <w:tcPr>
            <w:tcW w:w="0" w:type="auto"/>
            <w:shd w:val="clear" w:color="auto" w:fill="auto"/>
            <w:vAlign w:val="bottom"/>
          </w:tcPr>
          <w:p w14:paraId="39D99B6E" w14:textId="77777777" w:rsidR="00996AD7" w:rsidRDefault="00996AD7">
            <w:pPr>
              <w:rPr>
                <w:rFonts w:ascii="宋体"/>
                <w:vanish/>
              </w:rPr>
            </w:pPr>
          </w:p>
        </w:tc>
        <w:tc>
          <w:tcPr>
            <w:tcW w:w="0" w:type="auto"/>
            <w:shd w:val="clear" w:color="auto" w:fill="auto"/>
            <w:vAlign w:val="bottom"/>
          </w:tcPr>
          <w:p w14:paraId="39D99B6F" w14:textId="77777777" w:rsidR="00996AD7" w:rsidRDefault="00996AD7">
            <w:pPr>
              <w:rPr>
                <w:rFonts w:ascii="宋体"/>
                <w:vanish/>
              </w:rPr>
            </w:pPr>
          </w:p>
        </w:tc>
        <w:tc>
          <w:tcPr>
            <w:tcW w:w="0" w:type="auto"/>
            <w:shd w:val="clear" w:color="auto" w:fill="auto"/>
            <w:vAlign w:val="bottom"/>
          </w:tcPr>
          <w:p w14:paraId="39D99B70" w14:textId="77777777" w:rsidR="00996AD7" w:rsidRDefault="00996AD7">
            <w:pPr>
              <w:rPr>
                <w:rFonts w:ascii="宋体"/>
                <w:vanish/>
              </w:rPr>
            </w:pPr>
          </w:p>
        </w:tc>
        <w:tc>
          <w:tcPr>
            <w:tcW w:w="0" w:type="auto"/>
            <w:shd w:val="clear" w:color="auto" w:fill="auto"/>
            <w:vAlign w:val="bottom"/>
          </w:tcPr>
          <w:p w14:paraId="39D99B71" w14:textId="77777777" w:rsidR="00996AD7" w:rsidRDefault="00996AD7">
            <w:pPr>
              <w:rPr>
                <w:rFonts w:ascii="宋体"/>
                <w:vanish/>
              </w:rPr>
            </w:pPr>
          </w:p>
        </w:tc>
      </w:tr>
      <w:tr w:rsidR="00996AD7" w14:paraId="39D99B84" w14:textId="77777777">
        <w:tc>
          <w:tcPr>
            <w:tcW w:w="0" w:type="auto"/>
            <w:gridSpan w:val="3"/>
            <w:shd w:val="clear" w:color="auto" w:fill="auto"/>
            <w:tcMar>
              <w:top w:w="40" w:type="dxa"/>
              <w:left w:w="20" w:type="dxa"/>
              <w:bottom w:w="40" w:type="dxa"/>
              <w:right w:w="20" w:type="dxa"/>
            </w:tcMar>
            <w:vAlign w:val="bottom"/>
          </w:tcPr>
          <w:p w14:paraId="39D99B73" w14:textId="77777777" w:rsidR="00996AD7" w:rsidRDefault="00D96458">
            <w:pPr>
              <w:textAlignment w:val="bottom"/>
            </w:pPr>
            <w:r>
              <w:rPr>
                <w:rFonts w:ascii="Arial" w:eastAsia="宋体" w:hAnsi="Arial" w:cs="Arial"/>
                <w:color w:val="262626"/>
                <w:sz w:val="18"/>
                <w:szCs w:val="18"/>
              </w:rPr>
              <w:t>Sale of equity investments and other</w:t>
            </w:r>
            <w:r>
              <w:rPr>
                <w:rFonts w:ascii="Arial" w:eastAsia="宋体" w:hAnsi="Arial" w:cs="Arial"/>
                <w:color w:val="262626"/>
                <w:sz w:val="11"/>
                <w:szCs w:val="11"/>
              </w:rPr>
              <w:t xml:space="preserve"> </w:t>
            </w:r>
          </w:p>
        </w:tc>
        <w:tc>
          <w:tcPr>
            <w:tcW w:w="0" w:type="auto"/>
            <w:gridSpan w:val="3"/>
            <w:shd w:val="clear" w:color="auto" w:fill="auto"/>
            <w:tcMar>
              <w:top w:w="0" w:type="dxa"/>
              <w:left w:w="20" w:type="dxa"/>
              <w:bottom w:w="0" w:type="dxa"/>
              <w:right w:w="20" w:type="dxa"/>
            </w:tcMar>
            <w:vAlign w:val="bottom"/>
          </w:tcPr>
          <w:p w14:paraId="39D99B7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B75" w14:textId="77777777" w:rsidR="00996AD7" w:rsidRDefault="00D96458">
            <w:pPr>
              <w:jc w:val="right"/>
              <w:textAlignment w:val="bottom"/>
            </w:pPr>
            <w:r>
              <w:rPr>
                <w:rFonts w:ascii="Arial" w:eastAsia="宋体" w:hAnsi="Arial" w:cs="Arial"/>
                <w:color w:val="0068B5"/>
                <w:sz w:val="18"/>
                <w:szCs w:val="18"/>
              </w:rPr>
              <w:t>1,858 </w:t>
            </w:r>
          </w:p>
        </w:tc>
        <w:tc>
          <w:tcPr>
            <w:tcW w:w="0" w:type="auto"/>
            <w:shd w:val="clear" w:color="auto" w:fill="auto"/>
            <w:tcMar>
              <w:top w:w="40" w:type="dxa"/>
              <w:left w:w="0" w:type="dxa"/>
              <w:bottom w:w="40" w:type="dxa"/>
              <w:right w:w="20" w:type="dxa"/>
            </w:tcMar>
            <w:vAlign w:val="bottom"/>
          </w:tcPr>
          <w:p w14:paraId="39D99B7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7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B78" w14:textId="77777777" w:rsidR="00996AD7" w:rsidRDefault="00D96458">
            <w:pPr>
              <w:jc w:val="right"/>
              <w:textAlignment w:val="bottom"/>
            </w:pPr>
            <w:r>
              <w:rPr>
                <w:rFonts w:ascii="Arial" w:eastAsia="宋体" w:hAnsi="Arial" w:cs="Arial"/>
                <w:color w:val="262626"/>
                <w:sz w:val="18"/>
                <w:szCs w:val="18"/>
              </w:rPr>
              <w:t>237 </w:t>
            </w:r>
          </w:p>
        </w:tc>
        <w:tc>
          <w:tcPr>
            <w:tcW w:w="0" w:type="auto"/>
            <w:shd w:val="clear" w:color="auto" w:fill="auto"/>
            <w:tcMar>
              <w:top w:w="40" w:type="dxa"/>
              <w:left w:w="0" w:type="dxa"/>
              <w:bottom w:w="40" w:type="dxa"/>
              <w:right w:w="20" w:type="dxa"/>
            </w:tcMar>
            <w:vAlign w:val="bottom"/>
          </w:tcPr>
          <w:p w14:paraId="39D99B7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7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B7B" w14:textId="77777777" w:rsidR="00996AD7" w:rsidRDefault="00D96458">
            <w:pPr>
              <w:jc w:val="right"/>
              <w:textAlignment w:val="bottom"/>
            </w:pPr>
            <w:r>
              <w:rPr>
                <w:rFonts w:ascii="Arial" w:eastAsia="宋体" w:hAnsi="Arial" w:cs="Arial"/>
                <w:color w:val="0068B5"/>
                <w:sz w:val="18"/>
                <w:szCs w:val="18"/>
              </w:rPr>
              <w:t>2,124 </w:t>
            </w:r>
          </w:p>
        </w:tc>
        <w:tc>
          <w:tcPr>
            <w:tcW w:w="0" w:type="auto"/>
            <w:shd w:val="clear" w:color="auto" w:fill="auto"/>
            <w:tcMar>
              <w:top w:w="40" w:type="dxa"/>
              <w:left w:w="0" w:type="dxa"/>
              <w:bottom w:w="40" w:type="dxa"/>
              <w:right w:w="20" w:type="dxa"/>
            </w:tcMar>
            <w:vAlign w:val="bottom"/>
          </w:tcPr>
          <w:p w14:paraId="39D99B7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7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B7E" w14:textId="77777777" w:rsidR="00996AD7" w:rsidRDefault="00D96458">
            <w:pPr>
              <w:jc w:val="right"/>
              <w:textAlignment w:val="bottom"/>
            </w:pPr>
            <w:r>
              <w:rPr>
                <w:rFonts w:ascii="Arial" w:eastAsia="宋体" w:hAnsi="Arial" w:cs="Arial"/>
                <w:color w:val="262626"/>
                <w:sz w:val="18"/>
                <w:szCs w:val="18"/>
              </w:rPr>
              <w:t>387 </w:t>
            </w:r>
          </w:p>
        </w:tc>
        <w:tc>
          <w:tcPr>
            <w:tcW w:w="0" w:type="auto"/>
            <w:shd w:val="clear" w:color="auto" w:fill="auto"/>
            <w:tcMar>
              <w:top w:w="40" w:type="dxa"/>
              <w:left w:w="0" w:type="dxa"/>
              <w:bottom w:w="40" w:type="dxa"/>
              <w:right w:w="20" w:type="dxa"/>
            </w:tcMar>
            <w:vAlign w:val="bottom"/>
          </w:tcPr>
          <w:p w14:paraId="39D99B7F" w14:textId="77777777" w:rsidR="00996AD7" w:rsidRDefault="00996AD7">
            <w:pPr>
              <w:jc w:val="right"/>
              <w:rPr>
                <w:rFonts w:ascii="宋体"/>
              </w:rPr>
            </w:pPr>
          </w:p>
        </w:tc>
        <w:tc>
          <w:tcPr>
            <w:tcW w:w="0" w:type="auto"/>
            <w:shd w:val="clear" w:color="auto" w:fill="auto"/>
            <w:vAlign w:val="bottom"/>
          </w:tcPr>
          <w:p w14:paraId="39D99B80" w14:textId="77777777" w:rsidR="00996AD7" w:rsidRDefault="00996AD7">
            <w:pPr>
              <w:rPr>
                <w:rFonts w:ascii="宋体"/>
                <w:vanish/>
              </w:rPr>
            </w:pPr>
          </w:p>
        </w:tc>
        <w:tc>
          <w:tcPr>
            <w:tcW w:w="0" w:type="auto"/>
            <w:shd w:val="clear" w:color="auto" w:fill="auto"/>
            <w:vAlign w:val="bottom"/>
          </w:tcPr>
          <w:p w14:paraId="39D99B81" w14:textId="77777777" w:rsidR="00996AD7" w:rsidRDefault="00996AD7">
            <w:pPr>
              <w:rPr>
                <w:rFonts w:ascii="宋体"/>
                <w:vanish/>
              </w:rPr>
            </w:pPr>
          </w:p>
        </w:tc>
        <w:tc>
          <w:tcPr>
            <w:tcW w:w="0" w:type="auto"/>
            <w:shd w:val="clear" w:color="auto" w:fill="auto"/>
            <w:vAlign w:val="bottom"/>
          </w:tcPr>
          <w:p w14:paraId="39D99B82" w14:textId="77777777" w:rsidR="00996AD7" w:rsidRDefault="00996AD7">
            <w:pPr>
              <w:rPr>
                <w:rFonts w:ascii="宋体"/>
                <w:vanish/>
              </w:rPr>
            </w:pPr>
          </w:p>
        </w:tc>
        <w:tc>
          <w:tcPr>
            <w:tcW w:w="0" w:type="auto"/>
            <w:shd w:val="clear" w:color="auto" w:fill="auto"/>
            <w:vAlign w:val="bottom"/>
          </w:tcPr>
          <w:p w14:paraId="39D99B83" w14:textId="77777777" w:rsidR="00996AD7" w:rsidRDefault="00996AD7">
            <w:pPr>
              <w:rPr>
                <w:rFonts w:ascii="宋体"/>
                <w:vanish/>
              </w:rPr>
            </w:pPr>
          </w:p>
        </w:tc>
      </w:tr>
      <w:tr w:rsidR="00996AD7" w14:paraId="39D99B9A" w14:textId="77777777">
        <w:tc>
          <w:tcPr>
            <w:tcW w:w="0" w:type="auto"/>
            <w:gridSpan w:val="3"/>
            <w:shd w:val="clear" w:color="auto" w:fill="auto"/>
            <w:tcMar>
              <w:top w:w="40" w:type="dxa"/>
              <w:left w:w="20" w:type="dxa"/>
              <w:bottom w:w="40" w:type="dxa"/>
              <w:right w:w="20" w:type="dxa"/>
            </w:tcMar>
            <w:vAlign w:val="bottom"/>
          </w:tcPr>
          <w:p w14:paraId="39D99B85" w14:textId="77777777" w:rsidR="00996AD7" w:rsidRDefault="00D96458">
            <w:pPr>
              <w:textAlignment w:val="bottom"/>
            </w:pPr>
            <w:r>
              <w:rPr>
                <w:rFonts w:ascii="Arial" w:eastAsia="宋体" w:hAnsi="Arial" w:cs="Arial"/>
                <w:b/>
                <w:bCs/>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39D99B86"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B87"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B88" w14:textId="77777777" w:rsidR="00996AD7" w:rsidRDefault="00D96458">
            <w:pPr>
              <w:jc w:val="right"/>
              <w:textAlignment w:val="bottom"/>
            </w:pPr>
            <w:r>
              <w:rPr>
                <w:rFonts w:ascii="Arial" w:eastAsia="宋体" w:hAnsi="Arial" w:cs="Arial"/>
                <w:b/>
                <w:bCs/>
                <w:color w:val="0068B5"/>
                <w:sz w:val="18"/>
                <w:szCs w:val="18"/>
              </w:rPr>
              <w:t>1,707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B8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8A"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B8B"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B8C" w14:textId="77777777" w:rsidR="00996AD7" w:rsidRDefault="00D96458">
            <w:pPr>
              <w:jc w:val="right"/>
              <w:textAlignment w:val="bottom"/>
            </w:pPr>
            <w:r>
              <w:rPr>
                <w:rFonts w:ascii="Arial" w:eastAsia="宋体" w:hAnsi="Arial" w:cs="Arial"/>
                <w:b/>
                <w:bCs/>
                <w:color w:val="262626"/>
                <w:sz w:val="18"/>
                <w:szCs w:val="18"/>
              </w:rPr>
              <w:t>56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B8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8E"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B8F"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B90" w14:textId="77777777" w:rsidR="00996AD7" w:rsidRDefault="00D96458">
            <w:pPr>
              <w:jc w:val="right"/>
              <w:textAlignment w:val="bottom"/>
            </w:pPr>
            <w:r>
              <w:rPr>
                <w:rFonts w:ascii="Arial" w:eastAsia="宋体" w:hAnsi="Arial" w:cs="Arial"/>
                <w:b/>
                <w:bCs/>
                <w:color w:val="0068B5"/>
                <w:sz w:val="18"/>
                <w:szCs w:val="18"/>
              </w:rPr>
              <w:t>2,370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B9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92"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B93"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B94" w14:textId="77777777" w:rsidR="00996AD7" w:rsidRDefault="00D96458">
            <w:pPr>
              <w:jc w:val="right"/>
              <w:textAlignment w:val="bottom"/>
            </w:pPr>
            <w:r>
              <w:rPr>
                <w:rFonts w:ascii="Arial" w:eastAsia="宋体" w:hAnsi="Arial" w:cs="Arial"/>
                <w:b/>
                <w:bCs/>
                <w:color w:val="262626"/>
                <w:sz w:val="18"/>
                <w:szCs w:val="18"/>
              </w:rPr>
              <w:t>212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B95" w14:textId="77777777" w:rsidR="00996AD7" w:rsidRDefault="00996AD7">
            <w:pPr>
              <w:jc w:val="right"/>
              <w:rPr>
                <w:rFonts w:ascii="宋体"/>
              </w:rPr>
            </w:pPr>
          </w:p>
        </w:tc>
        <w:tc>
          <w:tcPr>
            <w:tcW w:w="0" w:type="auto"/>
            <w:shd w:val="clear" w:color="auto" w:fill="auto"/>
            <w:vAlign w:val="bottom"/>
          </w:tcPr>
          <w:p w14:paraId="39D99B96" w14:textId="77777777" w:rsidR="00996AD7" w:rsidRDefault="00996AD7">
            <w:pPr>
              <w:rPr>
                <w:rFonts w:ascii="宋体"/>
                <w:vanish/>
              </w:rPr>
            </w:pPr>
          </w:p>
        </w:tc>
        <w:tc>
          <w:tcPr>
            <w:tcW w:w="0" w:type="auto"/>
            <w:shd w:val="clear" w:color="auto" w:fill="auto"/>
            <w:vAlign w:val="bottom"/>
          </w:tcPr>
          <w:p w14:paraId="39D99B97" w14:textId="77777777" w:rsidR="00996AD7" w:rsidRDefault="00996AD7">
            <w:pPr>
              <w:rPr>
                <w:rFonts w:ascii="宋体"/>
                <w:vanish/>
              </w:rPr>
            </w:pPr>
          </w:p>
        </w:tc>
        <w:tc>
          <w:tcPr>
            <w:tcW w:w="0" w:type="auto"/>
            <w:shd w:val="clear" w:color="auto" w:fill="auto"/>
            <w:vAlign w:val="bottom"/>
          </w:tcPr>
          <w:p w14:paraId="39D99B98" w14:textId="77777777" w:rsidR="00996AD7" w:rsidRDefault="00996AD7">
            <w:pPr>
              <w:rPr>
                <w:rFonts w:ascii="宋体"/>
                <w:vanish/>
              </w:rPr>
            </w:pPr>
          </w:p>
        </w:tc>
        <w:tc>
          <w:tcPr>
            <w:tcW w:w="0" w:type="auto"/>
            <w:shd w:val="clear" w:color="auto" w:fill="auto"/>
            <w:vAlign w:val="bottom"/>
          </w:tcPr>
          <w:p w14:paraId="39D99B99" w14:textId="77777777" w:rsidR="00996AD7" w:rsidRDefault="00996AD7">
            <w:pPr>
              <w:rPr>
                <w:rFonts w:ascii="宋体"/>
                <w:vanish/>
              </w:rPr>
            </w:pPr>
          </w:p>
        </w:tc>
      </w:tr>
      <w:tr w:rsidR="00996AD7" w14:paraId="39D99BA8" w14:textId="77777777">
        <w:trPr>
          <w:hidden/>
        </w:trPr>
        <w:tc>
          <w:tcPr>
            <w:tcW w:w="0" w:type="auto"/>
            <w:gridSpan w:val="3"/>
            <w:shd w:val="clear" w:color="auto" w:fill="auto"/>
            <w:vAlign w:val="bottom"/>
          </w:tcPr>
          <w:p w14:paraId="39D99B9B" w14:textId="77777777" w:rsidR="00996AD7" w:rsidRDefault="00996AD7">
            <w:pPr>
              <w:rPr>
                <w:rFonts w:ascii="宋体"/>
                <w:vanish/>
              </w:rPr>
            </w:pPr>
          </w:p>
        </w:tc>
        <w:tc>
          <w:tcPr>
            <w:tcW w:w="0" w:type="auto"/>
            <w:gridSpan w:val="3"/>
            <w:shd w:val="clear" w:color="auto" w:fill="auto"/>
            <w:vAlign w:val="bottom"/>
          </w:tcPr>
          <w:p w14:paraId="39D99B9C" w14:textId="77777777" w:rsidR="00996AD7" w:rsidRDefault="00996AD7">
            <w:pPr>
              <w:rPr>
                <w:rFonts w:ascii="宋体"/>
                <w:vanish/>
              </w:rPr>
            </w:pPr>
          </w:p>
        </w:tc>
        <w:tc>
          <w:tcPr>
            <w:tcW w:w="0" w:type="auto"/>
            <w:gridSpan w:val="3"/>
            <w:shd w:val="clear" w:color="auto" w:fill="auto"/>
            <w:vAlign w:val="bottom"/>
          </w:tcPr>
          <w:p w14:paraId="39D99B9D" w14:textId="77777777" w:rsidR="00996AD7" w:rsidRDefault="00996AD7">
            <w:pPr>
              <w:rPr>
                <w:rFonts w:ascii="宋体"/>
                <w:vanish/>
              </w:rPr>
            </w:pPr>
          </w:p>
        </w:tc>
        <w:tc>
          <w:tcPr>
            <w:tcW w:w="0" w:type="auto"/>
            <w:gridSpan w:val="3"/>
            <w:shd w:val="clear" w:color="auto" w:fill="auto"/>
            <w:vAlign w:val="bottom"/>
          </w:tcPr>
          <w:p w14:paraId="39D99B9E" w14:textId="77777777" w:rsidR="00996AD7" w:rsidRDefault="00996AD7">
            <w:pPr>
              <w:rPr>
                <w:rFonts w:ascii="宋体"/>
                <w:vanish/>
              </w:rPr>
            </w:pPr>
          </w:p>
        </w:tc>
        <w:tc>
          <w:tcPr>
            <w:tcW w:w="0" w:type="auto"/>
            <w:gridSpan w:val="3"/>
            <w:shd w:val="clear" w:color="auto" w:fill="auto"/>
            <w:vAlign w:val="bottom"/>
          </w:tcPr>
          <w:p w14:paraId="39D99B9F" w14:textId="77777777" w:rsidR="00996AD7" w:rsidRDefault="00996AD7">
            <w:pPr>
              <w:rPr>
                <w:rFonts w:ascii="宋体"/>
                <w:vanish/>
              </w:rPr>
            </w:pPr>
          </w:p>
        </w:tc>
        <w:tc>
          <w:tcPr>
            <w:tcW w:w="0" w:type="auto"/>
            <w:gridSpan w:val="3"/>
            <w:shd w:val="clear" w:color="auto" w:fill="auto"/>
            <w:vAlign w:val="bottom"/>
          </w:tcPr>
          <w:p w14:paraId="39D99BA0" w14:textId="77777777" w:rsidR="00996AD7" w:rsidRDefault="00996AD7">
            <w:pPr>
              <w:rPr>
                <w:rFonts w:ascii="宋体"/>
                <w:vanish/>
              </w:rPr>
            </w:pPr>
          </w:p>
        </w:tc>
        <w:tc>
          <w:tcPr>
            <w:tcW w:w="0" w:type="auto"/>
            <w:gridSpan w:val="3"/>
            <w:shd w:val="clear" w:color="auto" w:fill="auto"/>
            <w:vAlign w:val="bottom"/>
          </w:tcPr>
          <w:p w14:paraId="39D99BA1" w14:textId="77777777" w:rsidR="00996AD7" w:rsidRDefault="00996AD7">
            <w:pPr>
              <w:rPr>
                <w:rFonts w:ascii="宋体"/>
                <w:vanish/>
              </w:rPr>
            </w:pPr>
          </w:p>
        </w:tc>
        <w:tc>
          <w:tcPr>
            <w:tcW w:w="0" w:type="auto"/>
            <w:gridSpan w:val="3"/>
            <w:shd w:val="clear" w:color="auto" w:fill="auto"/>
            <w:vAlign w:val="bottom"/>
          </w:tcPr>
          <w:p w14:paraId="39D99BA2" w14:textId="77777777" w:rsidR="00996AD7" w:rsidRDefault="00996AD7">
            <w:pPr>
              <w:rPr>
                <w:rFonts w:ascii="宋体"/>
                <w:vanish/>
              </w:rPr>
            </w:pPr>
          </w:p>
        </w:tc>
        <w:tc>
          <w:tcPr>
            <w:tcW w:w="0" w:type="auto"/>
            <w:gridSpan w:val="3"/>
            <w:shd w:val="clear" w:color="auto" w:fill="auto"/>
            <w:vAlign w:val="bottom"/>
          </w:tcPr>
          <w:p w14:paraId="39D99BA3" w14:textId="77777777" w:rsidR="00996AD7" w:rsidRDefault="00996AD7">
            <w:pPr>
              <w:rPr>
                <w:rFonts w:ascii="宋体"/>
                <w:vanish/>
              </w:rPr>
            </w:pPr>
          </w:p>
        </w:tc>
        <w:tc>
          <w:tcPr>
            <w:tcW w:w="0" w:type="auto"/>
            <w:shd w:val="clear" w:color="auto" w:fill="auto"/>
            <w:vAlign w:val="bottom"/>
          </w:tcPr>
          <w:p w14:paraId="39D99BA4" w14:textId="77777777" w:rsidR="00996AD7" w:rsidRDefault="00996AD7">
            <w:pPr>
              <w:rPr>
                <w:rFonts w:ascii="宋体"/>
                <w:vanish/>
              </w:rPr>
            </w:pPr>
          </w:p>
        </w:tc>
        <w:tc>
          <w:tcPr>
            <w:tcW w:w="0" w:type="auto"/>
            <w:shd w:val="clear" w:color="auto" w:fill="auto"/>
            <w:vAlign w:val="bottom"/>
          </w:tcPr>
          <w:p w14:paraId="39D99BA5" w14:textId="77777777" w:rsidR="00996AD7" w:rsidRDefault="00996AD7">
            <w:pPr>
              <w:rPr>
                <w:rFonts w:ascii="宋体"/>
                <w:vanish/>
              </w:rPr>
            </w:pPr>
          </w:p>
        </w:tc>
        <w:tc>
          <w:tcPr>
            <w:tcW w:w="0" w:type="auto"/>
            <w:shd w:val="clear" w:color="auto" w:fill="auto"/>
            <w:vAlign w:val="bottom"/>
          </w:tcPr>
          <w:p w14:paraId="39D99BA6" w14:textId="77777777" w:rsidR="00996AD7" w:rsidRDefault="00996AD7">
            <w:pPr>
              <w:rPr>
                <w:rFonts w:ascii="宋体"/>
                <w:vanish/>
              </w:rPr>
            </w:pPr>
          </w:p>
        </w:tc>
        <w:tc>
          <w:tcPr>
            <w:tcW w:w="0" w:type="auto"/>
            <w:shd w:val="clear" w:color="auto" w:fill="auto"/>
            <w:vAlign w:val="bottom"/>
          </w:tcPr>
          <w:p w14:paraId="39D99BA7" w14:textId="77777777" w:rsidR="00996AD7" w:rsidRDefault="00996AD7">
            <w:pPr>
              <w:rPr>
                <w:rFonts w:ascii="宋体"/>
                <w:vanish/>
              </w:rPr>
            </w:pPr>
          </w:p>
        </w:tc>
      </w:tr>
      <w:tr w:rsidR="00996AD7" w14:paraId="39D99BBE" w14:textId="77777777">
        <w:tc>
          <w:tcPr>
            <w:tcW w:w="0" w:type="auto"/>
            <w:gridSpan w:val="3"/>
            <w:shd w:val="clear" w:color="auto" w:fill="auto"/>
            <w:tcMar>
              <w:top w:w="40" w:type="dxa"/>
              <w:left w:w="20" w:type="dxa"/>
              <w:bottom w:w="40" w:type="dxa"/>
              <w:right w:w="20" w:type="dxa"/>
            </w:tcMar>
            <w:vAlign w:val="bottom"/>
          </w:tcPr>
          <w:p w14:paraId="39D99BA9" w14:textId="77777777" w:rsidR="00996AD7" w:rsidRDefault="00D96458">
            <w:pPr>
              <w:ind w:hanging="180"/>
              <w:textAlignment w:val="bottom"/>
            </w:pPr>
            <w:r>
              <w:rPr>
                <w:rFonts w:ascii="Arial" w:eastAsia="宋体" w:hAnsi="Arial" w:cs="Arial"/>
                <w:b/>
                <w:bCs/>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39D99BAA"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9BAB" w14:textId="77777777" w:rsidR="00996AD7" w:rsidRDefault="00D964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9BAC" w14:textId="77777777" w:rsidR="00996AD7" w:rsidRDefault="00D96458">
            <w:pPr>
              <w:jc w:val="right"/>
              <w:textAlignment w:val="bottom"/>
            </w:pPr>
            <w:r>
              <w:rPr>
                <w:rFonts w:ascii="Arial" w:eastAsia="宋体" w:hAnsi="Arial" w:cs="Arial"/>
                <w:b/>
                <w:bCs/>
                <w:color w:val="0068B5"/>
                <w:sz w:val="18"/>
                <w:szCs w:val="18"/>
              </w:rPr>
              <w:t>(76)</w:t>
            </w:r>
          </w:p>
        </w:tc>
        <w:tc>
          <w:tcPr>
            <w:tcW w:w="0" w:type="auto"/>
            <w:tcBorders>
              <w:top w:val="double" w:sz="6" w:space="0" w:color="262626"/>
            </w:tcBorders>
            <w:shd w:val="clear" w:color="auto" w:fill="auto"/>
            <w:tcMar>
              <w:top w:w="40" w:type="dxa"/>
              <w:left w:w="0" w:type="dxa"/>
              <w:bottom w:w="40" w:type="dxa"/>
              <w:right w:w="20" w:type="dxa"/>
            </w:tcMar>
            <w:vAlign w:val="bottom"/>
          </w:tcPr>
          <w:p w14:paraId="39D99BA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AE"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9BAF" w14:textId="77777777" w:rsidR="00996AD7" w:rsidRDefault="00D964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9BB0" w14:textId="77777777" w:rsidR="00996AD7" w:rsidRDefault="00D96458">
            <w:pPr>
              <w:jc w:val="right"/>
              <w:textAlignment w:val="bottom"/>
            </w:pPr>
            <w:r>
              <w:rPr>
                <w:rFonts w:ascii="Arial" w:eastAsia="宋体" w:hAnsi="Arial" w:cs="Arial"/>
                <w:b/>
                <w:bCs/>
                <w:color w:val="262626"/>
                <w:sz w:val="18"/>
                <w:szCs w:val="18"/>
              </w:rPr>
              <w:t>(74)</w:t>
            </w:r>
          </w:p>
        </w:tc>
        <w:tc>
          <w:tcPr>
            <w:tcW w:w="0" w:type="auto"/>
            <w:tcBorders>
              <w:top w:val="double" w:sz="6" w:space="0" w:color="262626"/>
            </w:tcBorders>
            <w:shd w:val="clear" w:color="auto" w:fill="auto"/>
            <w:tcMar>
              <w:top w:w="40" w:type="dxa"/>
              <w:left w:w="0" w:type="dxa"/>
              <w:bottom w:w="40" w:type="dxa"/>
              <w:right w:w="20" w:type="dxa"/>
            </w:tcMar>
            <w:vAlign w:val="bottom"/>
          </w:tcPr>
          <w:p w14:paraId="39D99BB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B2"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9BB3" w14:textId="77777777" w:rsidR="00996AD7" w:rsidRDefault="00D964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9BB4" w14:textId="77777777" w:rsidR="00996AD7" w:rsidRDefault="00D96458">
            <w:pPr>
              <w:jc w:val="right"/>
              <w:textAlignment w:val="bottom"/>
            </w:pPr>
            <w:r>
              <w:rPr>
                <w:rFonts w:ascii="Arial" w:eastAsia="宋体" w:hAnsi="Arial" w:cs="Arial"/>
                <w:b/>
                <w:bCs/>
                <w:color w:val="0068B5"/>
                <w:sz w:val="18"/>
                <w:szCs w:val="18"/>
              </w:rPr>
              <w:t>(328)</w:t>
            </w:r>
          </w:p>
        </w:tc>
        <w:tc>
          <w:tcPr>
            <w:tcW w:w="0" w:type="auto"/>
            <w:tcBorders>
              <w:top w:val="double" w:sz="6" w:space="0" w:color="262626"/>
            </w:tcBorders>
            <w:shd w:val="clear" w:color="auto" w:fill="auto"/>
            <w:tcMar>
              <w:top w:w="40" w:type="dxa"/>
              <w:left w:w="0" w:type="dxa"/>
              <w:bottom w:w="40" w:type="dxa"/>
              <w:right w:w="20" w:type="dxa"/>
            </w:tcMar>
            <w:vAlign w:val="bottom"/>
          </w:tcPr>
          <w:p w14:paraId="39D99BB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B6"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9BB7" w14:textId="77777777" w:rsidR="00996AD7" w:rsidRDefault="00D964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9BB8" w14:textId="77777777" w:rsidR="00996AD7" w:rsidRDefault="00D96458">
            <w:pPr>
              <w:jc w:val="right"/>
              <w:textAlignment w:val="bottom"/>
            </w:pPr>
            <w:r>
              <w:rPr>
                <w:rFonts w:ascii="Arial" w:eastAsia="宋体" w:hAnsi="Arial" w:cs="Arial"/>
                <w:b/>
                <w:bCs/>
                <w:color w:val="262626"/>
                <w:sz w:val="18"/>
                <w:szCs w:val="18"/>
              </w:rPr>
              <w:t>(416)</w:t>
            </w:r>
          </w:p>
        </w:tc>
        <w:tc>
          <w:tcPr>
            <w:tcW w:w="0" w:type="auto"/>
            <w:tcBorders>
              <w:top w:val="double" w:sz="6" w:space="0" w:color="262626"/>
            </w:tcBorders>
            <w:shd w:val="clear" w:color="auto" w:fill="auto"/>
            <w:tcMar>
              <w:top w:w="40" w:type="dxa"/>
              <w:left w:w="0" w:type="dxa"/>
              <w:bottom w:w="40" w:type="dxa"/>
              <w:right w:w="20" w:type="dxa"/>
            </w:tcMar>
            <w:vAlign w:val="bottom"/>
          </w:tcPr>
          <w:p w14:paraId="39D99BB9" w14:textId="77777777" w:rsidR="00996AD7" w:rsidRDefault="00996AD7">
            <w:pPr>
              <w:jc w:val="right"/>
              <w:rPr>
                <w:rFonts w:ascii="宋体"/>
              </w:rPr>
            </w:pPr>
          </w:p>
        </w:tc>
        <w:tc>
          <w:tcPr>
            <w:tcW w:w="0" w:type="auto"/>
            <w:shd w:val="clear" w:color="auto" w:fill="auto"/>
            <w:vAlign w:val="bottom"/>
          </w:tcPr>
          <w:p w14:paraId="39D99BBA" w14:textId="77777777" w:rsidR="00996AD7" w:rsidRDefault="00996AD7">
            <w:pPr>
              <w:rPr>
                <w:rFonts w:ascii="宋体"/>
                <w:vanish/>
              </w:rPr>
            </w:pPr>
          </w:p>
        </w:tc>
        <w:tc>
          <w:tcPr>
            <w:tcW w:w="0" w:type="auto"/>
            <w:shd w:val="clear" w:color="auto" w:fill="auto"/>
            <w:vAlign w:val="bottom"/>
          </w:tcPr>
          <w:p w14:paraId="39D99BBB" w14:textId="77777777" w:rsidR="00996AD7" w:rsidRDefault="00996AD7">
            <w:pPr>
              <w:rPr>
                <w:rFonts w:ascii="宋体"/>
                <w:vanish/>
              </w:rPr>
            </w:pPr>
          </w:p>
        </w:tc>
        <w:tc>
          <w:tcPr>
            <w:tcW w:w="0" w:type="auto"/>
            <w:shd w:val="clear" w:color="auto" w:fill="auto"/>
            <w:vAlign w:val="bottom"/>
          </w:tcPr>
          <w:p w14:paraId="39D99BBC" w14:textId="77777777" w:rsidR="00996AD7" w:rsidRDefault="00996AD7">
            <w:pPr>
              <w:rPr>
                <w:rFonts w:ascii="宋体"/>
                <w:vanish/>
              </w:rPr>
            </w:pPr>
          </w:p>
        </w:tc>
        <w:tc>
          <w:tcPr>
            <w:tcW w:w="0" w:type="auto"/>
            <w:shd w:val="clear" w:color="auto" w:fill="auto"/>
            <w:vAlign w:val="bottom"/>
          </w:tcPr>
          <w:p w14:paraId="39D99BBD" w14:textId="77777777" w:rsidR="00996AD7" w:rsidRDefault="00996AD7">
            <w:pPr>
              <w:rPr>
                <w:rFonts w:ascii="宋体"/>
                <w:vanish/>
              </w:rPr>
            </w:pPr>
          </w:p>
        </w:tc>
      </w:tr>
    </w:tbl>
    <w:p w14:paraId="39D99BBF" w14:textId="77777777" w:rsidR="00996AD7" w:rsidRDefault="00D96458">
      <w:pPr>
        <w:spacing w:before="180" w:after="120"/>
      </w:pPr>
      <w:r>
        <w:rPr>
          <w:rFonts w:ascii="Arial" w:eastAsia="宋体" w:hAnsi="Arial" w:cs="Arial"/>
          <w:color w:val="0068B5"/>
          <w:sz w:val="20"/>
          <w:szCs w:val="20"/>
        </w:rPr>
        <w:t>Gains (losses) on equity investments, net</w:t>
      </w:r>
    </w:p>
    <w:p w14:paraId="39D99BC0" w14:textId="77777777" w:rsidR="00996AD7" w:rsidRDefault="00D96458">
      <w:pPr>
        <w:spacing w:after="180"/>
      </w:pPr>
      <w:r>
        <w:rPr>
          <w:rFonts w:ascii="Arial" w:eastAsia="宋体" w:hAnsi="Arial" w:cs="Arial"/>
          <w:color w:val="262626"/>
          <w:sz w:val="18"/>
          <w:szCs w:val="18"/>
        </w:rPr>
        <w:t>Ongoing mark-to-market adjustments during the first nine months of 2021 were primarily related to our interest in Montage Technology, Co. Ltd. During the first nine months of 2020, ongoing mark-to-market adjustments were primarily driven by our interest in</w:t>
      </w:r>
      <w:r>
        <w:rPr>
          <w:rFonts w:ascii="Arial" w:eastAsia="宋体" w:hAnsi="Arial" w:cs="Arial"/>
          <w:color w:val="262626"/>
          <w:sz w:val="18"/>
          <w:szCs w:val="18"/>
        </w:rPr>
        <w:t xml:space="preserve"> Cloudera, Inc. </w:t>
      </w:r>
    </w:p>
    <w:p w14:paraId="39D99BC1" w14:textId="77777777" w:rsidR="00996AD7" w:rsidRDefault="00D96458">
      <w:pPr>
        <w:spacing w:after="180"/>
      </w:pPr>
      <w:r>
        <w:rPr>
          <w:rFonts w:ascii="Arial" w:eastAsia="宋体" w:hAnsi="Arial" w:cs="Arial"/>
          <w:color w:val="262626"/>
          <w:sz w:val="18"/>
          <w:szCs w:val="18"/>
        </w:rPr>
        <w:t>In the first quarter of 2021, we recognized $471 million in observable price adjustments in our investment in Beijing Unisoc Technology Ltd.</w:t>
      </w:r>
    </w:p>
    <w:p w14:paraId="39D99BC2" w14:textId="77777777" w:rsidR="00996AD7" w:rsidRDefault="00D96458">
      <w:pPr>
        <w:spacing w:after="180"/>
      </w:pPr>
      <w:r>
        <w:rPr>
          <w:rFonts w:ascii="Arial" w:eastAsia="宋体" w:hAnsi="Arial" w:cs="Arial"/>
          <w:color w:val="262626"/>
          <w:sz w:val="18"/>
          <w:szCs w:val="18"/>
        </w:rPr>
        <w:t xml:space="preserve">Sale of equity investments and other during the third quarter of 2021 includes </w:t>
      </w:r>
      <w:r>
        <w:rPr>
          <w:rFonts w:ascii="Arial" w:eastAsia="宋体" w:hAnsi="Arial" w:cs="Arial"/>
          <w:color w:val="262626"/>
          <w:sz w:val="18"/>
          <w:szCs w:val="18"/>
        </w:rPr>
        <w:t>$447 million of initial fair value adjustments related to four companies that went public, and a McAfee special dividend of $1.1 billion paid in connection with the sale of McAfee's Enterprise Business to Symphony Technology Group.</w:t>
      </w:r>
    </w:p>
    <w:p w14:paraId="39D99BC3" w14:textId="77777777" w:rsidR="00996AD7" w:rsidRDefault="00D96458">
      <w:pPr>
        <w:spacing w:after="120"/>
      </w:pPr>
      <w:r>
        <w:rPr>
          <w:rFonts w:ascii="Arial" w:eastAsia="宋体" w:hAnsi="Arial" w:cs="Arial"/>
          <w:color w:val="0068B5"/>
          <w:sz w:val="20"/>
          <w:szCs w:val="20"/>
        </w:rPr>
        <w:t>Interest and other, net</w:t>
      </w:r>
    </w:p>
    <w:p w14:paraId="39D99BC4" w14:textId="77777777" w:rsidR="00996AD7" w:rsidRDefault="00D96458">
      <w:pPr>
        <w:spacing w:after="180"/>
      </w:pPr>
      <w:r>
        <w:rPr>
          <w:rFonts w:ascii="Arial" w:eastAsia="宋体" w:hAnsi="Arial" w:cs="Arial"/>
          <w:color w:val="262626"/>
          <w:sz w:val="18"/>
          <w:szCs w:val="18"/>
        </w:rPr>
        <w:t>During the first nine months of 2020, we paid $1.1 billion to fully satisfy conversion obligations for $372 million of our $2.0 billion 2009 Debentures and recognized a loss of $109 million in interest and other, net and $750 million as a reduction in stoc</w:t>
      </w:r>
      <w:r>
        <w:rPr>
          <w:rFonts w:ascii="Arial" w:eastAsia="宋体" w:hAnsi="Arial" w:cs="Arial"/>
          <w:color w:val="262626"/>
          <w:sz w:val="18"/>
          <w:szCs w:val="18"/>
        </w:rPr>
        <w:t>kholders' equity related to the conversion feature.</w:t>
      </w:r>
    </w:p>
    <w:p w14:paraId="39D99BC5" w14:textId="77777777" w:rsidR="00996AD7" w:rsidRDefault="00D96458">
      <w:pPr>
        <w:spacing w:before="300" w:after="180"/>
      </w:pPr>
      <w:r>
        <w:rPr>
          <w:rFonts w:ascii="Arial" w:eastAsia="宋体" w:hAnsi="Arial" w:cs="Arial"/>
          <w:color w:val="0068B5"/>
          <w:sz w:val="28"/>
          <w:szCs w:val="28"/>
        </w:rPr>
        <w:t>Restructuring and Other Charges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962"/>
        <w:gridCol w:w="36"/>
        <w:gridCol w:w="36"/>
        <w:gridCol w:w="36"/>
        <w:gridCol w:w="36"/>
        <w:gridCol w:w="122"/>
        <w:gridCol w:w="746"/>
        <w:gridCol w:w="36"/>
        <w:gridCol w:w="36"/>
        <w:gridCol w:w="36"/>
        <w:gridCol w:w="36"/>
        <w:gridCol w:w="121"/>
        <w:gridCol w:w="819"/>
        <w:gridCol w:w="36"/>
        <w:gridCol w:w="36"/>
        <w:gridCol w:w="36"/>
        <w:gridCol w:w="36"/>
        <w:gridCol w:w="121"/>
        <w:gridCol w:w="819"/>
        <w:gridCol w:w="36"/>
        <w:gridCol w:w="36"/>
        <w:gridCol w:w="36"/>
        <w:gridCol w:w="36"/>
        <w:gridCol w:w="121"/>
        <w:gridCol w:w="819"/>
        <w:gridCol w:w="36"/>
        <w:gridCol w:w="36"/>
      </w:tblGrid>
      <w:tr w:rsidR="00996AD7" w14:paraId="39D99BE2" w14:textId="77777777">
        <w:tc>
          <w:tcPr>
            <w:tcW w:w="50" w:type="pct"/>
            <w:shd w:val="clear" w:color="auto" w:fill="auto"/>
            <w:vAlign w:val="bottom"/>
          </w:tcPr>
          <w:p w14:paraId="39D99BC6" w14:textId="77777777" w:rsidR="00996AD7" w:rsidRDefault="00996AD7">
            <w:pPr>
              <w:rPr>
                <w:rFonts w:ascii="宋体"/>
              </w:rPr>
            </w:pPr>
          </w:p>
        </w:tc>
        <w:tc>
          <w:tcPr>
            <w:tcW w:w="2451" w:type="pct"/>
            <w:shd w:val="clear" w:color="auto" w:fill="auto"/>
            <w:vAlign w:val="bottom"/>
          </w:tcPr>
          <w:p w14:paraId="39D99BC7" w14:textId="77777777" w:rsidR="00996AD7" w:rsidRDefault="00996AD7">
            <w:pPr>
              <w:rPr>
                <w:rFonts w:ascii="宋体"/>
              </w:rPr>
            </w:pPr>
          </w:p>
        </w:tc>
        <w:tc>
          <w:tcPr>
            <w:tcW w:w="5" w:type="pct"/>
            <w:shd w:val="clear" w:color="auto" w:fill="auto"/>
            <w:vAlign w:val="bottom"/>
          </w:tcPr>
          <w:p w14:paraId="39D99BC8" w14:textId="77777777" w:rsidR="00996AD7" w:rsidRDefault="00996AD7">
            <w:pPr>
              <w:rPr>
                <w:rFonts w:ascii="宋体"/>
              </w:rPr>
            </w:pPr>
          </w:p>
        </w:tc>
        <w:tc>
          <w:tcPr>
            <w:tcW w:w="5" w:type="pct"/>
            <w:shd w:val="clear" w:color="auto" w:fill="auto"/>
            <w:vAlign w:val="bottom"/>
          </w:tcPr>
          <w:p w14:paraId="39D99BC9" w14:textId="77777777" w:rsidR="00996AD7" w:rsidRDefault="00996AD7">
            <w:pPr>
              <w:rPr>
                <w:rFonts w:ascii="宋体"/>
              </w:rPr>
            </w:pPr>
          </w:p>
        </w:tc>
        <w:tc>
          <w:tcPr>
            <w:tcW w:w="24" w:type="pct"/>
            <w:shd w:val="clear" w:color="auto" w:fill="auto"/>
            <w:vAlign w:val="bottom"/>
          </w:tcPr>
          <w:p w14:paraId="39D99BCA" w14:textId="77777777" w:rsidR="00996AD7" w:rsidRDefault="00996AD7">
            <w:pPr>
              <w:rPr>
                <w:rFonts w:ascii="宋体"/>
              </w:rPr>
            </w:pPr>
          </w:p>
        </w:tc>
        <w:tc>
          <w:tcPr>
            <w:tcW w:w="5" w:type="pct"/>
            <w:shd w:val="clear" w:color="auto" w:fill="auto"/>
            <w:vAlign w:val="bottom"/>
          </w:tcPr>
          <w:p w14:paraId="39D99BCB" w14:textId="77777777" w:rsidR="00996AD7" w:rsidRDefault="00996AD7">
            <w:pPr>
              <w:rPr>
                <w:rFonts w:ascii="宋体"/>
              </w:rPr>
            </w:pPr>
          </w:p>
        </w:tc>
        <w:tc>
          <w:tcPr>
            <w:tcW w:w="50" w:type="pct"/>
            <w:shd w:val="clear" w:color="auto" w:fill="auto"/>
            <w:vAlign w:val="bottom"/>
          </w:tcPr>
          <w:p w14:paraId="39D99BCC" w14:textId="77777777" w:rsidR="00996AD7" w:rsidRDefault="00996AD7">
            <w:pPr>
              <w:rPr>
                <w:rFonts w:ascii="宋体"/>
              </w:rPr>
            </w:pPr>
          </w:p>
        </w:tc>
        <w:tc>
          <w:tcPr>
            <w:tcW w:w="539" w:type="pct"/>
            <w:shd w:val="clear" w:color="auto" w:fill="auto"/>
            <w:vAlign w:val="bottom"/>
          </w:tcPr>
          <w:p w14:paraId="39D99BCD" w14:textId="77777777" w:rsidR="00996AD7" w:rsidRDefault="00996AD7">
            <w:pPr>
              <w:rPr>
                <w:rFonts w:ascii="宋体"/>
              </w:rPr>
            </w:pPr>
          </w:p>
        </w:tc>
        <w:tc>
          <w:tcPr>
            <w:tcW w:w="5" w:type="pct"/>
            <w:shd w:val="clear" w:color="auto" w:fill="auto"/>
            <w:vAlign w:val="bottom"/>
          </w:tcPr>
          <w:p w14:paraId="39D99BCE" w14:textId="77777777" w:rsidR="00996AD7" w:rsidRDefault="00996AD7">
            <w:pPr>
              <w:rPr>
                <w:rFonts w:ascii="宋体"/>
              </w:rPr>
            </w:pPr>
          </w:p>
        </w:tc>
        <w:tc>
          <w:tcPr>
            <w:tcW w:w="5" w:type="pct"/>
            <w:shd w:val="clear" w:color="auto" w:fill="auto"/>
            <w:vAlign w:val="bottom"/>
          </w:tcPr>
          <w:p w14:paraId="39D99BCF" w14:textId="77777777" w:rsidR="00996AD7" w:rsidRDefault="00996AD7">
            <w:pPr>
              <w:rPr>
                <w:rFonts w:ascii="宋体"/>
              </w:rPr>
            </w:pPr>
          </w:p>
        </w:tc>
        <w:tc>
          <w:tcPr>
            <w:tcW w:w="17" w:type="pct"/>
            <w:shd w:val="clear" w:color="auto" w:fill="auto"/>
            <w:vAlign w:val="bottom"/>
          </w:tcPr>
          <w:p w14:paraId="39D99BD0" w14:textId="77777777" w:rsidR="00996AD7" w:rsidRDefault="00996AD7">
            <w:pPr>
              <w:rPr>
                <w:rFonts w:ascii="宋体"/>
              </w:rPr>
            </w:pPr>
          </w:p>
        </w:tc>
        <w:tc>
          <w:tcPr>
            <w:tcW w:w="5" w:type="pct"/>
            <w:shd w:val="clear" w:color="auto" w:fill="auto"/>
            <w:vAlign w:val="bottom"/>
          </w:tcPr>
          <w:p w14:paraId="39D99BD1" w14:textId="77777777" w:rsidR="00996AD7" w:rsidRDefault="00996AD7">
            <w:pPr>
              <w:rPr>
                <w:rFonts w:ascii="宋体"/>
              </w:rPr>
            </w:pPr>
          </w:p>
        </w:tc>
        <w:tc>
          <w:tcPr>
            <w:tcW w:w="50" w:type="pct"/>
            <w:shd w:val="clear" w:color="auto" w:fill="auto"/>
            <w:vAlign w:val="bottom"/>
          </w:tcPr>
          <w:p w14:paraId="39D99BD2" w14:textId="77777777" w:rsidR="00996AD7" w:rsidRDefault="00996AD7">
            <w:pPr>
              <w:rPr>
                <w:rFonts w:ascii="宋体"/>
              </w:rPr>
            </w:pPr>
          </w:p>
        </w:tc>
        <w:tc>
          <w:tcPr>
            <w:tcW w:w="539" w:type="pct"/>
            <w:shd w:val="clear" w:color="auto" w:fill="auto"/>
            <w:vAlign w:val="bottom"/>
          </w:tcPr>
          <w:p w14:paraId="39D99BD3" w14:textId="77777777" w:rsidR="00996AD7" w:rsidRDefault="00996AD7">
            <w:pPr>
              <w:rPr>
                <w:rFonts w:ascii="宋体"/>
              </w:rPr>
            </w:pPr>
          </w:p>
        </w:tc>
        <w:tc>
          <w:tcPr>
            <w:tcW w:w="5" w:type="pct"/>
            <w:shd w:val="clear" w:color="auto" w:fill="auto"/>
            <w:vAlign w:val="bottom"/>
          </w:tcPr>
          <w:p w14:paraId="39D99BD4" w14:textId="77777777" w:rsidR="00996AD7" w:rsidRDefault="00996AD7">
            <w:pPr>
              <w:rPr>
                <w:rFonts w:ascii="宋体"/>
              </w:rPr>
            </w:pPr>
          </w:p>
        </w:tc>
        <w:tc>
          <w:tcPr>
            <w:tcW w:w="5" w:type="pct"/>
            <w:shd w:val="clear" w:color="auto" w:fill="auto"/>
            <w:vAlign w:val="bottom"/>
          </w:tcPr>
          <w:p w14:paraId="39D99BD5" w14:textId="77777777" w:rsidR="00996AD7" w:rsidRDefault="00996AD7">
            <w:pPr>
              <w:rPr>
                <w:rFonts w:ascii="宋体"/>
              </w:rPr>
            </w:pPr>
          </w:p>
        </w:tc>
        <w:tc>
          <w:tcPr>
            <w:tcW w:w="17" w:type="pct"/>
            <w:shd w:val="clear" w:color="auto" w:fill="auto"/>
            <w:vAlign w:val="bottom"/>
          </w:tcPr>
          <w:p w14:paraId="39D99BD6" w14:textId="77777777" w:rsidR="00996AD7" w:rsidRDefault="00996AD7">
            <w:pPr>
              <w:rPr>
                <w:rFonts w:ascii="宋体"/>
              </w:rPr>
            </w:pPr>
          </w:p>
        </w:tc>
        <w:tc>
          <w:tcPr>
            <w:tcW w:w="5" w:type="pct"/>
            <w:shd w:val="clear" w:color="auto" w:fill="auto"/>
            <w:vAlign w:val="bottom"/>
          </w:tcPr>
          <w:p w14:paraId="39D99BD7" w14:textId="77777777" w:rsidR="00996AD7" w:rsidRDefault="00996AD7">
            <w:pPr>
              <w:rPr>
                <w:rFonts w:ascii="宋体"/>
              </w:rPr>
            </w:pPr>
          </w:p>
        </w:tc>
        <w:tc>
          <w:tcPr>
            <w:tcW w:w="50" w:type="pct"/>
            <w:shd w:val="clear" w:color="auto" w:fill="auto"/>
            <w:vAlign w:val="bottom"/>
          </w:tcPr>
          <w:p w14:paraId="39D99BD8" w14:textId="77777777" w:rsidR="00996AD7" w:rsidRDefault="00996AD7">
            <w:pPr>
              <w:rPr>
                <w:rFonts w:ascii="宋体"/>
              </w:rPr>
            </w:pPr>
          </w:p>
        </w:tc>
        <w:tc>
          <w:tcPr>
            <w:tcW w:w="539" w:type="pct"/>
            <w:shd w:val="clear" w:color="auto" w:fill="auto"/>
            <w:vAlign w:val="bottom"/>
          </w:tcPr>
          <w:p w14:paraId="39D99BD9" w14:textId="77777777" w:rsidR="00996AD7" w:rsidRDefault="00996AD7">
            <w:pPr>
              <w:rPr>
                <w:rFonts w:ascii="宋体"/>
              </w:rPr>
            </w:pPr>
          </w:p>
        </w:tc>
        <w:tc>
          <w:tcPr>
            <w:tcW w:w="5" w:type="pct"/>
            <w:shd w:val="clear" w:color="auto" w:fill="auto"/>
            <w:vAlign w:val="bottom"/>
          </w:tcPr>
          <w:p w14:paraId="39D99BDA" w14:textId="77777777" w:rsidR="00996AD7" w:rsidRDefault="00996AD7">
            <w:pPr>
              <w:rPr>
                <w:rFonts w:ascii="宋体"/>
              </w:rPr>
            </w:pPr>
          </w:p>
        </w:tc>
        <w:tc>
          <w:tcPr>
            <w:tcW w:w="5" w:type="pct"/>
            <w:shd w:val="clear" w:color="auto" w:fill="auto"/>
            <w:vAlign w:val="bottom"/>
          </w:tcPr>
          <w:p w14:paraId="39D99BDB" w14:textId="77777777" w:rsidR="00996AD7" w:rsidRDefault="00996AD7">
            <w:pPr>
              <w:rPr>
                <w:rFonts w:ascii="宋体"/>
              </w:rPr>
            </w:pPr>
          </w:p>
        </w:tc>
        <w:tc>
          <w:tcPr>
            <w:tcW w:w="17" w:type="pct"/>
            <w:shd w:val="clear" w:color="auto" w:fill="auto"/>
            <w:vAlign w:val="bottom"/>
          </w:tcPr>
          <w:p w14:paraId="39D99BDC" w14:textId="77777777" w:rsidR="00996AD7" w:rsidRDefault="00996AD7">
            <w:pPr>
              <w:rPr>
                <w:rFonts w:ascii="宋体"/>
              </w:rPr>
            </w:pPr>
          </w:p>
        </w:tc>
        <w:tc>
          <w:tcPr>
            <w:tcW w:w="5" w:type="pct"/>
            <w:shd w:val="clear" w:color="auto" w:fill="auto"/>
            <w:vAlign w:val="bottom"/>
          </w:tcPr>
          <w:p w14:paraId="39D99BDD" w14:textId="77777777" w:rsidR="00996AD7" w:rsidRDefault="00996AD7">
            <w:pPr>
              <w:rPr>
                <w:rFonts w:ascii="宋体"/>
              </w:rPr>
            </w:pPr>
          </w:p>
        </w:tc>
        <w:tc>
          <w:tcPr>
            <w:tcW w:w="50" w:type="pct"/>
            <w:shd w:val="clear" w:color="auto" w:fill="auto"/>
            <w:vAlign w:val="bottom"/>
          </w:tcPr>
          <w:p w14:paraId="39D99BDE" w14:textId="77777777" w:rsidR="00996AD7" w:rsidRDefault="00996AD7">
            <w:pPr>
              <w:rPr>
                <w:rFonts w:ascii="宋体"/>
              </w:rPr>
            </w:pPr>
          </w:p>
        </w:tc>
        <w:tc>
          <w:tcPr>
            <w:tcW w:w="539" w:type="pct"/>
            <w:shd w:val="clear" w:color="auto" w:fill="auto"/>
            <w:vAlign w:val="bottom"/>
          </w:tcPr>
          <w:p w14:paraId="39D99BDF" w14:textId="77777777" w:rsidR="00996AD7" w:rsidRDefault="00996AD7">
            <w:pPr>
              <w:rPr>
                <w:rFonts w:ascii="宋体"/>
              </w:rPr>
            </w:pPr>
          </w:p>
        </w:tc>
        <w:tc>
          <w:tcPr>
            <w:tcW w:w="5" w:type="pct"/>
            <w:shd w:val="clear" w:color="auto" w:fill="auto"/>
            <w:vAlign w:val="bottom"/>
          </w:tcPr>
          <w:p w14:paraId="39D99BE0" w14:textId="77777777" w:rsidR="00996AD7" w:rsidRDefault="00996AD7">
            <w:pPr>
              <w:rPr>
                <w:rFonts w:ascii="宋体"/>
              </w:rPr>
            </w:pPr>
          </w:p>
        </w:tc>
        <w:tc>
          <w:tcPr>
            <w:tcW w:w="0" w:type="auto"/>
            <w:shd w:val="clear" w:color="auto" w:fill="auto"/>
            <w:vAlign w:val="bottom"/>
          </w:tcPr>
          <w:p w14:paraId="39D99BE1" w14:textId="77777777" w:rsidR="00996AD7" w:rsidRDefault="00996AD7">
            <w:pPr>
              <w:rPr>
                <w:rFonts w:ascii="宋体"/>
                <w:vanish/>
              </w:rPr>
            </w:pPr>
          </w:p>
        </w:tc>
      </w:tr>
      <w:tr w:rsidR="00996AD7" w14:paraId="39D99BED" w14:textId="77777777">
        <w:tc>
          <w:tcPr>
            <w:tcW w:w="0" w:type="auto"/>
            <w:gridSpan w:val="3"/>
            <w:shd w:val="clear" w:color="auto" w:fill="auto"/>
            <w:tcMar>
              <w:top w:w="40" w:type="dxa"/>
              <w:left w:w="20" w:type="dxa"/>
              <w:bottom w:w="40" w:type="dxa"/>
              <w:right w:w="20" w:type="dxa"/>
            </w:tcMar>
            <w:vAlign w:val="bottom"/>
          </w:tcPr>
          <w:p w14:paraId="39D99BE3"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9BE4"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BE5" w14:textId="77777777" w:rsidR="00996AD7" w:rsidRDefault="00D96458">
            <w:pPr>
              <w:jc w:val="center"/>
              <w:textAlignment w:val="bottom"/>
            </w:pPr>
            <w:r>
              <w:rPr>
                <w:rFonts w:ascii="Arial" w:eastAsia="宋体" w:hAnsi="Arial" w:cs="Arial"/>
                <w:b/>
                <w:bCs/>
                <w:color w:val="262626"/>
                <w:sz w:val="18"/>
                <w:szCs w:val="18"/>
              </w:rPr>
              <w:t>Q3 2021</w:t>
            </w:r>
          </w:p>
        </w:tc>
        <w:tc>
          <w:tcPr>
            <w:tcW w:w="0" w:type="auto"/>
            <w:gridSpan w:val="3"/>
            <w:shd w:val="clear" w:color="auto" w:fill="auto"/>
            <w:tcMar>
              <w:top w:w="0" w:type="dxa"/>
              <w:left w:w="20" w:type="dxa"/>
              <w:bottom w:w="0" w:type="dxa"/>
              <w:right w:w="20" w:type="dxa"/>
            </w:tcMar>
            <w:vAlign w:val="bottom"/>
          </w:tcPr>
          <w:p w14:paraId="39D99BE6"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BE7" w14:textId="77777777" w:rsidR="00996AD7" w:rsidRDefault="00D96458">
            <w:pPr>
              <w:jc w:val="center"/>
              <w:textAlignment w:val="bottom"/>
            </w:pPr>
            <w:r>
              <w:rPr>
                <w:rFonts w:ascii="Arial" w:eastAsia="宋体" w:hAnsi="Arial" w:cs="Arial"/>
                <w:b/>
                <w:bCs/>
                <w:color w:val="262626"/>
                <w:sz w:val="18"/>
                <w:szCs w:val="18"/>
              </w:rPr>
              <w:t>Q3 2020</w:t>
            </w:r>
          </w:p>
        </w:tc>
        <w:tc>
          <w:tcPr>
            <w:tcW w:w="0" w:type="auto"/>
            <w:gridSpan w:val="3"/>
            <w:shd w:val="clear" w:color="auto" w:fill="auto"/>
            <w:tcMar>
              <w:top w:w="0" w:type="dxa"/>
              <w:left w:w="20" w:type="dxa"/>
              <w:bottom w:w="0" w:type="dxa"/>
              <w:right w:w="20" w:type="dxa"/>
            </w:tcMar>
            <w:vAlign w:val="bottom"/>
          </w:tcPr>
          <w:p w14:paraId="39D99BE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BE9" w14:textId="77777777" w:rsidR="00996AD7" w:rsidRDefault="00D96458">
            <w:pPr>
              <w:jc w:val="center"/>
              <w:textAlignment w:val="bottom"/>
            </w:pPr>
            <w:r>
              <w:rPr>
                <w:rFonts w:ascii="Arial" w:eastAsia="宋体" w:hAnsi="Arial" w:cs="Arial"/>
                <w:b/>
                <w:bCs/>
                <w:color w:val="262626"/>
                <w:sz w:val="18"/>
                <w:szCs w:val="18"/>
              </w:rPr>
              <w:t>YTD 2021</w:t>
            </w:r>
          </w:p>
        </w:tc>
        <w:tc>
          <w:tcPr>
            <w:tcW w:w="0" w:type="auto"/>
            <w:gridSpan w:val="3"/>
            <w:shd w:val="clear" w:color="auto" w:fill="auto"/>
            <w:tcMar>
              <w:top w:w="0" w:type="dxa"/>
              <w:left w:w="20" w:type="dxa"/>
              <w:bottom w:w="0" w:type="dxa"/>
              <w:right w:w="20" w:type="dxa"/>
            </w:tcMar>
            <w:vAlign w:val="bottom"/>
          </w:tcPr>
          <w:p w14:paraId="39D99BE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BEB" w14:textId="77777777" w:rsidR="00996AD7" w:rsidRDefault="00D96458">
            <w:pPr>
              <w:jc w:val="center"/>
              <w:textAlignment w:val="bottom"/>
            </w:pPr>
            <w:r>
              <w:rPr>
                <w:rFonts w:ascii="Arial" w:eastAsia="宋体" w:hAnsi="Arial" w:cs="Arial"/>
                <w:b/>
                <w:bCs/>
                <w:color w:val="262626"/>
                <w:sz w:val="18"/>
                <w:szCs w:val="18"/>
              </w:rPr>
              <w:t>YTD 2020</w:t>
            </w:r>
          </w:p>
        </w:tc>
        <w:tc>
          <w:tcPr>
            <w:tcW w:w="0" w:type="auto"/>
            <w:shd w:val="clear" w:color="auto" w:fill="auto"/>
            <w:vAlign w:val="bottom"/>
          </w:tcPr>
          <w:p w14:paraId="39D99BEC" w14:textId="77777777" w:rsidR="00996AD7" w:rsidRDefault="00996AD7">
            <w:pPr>
              <w:rPr>
                <w:rFonts w:ascii="宋体"/>
                <w:vanish/>
              </w:rPr>
            </w:pPr>
          </w:p>
        </w:tc>
      </w:tr>
      <w:tr w:rsidR="00996AD7" w14:paraId="39D99C00"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9BEE" w14:textId="77777777" w:rsidR="00996AD7" w:rsidRDefault="00D96458">
            <w:pPr>
              <w:textAlignment w:val="top"/>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vAlign w:val="bottom"/>
          </w:tcPr>
          <w:p w14:paraId="39D99BEF"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BF0"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BF1" w14:textId="77777777" w:rsidR="00996AD7" w:rsidRDefault="00D96458">
            <w:pPr>
              <w:jc w:val="right"/>
              <w:textAlignment w:val="bottom"/>
            </w:pPr>
            <w:r>
              <w:rPr>
                <w:rFonts w:ascii="Arial" w:eastAsia="宋体" w:hAnsi="Arial" w:cs="Arial"/>
                <w:color w:val="0068B5"/>
                <w:sz w:val="18"/>
                <w:szCs w:val="18"/>
              </w:rPr>
              <w:t>21 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BF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F3"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BF4"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BF5" w14:textId="77777777" w:rsidR="00996AD7" w:rsidRDefault="00D96458">
            <w:pPr>
              <w:jc w:val="right"/>
              <w:textAlignment w:val="bottom"/>
            </w:pPr>
            <w:r>
              <w:rPr>
                <w:rFonts w:ascii="Arial" w:eastAsia="宋体" w:hAnsi="Arial" w:cs="Arial"/>
                <w:color w:val="262626"/>
                <w:sz w:val="18"/>
                <w:szCs w:val="18"/>
              </w:rPr>
              <w:t>(17)</w:t>
            </w:r>
          </w:p>
        </w:tc>
        <w:tc>
          <w:tcPr>
            <w:tcW w:w="0" w:type="auto"/>
            <w:tcBorders>
              <w:top w:val="single" w:sz="8" w:space="0" w:color="0068B5"/>
            </w:tcBorders>
            <w:shd w:val="clear" w:color="auto" w:fill="auto"/>
            <w:tcMar>
              <w:top w:w="40" w:type="dxa"/>
              <w:left w:w="0" w:type="dxa"/>
              <w:bottom w:w="40" w:type="dxa"/>
              <w:right w:w="20" w:type="dxa"/>
            </w:tcMar>
            <w:vAlign w:val="bottom"/>
          </w:tcPr>
          <w:p w14:paraId="39D99BF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F7"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BF8"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BF9" w14:textId="77777777" w:rsidR="00996AD7" w:rsidRDefault="00D96458">
            <w:pPr>
              <w:jc w:val="right"/>
              <w:textAlignment w:val="bottom"/>
            </w:pPr>
            <w:r>
              <w:rPr>
                <w:rFonts w:ascii="Arial" w:eastAsia="宋体" w:hAnsi="Arial" w:cs="Arial"/>
                <w:color w:val="0068B5"/>
                <w:sz w:val="18"/>
                <w:szCs w:val="18"/>
              </w:rPr>
              <w:t>43 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BF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BFB"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BFC"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BFD" w14:textId="77777777" w:rsidR="00996AD7" w:rsidRDefault="00D96458">
            <w:pPr>
              <w:jc w:val="right"/>
              <w:textAlignment w:val="bottom"/>
            </w:pPr>
            <w:r>
              <w:rPr>
                <w:rFonts w:ascii="Arial" w:eastAsia="宋体" w:hAnsi="Arial" w:cs="Arial"/>
                <w:color w:val="262626"/>
                <w:sz w:val="18"/>
                <w:szCs w:val="18"/>
              </w:rPr>
              <w:t>90 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BFE" w14:textId="77777777" w:rsidR="00996AD7" w:rsidRDefault="00996AD7">
            <w:pPr>
              <w:jc w:val="right"/>
              <w:rPr>
                <w:rFonts w:ascii="宋体"/>
              </w:rPr>
            </w:pPr>
          </w:p>
        </w:tc>
        <w:tc>
          <w:tcPr>
            <w:tcW w:w="0" w:type="auto"/>
            <w:shd w:val="clear" w:color="auto" w:fill="auto"/>
            <w:vAlign w:val="bottom"/>
          </w:tcPr>
          <w:p w14:paraId="39D99BFF" w14:textId="77777777" w:rsidR="00996AD7" w:rsidRDefault="00996AD7">
            <w:pPr>
              <w:rPr>
                <w:rFonts w:ascii="宋体"/>
                <w:vanish/>
              </w:rPr>
            </w:pPr>
          </w:p>
        </w:tc>
      </w:tr>
      <w:tr w:rsidR="00996AD7" w14:paraId="39D99C0B" w14:textId="77777777">
        <w:trPr>
          <w:hidden/>
        </w:trPr>
        <w:tc>
          <w:tcPr>
            <w:tcW w:w="0" w:type="auto"/>
            <w:gridSpan w:val="3"/>
            <w:shd w:val="clear" w:color="auto" w:fill="auto"/>
            <w:vAlign w:val="bottom"/>
          </w:tcPr>
          <w:p w14:paraId="39D99C01" w14:textId="77777777" w:rsidR="00996AD7" w:rsidRDefault="00996AD7">
            <w:pPr>
              <w:rPr>
                <w:rFonts w:ascii="宋体"/>
                <w:vanish/>
              </w:rPr>
            </w:pPr>
          </w:p>
        </w:tc>
        <w:tc>
          <w:tcPr>
            <w:tcW w:w="0" w:type="auto"/>
            <w:gridSpan w:val="3"/>
            <w:shd w:val="clear" w:color="auto" w:fill="auto"/>
            <w:vAlign w:val="bottom"/>
          </w:tcPr>
          <w:p w14:paraId="39D99C02" w14:textId="77777777" w:rsidR="00996AD7" w:rsidRDefault="00996AD7">
            <w:pPr>
              <w:rPr>
                <w:rFonts w:ascii="宋体"/>
                <w:vanish/>
              </w:rPr>
            </w:pPr>
          </w:p>
        </w:tc>
        <w:tc>
          <w:tcPr>
            <w:tcW w:w="0" w:type="auto"/>
            <w:gridSpan w:val="3"/>
            <w:shd w:val="clear" w:color="auto" w:fill="auto"/>
            <w:vAlign w:val="bottom"/>
          </w:tcPr>
          <w:p w14:paraId="39D99C03" w14:textId="77777777" w:rsidR="00996AD7" w:rsidRDefault="00996AD7">
            <w:pPr>
              <w:rPr>
                <w:rFonts w:ascii="宋体"/>
                <w:vanish/>
              </w:rPr>
            </w:pPr>
          </w:p>
        </w:tc>
        <w:tc>
          <w:tcPr>
            <w:tcW w:w="0" w:type="auto"/>
            <w:gridSpan w:val="3"/>
            <w:shd w:val="clear" w:color="auto" w:fill="auto"/>
            <w:vAlign w:val="bottom"/>
          </w:tcPr>
          <w:p w14:paraId="39D99C04" w14:textId="77777777" w:rsidR="00996AD7" w:rsidRDefault="00996AD7">
            <w:pPr>
              <w:rPr>
                <w:rFonts w:ascii="宋体"/>
                <w:vanish/>
              </w:rPr>
            </w:pPr>
          </w:p>
        </w:tc>
        <w:tc>
          <w:tcPr>
            <w:tcW w:w="0" w:type="auto"/>
            <w:gridSpan w:val="3"/>
            <w:shd w:val="clear" w:color="auto" w:fill="auto"/>
            <w:vAlign w:val="bottom"/>
          </w:tcPr>
          <w:p w14:paraId="39D99C05" w14:textId="77777777" w:rsidR="00996AD7" w:rsidRDefault="00996AD7">
            <w:pPr>
              <w:rPr>
                <w:rFonts w:ascii="宋体"/>
                <w:vanish/>
              </w:rPr>
            </w:pPr>
          </w:p>
        </w:tc>
        <w:tc>
          <w:tcPr>
            <w:tcW w:w="0" w:type="auto"/>
            <w:gridSpan w:val="3"/>
            <w:shd w:val="clear" w:color="auto" w:fill="auto"/>
            <w:vAlign w:val="bottom"/>
          </w:tcPr>
          <w:p w14:paraId="39D99C06" w14:textId="77777777" w:rsidR="00996AD7" w:rsidRDefault="00996AD7">
            <w:pPr>
              <w:rPr>
                <w:rFonts w:ascii="宋体"/>
                <w:vanish/>
              </w:rPr>
            </w:pPr>
          </w:p>
        </w:tc>
        <w:tc>
          <w:tcPr>
            <w:tcW w:w="0" w:type="auto"/>
            <w:gridSpan w:val="3"/>
            <w:shd w:val="clear" w:color="auto" w:fill="auto"/>
            <w:vAlign w:val="bottom"/>
          </w:tcPr>
          <w:p w14:paraId="39D99C07" w14:textId="77777777" w:rsidR="00996AD7" w:rsidRDefault="00996AD7">
            <w:pPr>
              <w:rPr>
                <w:rFonts w:ascii="宋体"/>
                <w:vanish/>
              </w:rPr>
            </w:pPr>
          </w:p>
        </w:tc>
        <w:tc>
          <w:tcPr>
            <w:tcW w:w="0" w:type="auto"/>
            <w:gridSpan w:val="3"/>
            <w:shd w:val="clear" w:color="auto" w:fill="auto"/>
            <w:vAlign w:val="bottom"/>
          </w:tcPr>
          <w:p w14:paraId="39D99C08" w14:textId="77777777" w:rsidR="00996AD7" w:rsidRDefault="00996AD7">
            <w:pPr>
              <w:rPr>
                <w:rFonts w:ascii="宋体"/>
                <w:vanish/>
              </w:rPr>
            </w:pPr>
          </w:p>
        </w:tc>
        <w:tc>
          <w:tcPr>
            <w:tcW w:w="0" w:type="auto"/>
            <w:gridSpan w:val="3"/>
            <w:shd w:val="clear" w:color="auto" w:fill="auto"/>
            <w:vAlign w:val="bottom"/>
          </w:tcPr>
          <w:p w14:paraId="39D99C09" w14:textId="77777777" w:rsidR="00996AD7" w:rsidRDefault="00996AD7">
            <w:pPr>
              <w:rPr>
                <w:rFonts w:ascii="宋体"/>
                <w:vanish/>
              </w:rPr>
            </w:pPr>
          </w:p>
        </w:tc>
        <w:tc>
          <w:tcPr>
            <w:tcW w:w="0" w:type="auto"/>
            <w:shd w:val="clear" w:color="auto" w:fill="auto"/>
            <w:vAlign w:val="bottom"/>
          </w:tcPr>
          <w:p w14:paraId="39D99C0A" w14:textId="77777777" w:rsidR="00996AD7" w:rsidRDefault="00996AD7">
            <w:pPr>
              <w:rPr>
                <w:rFonts w:ascii="宋体"/>
                <w:vanish/>
              </w:rPr>
            </w:pPr>
          </w:p>
        </w:tc>
      </w:tr>
      <w:tr w:rsidR="00996AD7" w14:paraId="39D99C1A" w14:textId="77777777">
        <w:tc>
          <w:tcPr>
            <w:tcW w:w="0" w:type="auto"/>
            <w:gridSpan w:val="3"/>
            <w:shd w:val="clear" w:color="auto" w:fill="auto"/>
            <w:tcMar>
              <w:top w:w="40" w:type="dxa"/>
              <w:left w:w="20" w:type="dxa"/>
              <w:bottom w:w="40" w:type="dxa"/>
              <w:right w:w="20" w:type="dxa"/>
            </w:tcMar>
          </w:tcPr>
          <w:p w14:paraId="39D99C0C" w14:textId="77777777" w:rsidR="00996AD7" w:rsidRDefault="00D96458">
            <w:pPr>
              <w:textAlignment w:val="top"/>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39D99C0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0E" w14:textId="77777777" w:rsidR="00996AD7" w:rsidRDefault="00D96458">
            <w:pPr>
              <w:jc w:val="right"/>
              <w:textAlignment w:val="bottom"/>
            </w:pPr>
            <w:r>
              <w:rPr>
                <w:rFonts w:ascii="Arial" w:eastAsia="宋体" w:hAnsi="Arial" w:cs="Arial"/>
                <w:color w:val="0068B5"/>
                <w:sz w:val="18"/>
                <w:szCs w:val="18"/>
              </w:rPr>
              <w:t>16 </w:t>
            </w:r>
          </w:p>
        </w:tc>
        <w:tc>
          <w:tcPr>
            <w:tcW w:w="0" w:type="auto"/>
            <w:shd w:val="clear" w:color="auto" w:fill="auto"/>
            <w:tcMar>
              <w:top w:w="40" w:type="dxa"/>
              <w:left w:w="0" w:type="dxa"/>
              <w:bottom w:w="40" w:type="dxa"/>
              <w:right w:w="20" w:type="dxa"/>
            </w:tcMar>
            <w:vAlign w:val="bottom"/>
          </w:tcPr>
          <w:p w14:paraId="39D99C0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1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11" w14:textId="77777777" w:rsidR="00996AD7" w:rsidRDefault="00D96458">
            <w:pPr>
              <w:jc w:val="right"/>
              <w:textAlignment w:val="bottom"/>
            </w:pPr>
            <w:r>
              <w:rPr>
                <w:rFonts w:ascii="Arial" w:eastAsia="宋体" w:hAnsi="Arial" w:cs="Arial"/>
                <w:color w:val="262626"/>
                <w:sz w:val="18"/>
                <w:szCs w:val="18"/>
              </w:rPr>
              <w:t>(2)</w:t>
            </w:r>
          </w:p>
        </w:tc>
        <w:tc>
          <w:tcPr>
            <w:tcW w:w="0" w:type="auto"/>
            <w:shd w:val="clear" w:color="auto" w:fill="auto"/>
            <w:tcMar>
              <w:top w:w="40" w:type="dxa"/>
              <w:left w:w="0" w:type="dxa"/>
              <w:bottom w:w="40" w:type="dxa"/>
              <w:right w:w="20" w:type="dxa"/>
            </w:tcMar>
            <w:vAlign w:val="bottom"/>
          </w:tcPr>
          <w:p w14:paraId="39D99C1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1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14" w14:textId="77777777" w:rsidR="00996AD7" w:rsidRDefault="00D96458">
            <w:pPr>
              <w:jc w:val="right"/>
              <w:textAlignment w:val="bottom"/>
            </w:pPr>
            <w:r>
              <w:rPr>
                <w:rFonts w:ascii="Arial" w:eastAsia="宋体" w:hAnsi="Arial" w:cs="Arial"/>
                <w:color w:val="0068B5"/>
                <w:sz w:val="18"/>
                <w:szCs w:val="18"/>
              </w:rPr>
              <w:t>2,267 </w:t>
            </w:r>
          </w:p>
        </w:tc>
        <w:tc>
          <w:tcPr>
            <w:tcW w:w="0" w:type="auto"/>
            <w:shd w:val="clear" w:color="auto" w:fill="auto"/>
            <w:tcMar>
              <w:top w:w="40" w:type="dxa"/>
              <w:left w:w="0" w:type="dxa"/>
              <w:bottom w:w="40" w:type="dxa"/>
              <w:right w:w="20" w:type="dxa"/>
            </w:tcMar>
            <w:vAlign w:val="bottom"/>
          </w:tcPr>
          <w:p w14:paraId="39D99C1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1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17" w14:textId="77777777" w:rsidR="00996AD7" w:rsidRDefault="00D96458">
            <w:pPr>
              <w:jc w:val="right"/>
              <w:textAlignment w:val="bottom"/>
            </w:pPr>
            <w:r>
              <w:rPr>
                <w:rFonts w:ascii="Arial" w:eastAsia="宋体" w:hAnsi="Arial" w:cs="Arial"/>
                <w:color w:val="262626"/>
                <w:sz w:val="18"/>
                <w:szCs w:val="18"/>
              </w:rPr>
              <w:t>54 </w:t>
            </w:r>
          </w:p>
        </w:tc>
        <w:tc>
          <w:tcPr>
            <w:tcW w:w="0" w:type="auto"/>
            <w:shd w:val="clear" w:color="auto" w:fill="auto"/>
            <w:tcMar>
              <w:top w:w="40" w:type="dxa"/>
              <w:left w:w="0" w:type="dxa"/>
              <w:bottom w:w="40" w:type="dxa"/>
              <w:right w:w="20" w:type="dxa"/>
            </w:tcMar>
            <w:vAlign w:val="bottom"/>
          </w:tcPr>
          <w:p w14:paraId="39D99C18" w14:textId="77777777" w:rsidR="00996AD7" w:rsidRDefault="00996AD7">
            <w:pPr>
              <w:jc w:val="right"/>
              <w:rPr>
                <w:rFonts w:ascii="宋体"/>
              </w:rPr>
            </w:pPr>
          </w:p>
        </w:tc>
        <w:tc>
          <w:tcPr>
            <w:tcW w:w="0" w:type="auto"/>
            <w:shd w:val="clear" w:color="auto" w:fill="auto"/>
            <w:vAlign w:val="bottom"/>
          </w:tcPr>
          <w:p w14:paraId="39D99C19" w14:textId="77777777" w:rsidR="00996AD7" w:rsidRDefault="00996AD7">
            <w:pPr>
              <w:rPr>
                <w:rFonts w:ascii="宋体"/>
                <w:vanish/>
              </w:rPr>
            </w:pPr>
          </w:p>
        </w:tc>
      </w:tr>
      <w:tr w:rsidR="00996AD7" w14:paraId="39D99C29" w14:textId="77777777">
        <w:tc>
          <w:tcPr>
            <w:tcW w:w="0" w:type="auto"/>
            <w:gridSpan w:val="3"/>
            <w:shd w:val="clear" w:color="auto" w:fill="auto"/>
            <w:tcMar>
              <w:top w:w="40" w:type="dxa"/>
              <w:left w:w="20" w:type="dxa"/>
              <w:bottom w:w="40" w:type="dxa"/>
              <w:right w:w="20" w:type="dxa"/>
            </w:tcMar>
          </w:tcPr>
          <w:p w14:paraId="39D99C1B" w14:textId="77777777" w:rsidR="00996AD7" w:rsidRDefault="00D96458">
            <w:pPr>
              <w:textAlignment w:val="top"/>
            </w:pPr>
            <w:r>
              <w:rPr>
                <w:rFonts w:ascii="Arial" w:eastAsia="宋体" w:hAnsi="Arial" w:cs="Arial"/>
                <w:color w:val="262626"/>
                <w:sz w:val="18"/>
                <w:szCs w:val="18"/>
              </w:rPr>
              <w:t>Asset impairment charges</w:t>
            </w:r>
          </w:p>
        </w:tc>
        <w:tc>
          <w:tcPr>
            <w:tcW w:w="0" w:type="auto"/>
            <w:gridSpan w:val="3"/>
            <w:shd w:val="clear" w:color="auto" w:fill="auto"/>
            <w:tcMar>
              <w:top w:w="0" w:type="dxa"/>
              <w:left w:w="20" w:type="dxa"/>
              <w:bottom w:w="0" w:type="dxa"/>
              <w:right w:w="20" w:type="dxa"/>
            </w:tcMar>
            <w:vAlign w:val="bottom"/>
          </w:tcPr>
          <w:p w14:paraId="39D99C1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1D" w14:textId="77777777" w:rsidR="00996AD7" w:rsidRDefault="00D96458">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39D99C1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1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20" w14:textId="77777777" w:rsidR="00996AD7" w:rsidRDefault="00D96458">
            <w:pPr>
              <w:jc w:val="right"/>
              <w:textAlignment w:val="bottom"/>
            </w:pPr>
            <w:r>
              <w:rPr>
                <w:rFonts w:ascii="Arial" w:eastAsia="宋体" w:hAnsi="Arial" w:cs="Arial"/>
                <w:color w:val="262626"/>
                <w:sz w:val="18"/>
                <w:szCs w:val="18"/>
              </w:rPr>
              <w:t>(6)</w:t>
            </w:r>
          </w:p>
        </w:tc>
        <w:tc>
          <w:tcPr>
            <w:tcW w:w="0" w:type="auto"/>
            <w:shd w:val="clear" w:color="auto" w:fill="auto"/>
            <w:tcMar>
              <w:top w:w="40" w:type="dxa"/>
              <w:left w:w="0" w:type="dxa"/>
              <w:bottom w:w="40" w:type="dxa"/>
              <w:right w:w="20" w:type="dxa"/>
            </w:tcMar>
            <w:vAlign w:val="bottom"/>
          </w:tcPr>
          <w:p w14:paraId="39D99C2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2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23" w14:textId="77777777" w:rsidR="00996AD7" w:rsidRDefault="00D96458">
            <w:pPr>
              <w:jc w:val="right"/>
              <w:textAlignment w:val="bottom"/>
            </w:pPr>
            <w:r>
              <w:rPr>
                <w:rFonts w:ascii="Arial" w:eastAsia="宋体" w:hAnsi="Arial" w:cs="Arial"/>
                <w:color w:val="0068B5"/>
                <w:sz w:val="18"/>
                <w:szCs w:val="18"/>
              </w:rPr>
              <w:t>287 </w:t>
            </w:r>
          </w:p>
        </w:tc>
        <w:tc>
          <w:tcPr>
            <w:tcW w:w="0" w:type="auto"/>
            <w:shd w:val="clear" w:color="auto" w:fill="auto"/>
            <w:tcMar>
              <w:top w:w="40" w:type="dxa"/>
              <w:left w:w="0" w:type="dxa"/>
              <w:bottom w:w="40" w:type="dxa"/>
              <w:right w:w="20" w:type="dxa"/>
            </w:tcMar>
            <w:vAlign w:val="bottom"/>
          </w:tcPr>
          <w:p w14:paraId="39D99C2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25"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26" w14:textId="77777777" w:rsidR="00996AD7" w:rsidRDefault="00D96458">
            <w:pPr>
              <w:jc w:val="right"/>
              <w:textAlignment w:val="bottom"/>
            </w:pPr>
            <w:r>
              <w:rPr>
                <w:rFonts w:ascii="Arial" w:eastAsia="宋体" w:hAnsi="Arial" w:cs="Arial"/>
                <w:color w:val="262626"/>
                <w:sz w:val="18"/>
                <w:szCs w:val="18"/>
              </w:rPr>
              <w:t>2 </w:t>
            </w:r>
          </w:p>
        </w:tc>
        <w:tc>
          <w:tcPr>
            <w:tcW w:w="0" w:type="auto"/>
            <w:shd w:val="clear" w:color="auto" w:fill="auto"/>
            <w:tcMar>
              <w:top w:w="40" w:type="dxa"/>
              <w:left w:w="0" w:type="dxa"/>
              <w:bottom w:w="40" w:type="dxa"/>
              <w:right w:w="20" w:type="dxa"/>
            </w:tcMar>
            <w:vAlign w:val="bottom"/>
          </w:tcPr>
          <w:p w14:paraId="39D99C27" w14:textId="77777777" w:rsidR="00996AD7" w:rsidRDefault="00996AD7">
            <w:pPr>
              <w:jc w:val="right"/>
              <w:rPr>
                <w:rFonts w:ascii="宋体"/>
              </w:rPr>
            </w:pPr>
          </w:p>
        </w:tc>
        <w:tc>
          <w:tcPr>
            <w:tcW w:w="0" w:type="auto"/>
            <w:shd w:val="clear" w:color="auto" w:fill="auto"/>
            <w:vAlign w:val="bottom"/>
          </w:tcPr>
          <w:p w14:paraId="39D99C28" w14:textId="77777777" w:rsidR="00996AD7" w:rsidRDefault="00996AD7">
            <w:pPr>
              <w:rPr>
                <w:rFonts w:ascii="宋体"/>
                <w:vanish/>
              </w:rPr>
            </w:pPr>
          </w:p>
        </w:tc>
      </w:tr>
      <w:tr w:rsidR="00996AD7" w14:paraId="39D99C3C" w14:textId="77777777">
        <w:tc>
          <w:tcPr>
            <w:tcW w:w="0" w:type="auto"/>
            <w:gridSpan w:val="3"/>
            <w:shd w:val="clear" w:color="auto" w:fill="auto"/>
            <w:tcMar>
              <w:top w:w="40" w:type="dxa"/>
              <w:left w:w="20" w:type="dxa"/>
              <w:bottom w:w="40" w:type="dxa"/>
              <w:right w:w="20" w:type="dxa"/>
            </w:tcMar>
          </w:tcPr>
          <w:p w14:paraId="39D99C2A" w14:textId="77777777" w:rsidR="00996AD7" w:rsidRDefault="00D96458">
            <w:pPr>
              <w:textAlignment w:val="top"/>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39D99C2B"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9C2C"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9C2D" w14:textId="77777777" w:rsidR="00996AD7" w:rsidRDefault="00D96458">
            <w:pPr>
              <w:jc w:val="right"/>
              <w:textAlignment w:val="bottom"/>
            </w:pPr>
            <w:r>
              <w:rPr>
                <w:rFonts w:ascii="Arial" w:eastAsia="宋体" w:hAnsi="Arial" w:cs="Arial"/>
                <w:b/>
                <w:bCs/>
                <w:color w:val="0068B5"/>
                <w:sz w:val="18"/>
                <w:szCs w:val="18"/>
              </w:rPr>
              <w:t>42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9C2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2F"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9C30"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9C31" w14:textId="77777777" w:rsidR="00996AD7" w:rsidRDefault="00D96458">
            <w:pPr>
              <w:jc w:val="right"/>
              <w:textAlignment w:val="bottom"/>
            </w:pPr>
            <w:r>
              <w:rPr>
                <w:rFonts w:ascii="Arial" w:eastAsia="宋体" w:hAnsi="Arial" w:cs="Arial"/>
                <w:b/>
                <w:bCs/>
                <w:color w:val="262626"/>
                <w:sz w:val="18"/>
                <w:szCs w:val="18"/>
              </w:rPr>
              <w:t>(25)</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9C32"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33"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9C34"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9C35" w14:textId="77777777" w:rsidR="00996AD7" w:rsidRDefault="00D96458">
            <w:pPr>
              <w:jc w:val="right"/>
              <w:textAlignment w:val="bottom"/>
            </w:pPr>
            <w:r>
              <w:rPr>
                <w:rFonts w:ascii="Arial" w:eastAsia="宋体" w:hAnsi="Arial" w:cs="Arial"/>
                <w:b/>
                <w:bCs/>
                <w:color w:val="0068B5"/>
                <w:sz w:val="18"/>
                <w:szCs w:val="18"/>
              </w:rPr>
              <w:t>2,597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9C3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37"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9C38"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9C39" w14:textId="77777777" w:rsidR="00996AD7" w:rsidRDefault="00D96458">
            <w:pPr>
              <w:jc w:val="right"/>
              <w:textAlignment w:val="bottom"/>
            </w:pPr>
            <w:r>
              <w:rPr>
                <w:rFonts w:ascii="Arial" w:eastAsia="宋体" w:hAnsi="Arial" w:cs="Arial"/>
                <w:b/>
                <w:bCs/>
                <w:color w:val="262626"/>
                <w:sz w:val="18"/>
                <w:szCs w:val="18"/>
              </w:rPr>
              <w:t>146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9C3A" w14:textId="77777777" w:rsidR="00996AD7" w:rsidRDefault="00996AD7">
            <w:pPr>
              <w:jc w:val="right"/>
              <w:rPr>
                <w:rFonts w:ascii="宋体"/>
              </w:rPr>
            </w:pPr>
          </w:p>
        </w:tc>
        <w:tc>
          <w:tcPr>
            <w:tcW w:w="0" w:type="auto"/>
            <w:shd w:val="clear" w:color="auto" w:fill="auto"/>
            <w:vAlign w:val="bottom"/>
          </w:tcPr>
          <w:p w14:paraId="39D99C3B" w14:textId="77777777" w:rsidR="00996AD7" w:rsidRDefault="00996AD7">
            <w:pPr>
              <w:rPr>
                <w:rFonts w:ascii="宋体"/>
                <w:vanish/>
              </w:rPr>
            </w:pPr>
          </w:p>
        </w:tc>
      </w:tr>
    </w:tbl>
    <w:p w14:paraId="39D99C3D" w14:textId="77777777" w:rsidR="00996AD7" w:rsidRDefault="00D96458">
      <w:pPr>
        <w:spacing w:before="180" w:after="180"/>
      </w:pPr>
      <w:r>
        <w:rPr>
          <w:rFonts w:ascii="Arial" w:eastAsia="宋体" w:hAnsi="Arial" w:cs="Arial"/>
          <w:color w:val="262626"/>
          <w:sz w:val="18"/>
          <w:szCs w:val="18"/>
        </w:rPr>
        <w:t xml:space="preserve">Litigation charges and other includes a charge of $2.2 billion in Q1 2021 related to the </w:t>
      </w:r>
      <w:r>
        <w:rPr>
          <w:rFonts w:ascii="Arial" w:eastAsia="宋体" w:hAnsi="Arial" w:cs="Arial"/>
          <w:color w:val="262626"/>
          <w:sz w:val="18"/>
          <w:szCs w:val="18"/>
        </w:rPr>
        <w:t>VLSI litigation, and asset impairment charges includes impairments related to the shutdown of two of our non-strategic businesses in Q2 2021. Refer to "Note 6: Restructuring and Other Charges" and "Note 13: Contingencies" within Notes to Consolidated Conde</w:t>
      </w:r>
      <w:r>
        <w:rPr>
          <w:rFonts w:ascii="Arial" w:eastAsia="宋体" w:hAnsi="Arial" w:cs="Arial"/>
          <w:color w:val="262626"/>
          <w:sz w:val="18"/>
          <w:szCs w:val="18"/>
        </w:rPr>
        <w:t xml:space="preserve">nsed Financial Statements for further information. </w:t>
      </w:r>
    </w:p>
    <w:p w14:paraId="39D99C3E" w14:textId="77777777" w:rsidR="00996AD7" w:rsidRDefault="00D96458">
      <w:pPr>
        <w:spacing w:before="300" w:after="180"/>
      </w:pPr>
      <w:r>
        <w:rPr>
          <w:rFonts w:ascii="Arial" w:eastAsia="宋体" w:hAnsi="Arial" w:cs="Arial"/>
          <w:color w:val="0068B5"/>
          <w:sz w:val="28"/>
          <w:szCs w:val="28"/>
        </w:rPr>
        <w:t>Provision for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3883"/>
        <w:gridCol w:w="36"/>
        <w:gridCol w:w="36"/>
        <w:gridCol w:w="36"/>
        <w:gridCol w:w="36"/>
        <w:gridCol w:w="121"/>
        <w:gridCol w:w="685"/>
        <w:gridCol w:w="181"/>
        <w:gridCol w:w="36"/>
        <w:gridCol w:w="36"/>
        <w:gridCol w:w="36"/>
        <w:gridCol w:w="121"/>
        <w:gridCol w:w="685"/>
        <w:gridCol w:w="181"/>
        <w:gridCol w:w="36"/>
        <w:gridCol w:w="36"/>
        <w:gridCol w:w="36"/>
        <w:gridCol w:w="121"/>
        <w:gridCol w:w="685"/>
        <w:gridCol w:w="181"/>
        <w:gridCol w:w="36"/>
        <w:gridCol w:w="36"/>
        <w:gridCol w:w="36"/>
        <w:gridCol w:w="121"/>
        <w:gridCol w:w="685"/>
        <w:gridCol w:w="181"/>
      </w:tblGrid>
      <w:tr w:rsidR="00996AD7" w14:paraId="39D99C5A" w14:textId="77777777">
        <w:tc>
          <w:tcPr>
            <w:tcW w:w="50" w:type="pct"/>
            <w:shd w:val="clear" w:color="auto" w:fill="auto"/>
            <w:vAlign w:val="bottom"/>
          </w:tcPr>
          <w:p w14:paraId="39D99C3F" w14:textId="77777777" w:rsidR="00996AD7" w:rsidRDefault="00996AD7">
            <w:pPr>
              <w:rPr>
                <w:rFonts w:ascii="宋体"/>
              </w:rPr>
            </w:pPr>
          </w:p>
        </w:tc>
        <w:tc>
          <w:tcPr>
            <w:tcW w:w="2431" w:type="pct"/>
            <w:shd w:val="clear" w:color="auto" w:fill="auto"/>
            <w:vAlign w:val="bottom"/>
          </w:tcPr>
          <w:p w14:paraId="39D99C40" w14:textId="77777777" w:rsidR="00996AD7" w:rsidRDefault="00996AD7">
            <w:pPr>
              <w:rPr>
                <w:rFonts w:ascii="宋体"/>
              </w:rPr>
            </w:pPr>
          </w:p>
        </w:tc>
        <w:tc>
          <w:tcPr>
            <w:tcW w:w="5" w:type="pct"/>
            <w:shd w:val="clear" w:color="auto" w:fill="auto"/>
            <w:vAlign w:val="bottom"/>
          </w:tcPr>
          <w:p w14:paraId="39D99C41" w14:textId="77777777" w:rsidR="00996AD7" w:rsidRDefault="00996AD7">
            <w:pPr>
              <w:rPr>
                <w:rFonts w:ascii="宋体"/>
              </w:rPr>
            </w:pPr>
          </w:p>
        </w:tc>
        <w:tc>
          <w:tcPr>
            <w:tcW w:w="5" w:type="pct"/>
            <w:shd w:val="clear" w:color="auto" w:fill="auto"/>
            <w:vAlign w:val="bottom"/>
          </w:tcPr>
          <w:p w14:paraId="39D99C42" w14:textId="77777777" w:rsidR="00996AD7" w:rsidRDefault="00996AD7">
            <w:pPr>
              <w:rPr>
                <w:rFonts w:ascii="宋体"/>
              </w:rPr>
            </w:pPr>
          </w:p>
        </w:tc>
        <w:tc>
          <w:tcPr>
            <w:tcW w:w="24" w:type="pct"/>
            <w:shd w:val="clear" w:color="auto" w:fill="auto"/>
            <w:vAlign w:val="bottom"/>
          </w:tcPr>
          <w:p w14:paraId="39D99C43" w14:textId="77777777" w:rsidR="00996AD7" w:rsidRDefault="00996AD7">
            <w:pPr>
              <w:rPr>
                <w:rFonts w:ascii="宋体"/>
              </w:rPr>
            </w:pPr>
          </w:p>
        </w:tc>
        <w:tc>
          <w:tcPr>
            <w:tcW w:w="5" w:type="pct"/>
            <w:shd w:val="clear" w:color="auto" w:fill="auto"/>
            <w:vAlign w:val="bottom"/>
          </w:tcPr>
          <w:p w14:paraId="39D99C44" w14:textId="77777777" w:rsidR="00996AD7" w:rsidRDefault="00996AD7">
            <w:pPr>
              <w:rPr>
                <w:rFonts w:ascii="宋体"/>
              </w:rPr>
            </w:pPr>
          </w:p>
        </w:tc>
        <w:tc>
          <w:tcPr>
            <w:tcW w:w="50" w:type="pct"/>
            <w:shd w:val="clear" w:color="auto" w:fill="auto"/>
            <w:vAlign w:val="bottom"/>
          </w:tcPr>
          <w:p w14:paraId="39D99C45" w14:textId="77777777" w:rsidR="00996AD7" w:rsidRDefault="00996AD7">
            <w:pPr>
              <w:rPr>
                <w:rFonts w:ascii="宋体"/>
              </w:rPr>
            </w:pPr>
          </w:p>
        </w:tc>
        <w:tc>
          <w:tcPr>
            <w:tcW w:w="539" w:type="pct"/>
            <w:shd w:val="clear" w:color="auto" w:fill="auto"/>
            <w:vAlign w:val="bottom"/>
          </w:tcPr>
          <w:p w14:paraId="39D99C46" w14:textId="77777777" w:rsidR="00996AD7" w:rsidRDefault="00996AD7">
            <w:pPr>
              <w:rPr>
                <w:rFonts w:ascii="宋体"/>
              </w:rPr>
            </w:pPr>
          </w:p>
        </w:tc>
        <w:tc>
          <w:tcPr>
            <w:tcW w:w="5" w:type="pct"/>
            <w:shd w:val="clear" w:color="auto" w:fill="auto"/>
            <w:vAlign w:val="bottom"/>
          </w:tcPr>
          <w:p w14:paraId="39D99C47" w14:textId="77777777" w:rsidR="00996AD7" w:rsidRDefault="00996AD7">
            <w:pPr>
              <w:rPr>
                <w:rFonts w:ascii="宋体"/>
              </w:rPr>
            </w:pPr>
          </w:p>
        </w:tc>
        <w:tc>
          <w:tcPr>
            <w:tcW w:w="5" w:type="pct"/>
            <w:shd w:val="clear" w:color="auto" w:fill="auto"/>
            <w:vAlign w:val="bottom"/>
          </w:tcPr>
          <w:p w14:paraId="39D99C48" w14:textId="77777777" w:rsidR="00996AD7" w:rsidRDefault="00996AD7">
            <w:pPr>
              <w:rPr>
                <w:rFonts w:ascii="宋体"/>
              </w:rPr>
            </w:pPr>
          </w:p>
        </w:tc>
        <w:tc>
          <w:tcPr>
            <w:tcW w:w="24" w:type="pct"/>
            <w:shd w:val="clear" w:color="auto" w:fill="auto"/>
            <w:vAlign w:val="bottom"/>
          </w:tcPr>
          <w:p w14:paraId="39D99C49" w14:textId="77777777" w:rsidR="00996AD7" w:rsidRDefault="00996AD7">
            <w:pPr>
              <w:rPr>
                <w:rFonts w:ascii="宋体"/>
              </w:rPr>
            </w:pPr>
          </w:p>
        </w:tc>
        <w:tc>
          <w:tcPr>
            <w:tcW w:w="5" w:type="pct"/>
            <w:shd w:val="clear" w:color="auto" w:fill="auto"/>
            <w:vAlign w:val="bottom"/>
          </w:tcPr>
          <w:p w14:paraId="39D99C4A" w14:textId="77777777" w:rsidR="00996AD7" w:rsidRDefault="00996AD7">
            <w:pPr>
              <w:rPr>
                <w:rFonts w:ascii="宋体"/>
              </w:rPr>
            </w:pPr>
          </w:p>
        </w:tc>
        <w:tc>
          <w:tcPr>
            <w:tcW w:w="50" w:type="pct"/>
            <w:shd w:val="clear" w:color="auto" w:fill="auto"/>
            <w:vAlign w:val="bottom"/>
          </w:tcPr>
          <w:p w14:paraId="39D99C4B" w14:textId="77777777" w:rsidR="00996AD7" w:rsidRDefault="00996AD7">
            <w:pPr>
              <w:rPr>
                <w:rFonts w:ascii="宋体"/>
              </w:rPr>
            </w:pPr>
          </w:p>
        </w:tc>
        <w:tc>
          <w:tcPr>
            <w:tcW w:w="539" w:type="pct"/>
            <w:shd w:val="clear" w:color="auto" w:fill="auto"/>
            <w:vAlign w:val="bottom"/>
          </w:tcPr>
          <w:p w14:paraId="39D99C4C" w14:textId="77777777" w:rsidR="00996AD7" w:rsidRDefault="00996AD7">
            <w:pPr>
              <w:rPr>
                <w:rFonts w:ascii="宋体"/>
              </w:rPr>
            </w:pPr>
          </w:p>
        </w:tc>
        <w:tc>
          <w:tcPr>
            <w:tcW w:w="5" w:type="pct"/>
            <w:shd w:val="clear" w:color="auto" w:fill="auto"/>
            <w:vAlign w:val="bottom"/>
          </w:tcPr>
          <w:p w14:paraId="39D99C4D" w14:textId="77777777" w:rsidR="00996AD7" w:rsidRDefault="00996AD7">
            <w:pPr>
              <w:rPr>
                <w:rFonts w:ascii="宋体"/>
              </w:rPr>
            </w:pPr>
          </w:p>
        </w:tc>
        <w:tc>
          <w:tcPr>
            <w:tcW w:w="5" w:type="pct"/>
            <w:shd w:val="clear" w:color="auto" w:fill="auto"/>
            <w:vAlign w:val="bottom"/>
          </w:tcPr>
          <w:p w14:paraId="39D99C4E" w14:textId="77777777" w:rsidR="00996AD7" w:rsidRDefault="00996AD7">
            <w:pPr>
              <w:rPr>
                <w:rFonts w:ascii="宋体"/>
              </w:rPr>
            </w:pPr>
          </w:p>
        </w:tc>
        <w:tc>
          <w:tcPr>
            <w:tcW w:w="24" w:type="pct"/>
            <w:shd w:val="clear" w:color="auto" w:fill="auto"/>
            <w:vAlign w:val="bottom"/>
          </w:tcPr>
          <w:p w14:paraId="39D99C4F" w14:textId="77777777" w:rsidR="00996AD7" w:rsidRDefault="00996AD7">
            <w:pPr>
              <w:rPr>
                <w:rFonts w:ascii="宋体"/>
              </w:rPr>
            </w:pPr>
          </w:p>
        </w:tc>
        <w:tc>
          <w:tcPr>
            <w:tcW w:w="5" w:type="pct"/>
            <w:shd w:val="clear" w:color="auto" w:fill="auto"/>
            <w:vAlign w:val="bottom"/>
          </w:tcPr>
          <w:p w14:paraId="39D99C50" w14:textId="77777777" w:rsidR="00996AD7" w:rsidRDefault="00996AD7">
            <w:pPr>
              <w:rPr>
                <w:rFonts w:ascii="宋体"/>
              </w:rPr>
            </w:pPr>
          </w:p>
        </w:tc>
        <w:tc>
          <w:tcPr>
            <w:tcW w:w="50" w:type="pct"/>
            <w:shd w:val="clear" w:color="auto" w:fill="auto"/>
            <w:vAlign w:val="bottom"/>
          </w:tcPr>
          <w:p w14:paraId="39D99C51" w14:textId="77777777" w:rsidR="00996AD7" w:rsidRDefault="00996AD7">
            <w:pPr>
              <w:rPr>
                <w:rFonts w:ascii="宋体"/>
              </w:rPr>
            </w:pPr>
          </w:p>
        </w:tc>
        <w:tc>
          <w:tcPr>
            <w:tcW w:w="539" w:type="pct"/>
            <w:shd w:val="clear" w:color="auto" w:fill="auto"/>
            <w:vAlign w:val="bottom"/>
          </w:tcPr>
          <w:p w14:paraId="39D99C52" w14:textId="77777777" w:rsidR="00996AD7" w:rsidRDefault="00996AD7">
            <w:pPr>
              <w:rPr>
                <w:rFonts w:ascii="宋体"/>
              </w:rPr>
            </w:pPr>
          </w:p>
        </w:tc>
        <w:tc>
          <w:tcPr>
            <w:tcW w:w="5" w:type="pct"/>
            <w:shd w:val="clear" w:color="auto" w:fill="auto"/>
            <w:vAlign w:val="bottom"/>
          </w:tcPr>
          <w:p w14:paraId="39D99C53" w14:textId="77777777" w:rsidR="00996AD7" w:rsidRDefault="00996AD7">
            <w:pPr>
              <w:rPr>
                <w:rFonts w:ascii="宋体"/>
              </w:rPr>
            </w:pPr>
          </w:p>
        </w:tc>
        <w:tc>
          <w:tcPr>
            <w:tcW w:w="5" w:type="pct"/>
            <w:shd w:val="clear" w:color="auto" w:fill="auto"/>
            <w:vAlign w:val="bottom"/>
          </w:tcPr>
          <w:p w14:paraId="39D99C54" w14:textId="77777777" w:rsidR="00996AD7" w:rsidRDefault="00996AD7">
            <w:pPr>
              <w:rPr>
                <w:rFonts w:ascii="宋体"/>
              </w:rPr>
            </w:pPr>
          </w:p>
        </w:tc>
        <w:tc>
          <w:tcPr>
            <w:tcW w:w="24" w:type="pct"/>
            <w:shd w:val="clear" w:color="auto" w:fill="auto"/>
            <w:vAlign w:val="bottom"/>
          </w:tcPr>
          <w:p w14:paraId="39D99C55" w14:textId="77777777" w:rsidR="00996AD7" w:rsidRDefault="00996AD7">
            <w:pPr>
              <w:rPr>
                <w:rFonts w:ascii="宋体"/>
              </w:rPr>
            </w:pPr>
          </w:p>
        </w:tc>
        <w:tc>
          <w:tcPr>
            <w:tcW w:w="5" w:type="pct"/>
            <w:shd w:val="clear" w:color="auto" w:fill="auto"/>
            <w:vAlign w:val="bottom"/>
          </w:tcPr>
          <w:p w14:paraId="39D99C56" w14:textId="77777777" w:rsidR="00996AD7" w:rsidRDefault="00996AD7">
            <w:pPr>
              <w:rPr>
                <w:rFonts w:ascii="宋体"/>
              </w:rPr>
            </w:pPr>
          </w:p>
        </w:tc>
        <w:tc>
          <w:tcPr>
            <w:tcW w:w="50" w:type="pct"/>
            <w:shd w:val="clear" w:color="auto" w:fill="auto"/>
            <w:vAlign w:val="bottom"/>
          </w:tcPr>
          <w:p w14:paraId="39D99C57" w14:textId="77777777" w:rsidR="00996AD7" w:rsidRDefault="00996AD7">
            <w:pPr>
              <w:rPr>
                <w:rFonts w:ascii="宋体"/>
              </w:rPr>
            </w:pPr>
          </w:p>
        </w:tc>
        <w:tc>
          <w:tcPr>
            <w:tcW w:w="539" w:type="pct"/>
            <w:shd w:val="clear" w:color="auto" w:fill="auto"/>
            <w:vAlign w:val="bottom"/>
          </w:tcPr>
          <w:p w14:paraId="39D99C58" w14:textId="77777777" w:rsidR="00996AD7" w:rsidRDefault="00996AD7">
            <w:pPr>
              <w:rPr>
                <w:rFonts w:ascii="宋体"/>
              </w:rPr>
            </w:pPr>
          </w:p>
        </w:tc>
        <w:tc>
          <w:tcPr>
            <w:tcW w:w="5" w:type="pct"/>
            <w:shd w:val="clear" w:color="auto" w:fill="auto"/>
            <w:vAlign w:val="bottom"/>
          </w:tcPr>
          <w:p w14:paraId="39D99C59" w14:textId="77777777" w:rsidR="00996AD7" w:rsidRDefault="00996AD7">
            <w:pPr>
              <w:rPr>
                <w:rFonts w:ascii="宋体"/>
              </w:rPr>
            </w:pPr>
          </w:p>
        </w:tc>
      </w:tr>
      <w:tr w:rsidR="00996AD7" w14:paraId="39D99C64" w14:textId="77777777">
        <w:tc>
          <w:tcPr>
            <w:tcW w:w="0" w:type="auto"/>
            <w:gridSpan w:val="3"/>
            <w:shd w:val="clear" w:color="auto" w:fill="auto"/>
            <w:tcMar>
              <w:top w:w="40" w:type="dxa"/>
              <w:left w:w="20" w:type="dxa"/>
              <w:bottom w:w="40" w:type="dxa"/>
              <w:right w:w="20" w:type="dxa"/>
            </w:tcMar>
            <w:vAlign w:val="bottom"/>
          </w:tcPr>
          <w:p w14:paraId="39D99C5B"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9C5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C5D" w14:textId="77777777" w:rsidR="00996AD7" w:rsidRDefault="00D96458">
            <w:pPr>
              <w:jc w:val="center"/>
              <w:textAlignment w:val="bottom"/>
            </w:pPr>
            <w:r>
              <w:rPr>
                <w:rFonts w:ascii="Arial" w:eastAsia="宋体" w:hAnsi="Arial" w:cs="Arial"/>
                <w:b/>
                <w:bCs/>
                <w:color w:val="262626"/>
                <w:sz w:val="18"/>
                <w:szCs w:val="18"/>
              </w:rPr>
              <w:t>Q3 2021</w:t>
            </w:r>
          </w:p>
        </w:tc>
        <w:tc>
          <w:tcPr>
            <w:tcW w:w="0" w:type="auto"/>
            <w:gridSpan w:val="3"/>
            <w:shd w:val="clear" w:color="auto" w:fill="auto"/>
            <w:tcMar>
              <w:top w:w="0" w:type="dxa"/>
              <w:left w:w="20" w:type="dxa"/>
              <w:bottom w:w="0" w:type="dxa"/>
              <w:right w:w="20" w:type="dxa"/>
            </w:tcMar>
            <w:vAlign w:val="bottom"/>
          </w:tcPr>
          <w:p w14:paraId="39D99C5E"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C5F" w14:textId="77777777" w:rsidR="00996AD7" w:rsidRDefault="00D96458">
            <w:pPr>
              <w:jc w:val="center"/>
              <w:textAlignment w:val="bottom"/>
            </w:pPr>
            <w:r>
              <w:rPr>
                <w:rFonts w:ascii="Arial" w:eastAsia="宋体" w:hAnsi="Arial" w:cs="Arial"/>
                <w:b/>
                <w:bCs/>
                <w:color w:val="262626"/>
                <w:sz w:val="18"/>
                <w:szCs w:val="18"/>
              </w:rPr>
              <w:t>Q3 2020</w:t>
            </w:r>
          </w:p>
        </w:tc>
        <w:tc>
          <w:tcPr>
            <w:tcW w:w="0" w:type="auto"/>
            <w:gridSpan w:val="3"/>
            <w:shd w:val="clear" w:color="auto" w:fill="auto"/>
            <w:tcMar>
              <w:top w:w="0" w:type="dxa"/>
              <w:left w:w="20" w:type="dxa"/>
              <w:bottom w:w="0" w:type="dxa"/>
              <w:right w:w="20" w:type="dxa"/>
            </w:tcMar>
            <w:vAlign w:val="bottom"/>
          </w:tcPr>
          <w:p w14:paraId="39D99C60"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C61" w14:textId="77777777" w:rsidR="00996AD7" w:rsidRDefault="00D96458">
            <w:pPr>
              <w:jc w:val="center"/>
              <w:textAlignment w:val="bottom"/>
            </w:pPr>
            <w:r>
              <w:rPr>
                <w:rFonts w:ascii="Arial" w:eastAsia="宋体" w:hAnsi="Arial" w:cs="Arial"/>
                <w:b/>
                <w:bCs/>
                <w:color w:val="262626"/>
                <w:sz w:val="18"/>
                <w:szCs w:val="18"/>
              </w:rPr>
              <w:t>YTD 2021</w:t>
            </w:r>
          </w:p>
        </w:tc>
        <w:tc>
          <w:tcPr>
            <w:tcW w:w="0" w:type="auto"/>
            <w:gridSpan w:val="3"/>
            <w:shd w:val="clear" w:color="auto" w:fill="auto"/>
            <w:tcMar>
              <w:top w:w="0" w:type="dxa"/>
              <w:left w:w="20" w:type="dxa"/>
              <w:bottom w:w="0" w:type="dxa"/>
              <w:right w:w="20" w:type="dxa"/>
            </w:tcMar>
            <w:vAlign w:val="bottom"/>
          </w:tcPr>
          <w:p w14:paraId="39D99C6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C63" w14:textId="77777777" w:rsidR="00996AD7" w:rsidRDefault="00D96458">
            <w:pPr>
              <w:jc w:val="center"/>
              <w:textAlignment w:val="bottom"/>
            </w:pPr>
            <w:r>
              <w:rPr>
                <w:rFonts w:ascii="Arial" w:eastAsia="宋体" w:hAnsi="Arial" w:cs="Arial"/>
                <w:b/>
                <w:bCs/>
                <w:color w:val="262626"/>
                <w:sz w:val="18"/>
                <w:szCs w:val="18"/>
              </w:rPr>
              <w:t>YTD 2020</w:t>
            </w:r>
          </w:p>
        </w:tc>
      </w:tr>
      <w:tr w:rsidR="00996AD7" w14:paraId="39D99C76"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9C65" w14:textId="77777777" w:rsidR="00996AD7" w:rsidRDefault="00D96458">
            <w:pPr>
              <w:ind w:hanging="180"/>
              <w:textAlignment w:val="top"/>
            </w:pPr>
            <w:r>
              <w:rPr>
                <w:rFonts w:ascii="Arial" w:eastAsia="宋体" w:hAnsi="Arial" w:cs="Arial"/>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39D99C66"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C67" w14:textId="77777777" w:rsidR="00996AD7" w:rsidRDefault="00D96458">
            <w:pPr>
              <w:textAlignment w:val="bottom"/>
            </w:pPr>
            <w:r>
              <w:rPr>
                <w:rFonts w:ascii="Arial" w:eastAsia="宋体" w:hAnsi="Arial" w:cs="Arial"/>
                <w:color w:val="0071C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C68" w14:textId="77777777" w:rsidR="00996AD7" w:rsidRDefault="00D96458">
            <w:pPr>
              <w:jc w:val="right"/>
              <w:textAlignment w:val="bottom"/>
            </w:pPr>
            <w:r>
              <w:rPr>
                <w:rFonts w:ascii="Arial" w:eastAsia="宋体" w:hAnsi="Arial" w:cs="Arial"/>
                <w:color w:val="0071C5"/>
                <w:sz w:val="18"/>
                <w:szCs w:val="18"/>
              </w:rPr>
              <w:t>6,858 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C6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6A"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C6B"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C6C" w14:textId="77777777" w:rsidR="00996AD7" w:rsidRDefault="00D96458">
            <w:pPr>
              <w:jc w:val="right"/>
              <w:textAlignment w:val="bottom"/>
            </w:pPr>
            <w:r>
              <w:rPr>
                <w:rFonts w:ascii="Arial" w:eastAsia="宋体" w:hAnsi="Arial" w:cs="Arial"/>
                <w:color w:val="262626"/>
                <w:sz w:val="18"/>
                <w:szCs w:val="18"/>
              </w:rPr>
              <w:t>5,041 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C6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6E"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C6F" w14:textId="77777777" w:rsidR="00996AD7" w:rsidRDefault="00D96458">
            <w:pPr>
              <w:textAlignment w:val="bottom"/>
            </w:pPr>
            <w:r>
              <w:rPr>
                <w:rFonts w:ascii="Arial" w:eastAsia="宋体" w:hAnsi="Arial" w:cs="Arial"/>
                <w:color w:val="0071C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C70" w14:textId="77777777" w:rsidR="00996AD7" w:rsidRDefault="00D96458">
            <w:pPr>
              <w:jc w:val="right"/>
              <w:textAlignment w:val="bottom"/>
            </w:pPr>
            <w:r>
              <w:rPr>
                <w:rFonts w:ascii="Arial" w:eastAsia="宋体" w:hAnsi="Arial" w:cs="Arial"/>
                <w:color w:val="0071C5"/>
                <w:sz w:val="18"/>
                <w:szCs w:val="18"/>
              </w:rPr>
              <w:t>16,509 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C7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72"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C73"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C74" w14:textId="77777777" w:rsidR="00996AD7" w:rsidRDefault="00D96458">
            <w:pPr>
              <w:jc w:val="right"/>
              <w:textAlignment w:val="bottom"/>
            </w:pPr>
            <w:r>
              <w:rPr>
                <w:rFonts w:ascii="Arial" w:eastAsia="宋体" w:hAnsi="Arial" w:cs="Arial"/>
                <w:color w:val="262626"/>
                <w:sz w:val="18"/>
                <w:szCs w:val="18"/>
              </w:rPr>
              <w:t>17,590 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C75" w14:textId="77777777" w:rsidR="00996AD7" w:rsidRDefault="00996AD7">
            <w:pPr>
              <w:jc w:val="right"/>
              <w:rPr>
                <w:rFonts w:ascii="宋体"/>
              </w:rPr>
            </w:pPr>
          </w:p>
        </w:tc>
      </w:tr>
      <w:tr w:rsidR="00996AD7" w14:paraId="39D99C88" w14:textId="77777777">
        <w:tc>
          <w:tcPr>
            <w:tcW w:w="0" w:type="auto"/>
            <w:gridSpan w:val="3"/>
            <w:shd w:val="clear" w:color="auto" w:fill="auto"/>
            <w:tcMar>
              <w:top w:w="40" w:type="dxa"/>
              <w:left w:w="20" w:type="dxa"/>
              <w:bottom w:w="40" w:type="dxa"/>
              <w:right w:w="20" w:type="dxa"/>
            </w:tcMar>
          </w:tcPr>
          <w:p w14:paraId="39D99C77" w14:textId="77777777" w:rsidR="00996AD7" w:rsidRDefault="00D96458">
            <w:pPr>
              <w:ind w:hanging="180"/>
              <w:textAlignment w:val="top"/>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vAlign w:val="bottom"/>
          </w:tcPr>
          <w:p w14:paraId="39D99C78"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9C79" w14:textId="77777777" w:rsidR="00996AD7" w:rsidRDefault="00D96458">
            <w:pPr>
              <w:textAlignment w:val="bottom"/>
            </w:pPr>
            <w:r>
              <w:rPr>
                <w:rFonts w:ascii="Arial" w:eastAsia="宋体" w:hAnsi="Arial" w:cs="Arial"/>
                <w:color w:val="0071C5"/>
                <w:sz w:val="18"/>
                <w:szCs w:val="18"/>
              </w:rPr>
              <w:t>$</w:t>
            </w:r>
          </w:p>
        </w:tc>
        <w:tc>
          <w:tcPr>
            <w:tcW w:w="0" w:type="auto"/>
            <w:shd w:val="clear" w:color="auto" w:fill="auto"/>
            <w:tcMar>
              <w:top w:w="40" w:type="dxa"/>
              <w:left w:w="0" w:type="dxa"/>
              <w:bottom w:w="40" w:type="dxa"/>
              <w:right w:w="0" w:type="dxa"/>
            </w:tcMar>
            <w:vAlign w:val="bottom"/>
          </w:tcPr>
          <w:p w14:paraId="39D99C7A" w14:textId="77777777" w:rsidR="00996AD7" w:rsidRDefault="00D96458">
            <w:pPr>
              <w:jc w:val="right"/>
              <w:textAlignment w:val="bottom"/>
            </w:pPr>
            <w:r>
              <w:rPr>
                <w:rFonts w:ascii="Arial" w:eastAsia="宋体" w:hAnsi="Arial" w:cs="Arial"/>
                <w:color w:val="0071C5"/>
                <w:sz w:val="18"/>
                <w:szCs w:val="18"/>
              </w:rPr>
              <w:t>35 </w:t>
            </w:r>
          </w:p>
        </w:tc>
        <w:tc>
          <w:tcPr>
            <w:tcW w:w="0" w:type="auto"/>
            <w:shd w:val="clear" w:color="auto" w:fill="auto"/>
            <w:tcMar>
              <w:top w:w="40" w:type="dxa"/>
              <w:left w:w="0" w:type="dxa"/>
              <w:bottom w:w="40" w:type="dxa"/>
              <w:right w:w="20" w:type="dxa"/>
            </w:tcMar>
            <w:vAlign w:val="bottom"/>
          </w:tcPr>
          <w:p w14:paraId="39D99C7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7C"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9C7D"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9C7E" w14:textId="77777777" w:rsidR="00996AD7" w:rsidRDefault="00D96458">
            <w:pPr>
              <w:jc w:val="right"/>
              <w:textAlignment w:val="bottom"/>
            </w:pPr>
            <w:r>
              <w:rPr>
                <w:rFonts w:ascii="Arial" w:eastAsia="宋体" w:hAnsi="Arial" w:cs="Arial"/>
                <w:color w:val="262626"/>
                <w:sz w:val="18"/>
                <w:szCs w:val="18"/>
              </w:rPr>
              <w:t>765 </w:t>
            </w:r>
          </w:p>
        </w:tc>
        <w:tc>
          <w:tcPr>
            <w:tcW w:w="0" w:type="auto"/>
            <w:shd w:val="clear" w:color="auto" w:fill="auto"/>
            <w:tcMar>
              <w:top w:w="40" w:type="dxa"/>
              <w:left w:w="0" w:type="dxa"/>
              <w:bottom w:w="40" w:type="dxa"/>
              <w:right w:w="20" w:type="dxa"/>
            </w:tcMar>
            <w:vAlign w:val="bottom"/>
          </w:tcPr>
          <w:p w14:paraId="39D99C7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80"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9C81" w14:textId="77777777" w:rsidR="00996AD7" w:rsidRDefault="00D96458">
            <w:pPr>
              <w:textAlignment w:val="bottom"/>
            </w:pPr>
            <w:r>
              <w:rPr>
                <w:rFonts w:ascii="Arial" w:eastAsia="宋体" w:hAnsi="Arial" w:cs="Arial"/>
                <w:color w:val="0071C5"/>
                <w:sz w:val="18"/>
                <w:szCs w:val="18"/>
              </w:rPr>
              <w:t>$</w:t>
            </w:r>
          </w:p>
        </w:tc>
        <w:tc>
          <w:tcPr>
            <w:tcW w:w="0" w:type="auto"/>
            <w:shd w:val="clear" w:color="auto" w:fill="auto"/>
            <w:tcMar>
              <w:top w:w="40" w:type="dxa"/>
              <w:left w:w="0" w:type="dxa"/>
              <w:bottom w:w="40" w:type="dxa"/>
              <w:right w:w="0" w:type="dxa"/>
            </w:tcMar>
            <w:vAlign w:val="bottom"/>
          </w:tcPr>
          <w:p w14:paraId="39D99C82" w14:textId="77777777" w:rsidR="00996AD7" w:rsidRDefault="00D96458">
            <w:pPr>
              <w:jc w:val="right"/>
              <w:textAlignment w:val="bottom"/>
            </w:pPr>
            <w:r>
              <w:rPr>
                <w:rFonts w:ascii="Arial" w:eastAsia="宋体" w:hAnsi="Arial" w:cs="Arial"/>
                <w:color w:val="0071C5"/>
                <w:sz w:val="18"/>
                <w:szCs w:val="18"/>
              </w:rPr>
              <w:t>1,264 </w:t>
            </w:r>
          </w:p>
        </w:tc>
        <w:tc>
          <w:tcPr>
            <w:tcW w:w="0" w:type="auto"/>
            <w:shd w:val="clear" w:color="auto" w:fill="auto"/>
            <w:tcMar>
              <w:top w:w="40" w:type="dxa"/>
              <w:left w:w="0" w:type="dxa"/>
              <w:bottom w:w="40" w:type="dxa"/>
              <w:right w:w="20" w:type="dxa"/>
            </w:tcMar>
            <w:vAlign w:val="bottom"/>
          </w:tcPr>
          <w:p w14:paraId="39D99C83"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84"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9C85" w14:textId="77777777" w:rsidR="00996AD7" w:rsidRDefault="00D964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39D99C86" w14:textId="77777777" w:rsidR="00996AD7" w:rsidRDefault="00D96458">
            <w:pPr>
              <w:jc w:val="right"/>
              <w:textAlignment w:val="bottom"/>
            </w:pPr>
            <w:r>
              <w:rPr>
                <w:rFonts w:ascii="Arial" w:eastAsia="宋体" w:hAnsi="Arial" w:cs="Arial"/>
                <w:color w:val="262626"/>
                <w:sz w:val="18"/>
                <w:szCs w:val="18"/>
              </w:rPr>
              <w:t>2,548 </w:t>
            </w:r>
          </w:p>
        </w:tc>
        <w:tc>
          <w:tcPr>
            <w:tcW w:w="0" w:type="auto"/>
            <w:shd w:val="clear" w:color="auto" w:fill="auto"/>
            <w:tcMar>
              <w:top w:w="40" w:type="dxa"/>
              <w:left w:w="0" w:type="dxa"/>
              <w:bottom w:w="40" w:type="dxa"/>
              <w:right w:w="20" w:type="dxa"/>
            </w:tcMar>
            <w:vAlign w:val="bottom"/>
          </w:tcPr>
          <w:p w14:paraId="39D99C87" w14:textId="77777777" w:rsidR="00996AD7" w:rsidRDefault="00996AD7">
            <w:pPr>
              <w:jc w:val="right"/>
              <w:rPr>
                <w:rFonts w:ascii="宋体"/>
              </w:rPr>
            </w:pPr>
          </w:p>
        </w:tc>
      </w:tr>
      <w:tr w:rsidR="00996AD7" w14:paraId="39D99C96" w14:textId="77777777">
        <w:tc>
          <w:tcPr>
            <w:tcW w:w="0" w:type="auto"/>
            <w:gridSpan w:val="3"/>
            <w:shd w:val="clear" w:color="auto" w:fill="auto"/>
            <w:tcMar>
              <w:top w:w="40" w:type="dxa"/>
              <w:left w:w="20" w:type="dxa"/>
              <w:bottom w:w="40" w:type="dxa"/>
              <w:right w:w="20" w:type="dxa"/>
            </w:tcMar>
          </w:tcPr>
          <w:p w14:paraId="39D99C89" w14:textId="77777777" w:rsidR="00996AD7" w:rsidRDefault="00D96458">
            <w:pPr>
              <w:ind w:hanging="180"/>
              <w:textAlignment w:val="top"/>
            </w:pPr>
            <w:r>
              <w:rPr>
                <w:rFonts w:ascii="Arial" w:eastAsia="宋体" w:hAnsi="Arial" w:cs="Arial"/>
                <w:color w:val="262626"/>
                <w:sz w:val="18"/>
                <w:szCs w:val="18"/>
              </w:rPr>
              <w:t>Effective tax rate</w:t>
            </w:r>
          </w:p>
        </w:tc>
        <w:tc>
          <w:tcPr>
            <w:tcW w:w="0" w:type="auto"/>
            <w:gridSpan w:val="3"/>
            <w:shd w:val="clear" w:color="auto" w:fill="auto"/>
            <w:tcMar>
              <w:top w:w="0" w:type="dxa"/>
              <w:left w:w="20" w:type="dxa"/>
              <w:bottom w:w="0" w:type="dxa"/>
              <w:right w:w="20" w:type="dxa"/>
            </w:tcMar>
            <w:vAlign w:val="bottom"/>
          </w:tcPr>
          <w:p w14:paraId="39D99C8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8B" w14:textId="77777777" w:rsidR="00996AD7" w:rsidRDefault="00D96458">
            <w:pPr>
              <w:jc w:val="right"/>
              <w:textAlignment w:val="bottom"/>
            </w:pPr>
            <w:r>
              <w:rPr>
                <w:rFonts w:ascii="Arial" w:eastAsia="宋体" w:hAnsi="Arial" w:cs="Arial"/>
                <w:color w:val="0071C5"/>
                <w:sz w:val="18"/>
                <w:szCs w:val="18"/>
              </w:rPr>
              <w:t>0.5 </w:t>
            </w:r>
          </w:p>
        </w:tc>
        <w:tc>
          <w:tcPr>
            <w:tcW w:w="0" w:type="auto"/>
            <w:shd w:val="clear" w:color="auto" w:fill="auto"/>
            <w:tcMar>
              <w:top w:w="40" w:type="dxa"/>
              <w:left w:w="0" w:type="dxa"/>
              <w:bottom w:w="40" w:type="dxa"/>
              <w:right w:w="20" w:type="dxa"/>
            </w:tcMar>
            <w:vAlign w:val="bottom"/>
          </w:tcPr>
          <w:p w14:paraId="39D99C8C" w14:textId="77777777" w:rsidR="00996AD7" w:rsidRDefault="00D9645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39D99C8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8E" w14:textId="77777777" w:rsidR="00996AD7" w:rsidRDefault="00D96458">
            <w:pPr>
              <w:jc w:val="right"/>
              <w:textAlignment w:val="bottom"/>
            </w:pPr>
            <w:r>
              <w:rPr>
                <w:rFonts w:ascii="Arial" w:eastAsia="宋体" w:hAnsi="Arial" w:cs="Arial"/>
                <w:color w:val="262626"/>
                <w:sz w:val="18"/>
                <w:szCs w:val="18"/>
              </w:rPr>
              <w:t>15.2 </w:t>
            </w:r>
          </w:p>
        </w:tc>
        <w:tc>
          <w:tcPr>
            <w:tcW w:w="0" w:type="auto"/>
            <w:shd w:val="clear" w:color="auto" w:fill="auto"/>
            <w:tcMar>
              <w:top w:w="40" w:type="dxa"/>
              <w:left w:w="0" w:type="dxa"/>
              <w:bottom w:w="40" w:type="dxa"/>
              <w:right w:w="20" w:type="dxa"/>
            </w:tcMar>
            <w:vAlign w:val="bottom"/>
          </w:tcPr>
          <w:p w14:paraId="39D99C8F" w14:textId="77777777" w:rsidR="00996AD7" w:rsidRDefault="00D9645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39D99C90"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91" w14:textId="77777777" w:rsidR="00996AD7" w:rsidRDefault="00D96458">
            <w:pPr>
              <w:jc w:val="right"/>
              <w:textAlignment w:val="bottom"/>
            </w:pPr>
            <w:r>
              <w:rPr>
                <w:rFonts w:ascii="Arial" w:eastAsia="宋体" w:hAnsi="Arial" w:cs="Arial"/>
                <w:color w:val="0071C5"/>
                <w:sz w:val="18"/>
                <w:szCs w:val="18"/>
              </w:rPr>
              <w:t>7.7 </w:t>
            </w:r>
          </w:p>
        </w:tc>
        <w:tc>
          <w:tcPr>
            <w:tcW w:w="0" w:type="auto"/>
            <w:shd w:val="clear" w:color="auto" w:fill="auto"/>
            <w:tcMar>
              <w:top w:w="40" w:type="dxa"/>
              <w:left w:w="0" w:type="dxa"/>
              <w:bottom w:w="40" w:type="dxa"/>
              <w:right w:w="20" w:type="dxa"/>
            </w:tcMar>
            <w:vAlign w:val="bottom"/>
          </w:tcPr>
          <w:p w14:paraId="39D99C92" w14:textId="77777777" w:rsidR="00996AD7" w:rsidRDefault="00D9645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39D99C93"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94" w14:textId="77777777" w:rsidR="00996AD7" w:rsidRDefault="00D96458">
            <w:pPr>
              <w:jc w:val="right"/>
              <w:textAlignment w:val="bottom"/>
            </w:pPr>
            <w:r>
              <w:rPr>
                <w:rFonts w:ascii="Arial" w:eastAsia="宋体" w:hAnsi="Arial" w:cs="Arial"/>
                <w:color w:val="262626"/>
                <w:sz w:val="18"/>
                <w:szCs w:val="18"/>
              </w:rPr>
              <w:t>14.5 </w:t>
            </w:r>
          </w:p>
        </w:tc>
        <w:tc>
          <w:tcPr>
            <w:tcW w:w="0" w:type="auto"/>
            <w:shd w:val="clear" w:color="auto" w:fill="auto"/>
            <w:tcMar>
              <w:top w:w="40" w:type="dxa"/>
              <w:left w:w="0" w:type="dxa"/>
              <w:bottom w:w="40" w:type="dxa"/>
              <w:right w:w="20" w:type="dxa"/>
            </w:tcMar>
            <w:vAlign w:val="bottom"/>
          </w:tcPr>
          <w:p w14:paraId="39D99C95" w14:textId="77777777" w:rsidR="00996AD7" w:rsidRDefault="00D96458">
            <w:pPr>
              <w:jc w:val="right"/>
              <w:textAlignment w:val="bottom"/>
            </w:pPr>
            <w:r>
              <w:rPr>
                <w:rFonts w:ascii="Arial" w:eastAsia="宋体" w:hAnsi="Arial" w:cs="Arial"/>
                <w:color w:val="262626"/>
                <w:sz w:val="18"/>
                <w:szCs w:val="18"/>
              </w:rPr>
              <w:t>%</w:t>
            </w:r>
          </w:p>
        </w:tc>
      </w:tr>
    </w:tbl>
    <w:p w14:paraId="39D99C97" w14:textId="77777777" w:rsidR="00996AD7" w:rsidRDefault="00D96458">
      <w:pPr>
        <w:spacing w:after="180"/>
      </w:pPr>
      <w:r>
        <w:rPr>
          <w:rFonts w:ascii="Arial" w:eastAsia="宋体" w:hAnsi="Arial" w:cs="Arial"/>
          <w:color w:val="262626"/>
          <w:sz w:val="18"/>
          <w:szCs w:val="18"/>
        </w:rPr>
        <w:t>In Q3 2021</w:t>
      </w:r>
      <w:r>
        <w:rPr>
          <w:rFonts w:ascii="Arial" w:eastAsia="宋体" w:hAnsi="Arial" w:cs="Arial"/>
          <w:color w:val="000000"/>
          <w:sz w:val="18"/>
          <w:szCs w:val="18"/>
        </w:rPr>
        <w:t>, our effective tax rate decreased due to the restructuring of certain non-U.S. subsidiaries. As a result, we recog</w:t>
      </w:r>
      <w:r>
        <w:rPr>
          <w:rFonts w:ascii="Arial" w:eastAsia="宋体" w:hAnsi="Arial" w:cs="Arial"/>
          <w:color w:val="262626"/>
          <w:sz w:val="18"/>
          <w:szCs w:val="18"/>
        </w:rPr>
        <w:t>nized one-time tax benefits from the release of valuation allowances of certain foreign defer</w:t>
      </w:r>
      <w:r>
        <w:rPr>
          <w:rFonts w:ascii="Arial" w:eastAsia="宋体" w:hAnsi="Arial" w:cs="Arial"/>
          <w:color w:val="262626"/>
          <w:sz w:val="18"/>
          <w:szCs w:val="18"/>
        </w:rPr>
        <w:t>red tax assets. In addition, we established deferred tax assets in Q3 2021 to offset the foreign deferred tax liabilities that were originally recognized in 2020 related to the change in our permanent reinvestment assertion with respect to undistributed ea</w:t>
      </w:r>
      <w:r>
        <w:rPr>
          <w:rFonts w:ascii="Arial" w:eastAsia="宋体" w:hAnsi="Arial" w:cs="Arial"/>
          <w:color w:val="262626"/>
          <w:sz w:val="18"/>
          <w:szCs w:val="18"/>
        </w:rPr>
        <w:t>rnings in China in connection with our planned divestiture of the NAND memory business.</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996AD7" w14:paraId="39D99CA1" w14:textId="77777777">
        <w:tc>
          <w:tcPr>
            <w:tcW w:w="50" w:type="pct"/>
            <w:shd w:val="clear" w:color="auto" w:fill="auto"/>
            <w:vAlign w:val="bottom"/>
          </w:tcPr>
          <w:p w14:paraId="39D99C98" w14:textId="77777777" w:rsidR="00996AD7" w:rsidRDefault="00996AD7">
            <w:pPr>
              <w:rPr>
                <w:rFonts w:ascii="宋体"/>
              </w:rPr>
            </w:pPr>
          </w:p>
        </w:tc>
        <w:tc>
          <w:tcPr>
            <w:tcW w:w="212" w:type="pct"/>
            <w:shd w:val="clear" w:color="auto" w:fill="auto"/>
            <w:vAlign w:val="bottom"/>
          </w:tcPr>
          <w:p w14:paraId="39D99C99" w14:textId="77777777" w:rsidR="00996AD7" w:rsidRDefault="00996AD7">
            <w:pPr>
              <w:rPr>
                <w:rFonts w:ascii="宋体"/>
              </w:rPr>
            </w:pPr>
          </w:p>
        </w:tc>
        <w:tc>
          <w:tcPr>
            <w:tcW w:w="5" w:type="pct"/>
            <w:shd w:val="clear" w:color="auto" w:fill="auto"/>
            <w:vAlign w:val="bottom"/>
          </w:tcPr>
          <w:p w14:paraId="39D99C9A" w14:textId="77777777" w:rsidR="00996AD7" w:rsidRDefault="00996AD7">
            <w:pPr>
              <w:rPr>
                <w:rFonts w:ascii="宋体"/>
              </w:rPr>
            </w:pPr>
          </w:p>
        </w:tc>
        <w:tc>
          <w:tcPr>
            <w:tcW w:w="50" w:type="pct"/>
            <w:shd w:val="clear" w:color="auto" w:fill="auto"/>
            <w:vAlign w:val="bottom"/>
          </w:tcPr>
          <w:p w14:paraId="39D99C9B" w14:textId="77777777" w:rsidR="00996AD7" w:rsidRDefault="00996AD7">
            <w:pPr>
              <w:rPr>
                <w:rFonts w:ascii="宋体"/>
              </w:rPr>
            </w:pPr>
          </w:p>
        </w:tc>
        <w:tc>
          <w:tcPr>
            <w:tcW w:w="2499" w:type="pct"/>
            <w:shd w:val="clear" w:color="auto" w:fill="auto"/>
            <w:vAlign w:val="bottom"/>
          </w:tcPr>
          <w:p w14:paraId="39D99C9C" w14:textId="77777777" w:rsidR="00996AD7" w:rsidRDefault="00996AD7">
            <w:pPr>
              <w:rPr>
                <w:rFonts w:ascii="宋体"/>
              </w:rPr>
            </w:pPr>
          </w:p>
        </w:tc>
        <w:tc>
          <w:tcPr>
            <w:tcW w:w="5" w:type="pct"/>
            <w:shd w:val="clear" w:color="auto" w:fill="auto"/>
            <w:vAlign w:val="bottom"/>
          </w:tcPr>
          <w:p w14:paraId="39D99C9D" w14:textId="77777777" w:rsidR="00996AD7" w:rsidRDefault="00996AD7">
            <w:pPr>
              <w:rPr>
                <w:rFonts w:ascii="宋体"/>
              </w:rPr>
            </w:pPr>
          </w:p>
        </w:tc>
        <w:tc>
          <w:tcPr>
            <w:tcW w:w="50" w:type="pct"/>
            <w:shd w:val="clear" w:color="auto" w:fill="auto"/>
            <w:vAlign w:val="bottom"/>
          </w:tcPr>
          <w:p w14:paraId="39D99C9E" w14:textId="77777777" w:rsidR="00996AD7" w:rsidRDefault="00996AD7">
            <w:pPr>
              <w:rPr>
                <w:rFonts w:ascii="宋体"/>
              </w:rPr>
            </w:pPr>
          </w:p>
        </w:tc>
        <w:tc>
          <w:tcPr>
            <w:tcW w:w="2122" w:type="pct"/>
            <w:shd w:val="clear" w:color="auto" w:fill="auto"/>
            <w:vAlign w:val="bottom"/>
          </w:tcPr>
          <w:p w14:paraId="39D99C9F" w14:textId="77777777" w:rsidR="00996AD7" w:rsidRDefault="00996AD7">
            <w:pPr>
              <w:rPr>
                <w:rFonts w:ascii="宋体"/>
              </w:rPr>
            </w:pPr>
          </w:p>
        </w:tc>
        <w:tc>
          <w:tcPr>
            <w:tcW w:w="5" w:type="pct"/>
            <w:shd w:val="clear" w:color="auto" w:fill="auto"/>
            <w:vAlign w:val="bottom"/>
          </w:tcPr>
          <w:p w14:paraId="39D99CA0" w14:textId="77777777" w:rsidR="00996AD7" w:rsidRDefault="00996AD7">
            <w:pPr>
              <w:rPr>
                <w:rFonts w:ascii="宋体"/>
              </w:rPr>
            </w:pPr>
          </w:p>
        </w:tc>
      </w:tr>
      <w:tr w:rsidR="00996AD7" w14:paraId="39D99CA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CA2"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23" wp14:editId="39D9A424">
                  <wp:extent cx="304800" cy="304800"/>
                  <wp:effectExtent l="0" t="0" r="0" b="0"/>
                  <wp:docPr id="85" name="图片 129"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9"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CA3"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CA4" w14:textId="77777777" w:rsidR="00996AD7" w:rsidRDefault="00D96458">
            <w:pPr>
              <w:jc w:val="right"/>
              <w:textAlignment w:val="center"/>
            </w:pPr>
            <w:r>
              <w:rPr>
                <w:rFonts w:ascii="Arial" w:eastAsia="宋体" w:hAnsi="Arial" w:cs="Arial"/>
                <w:color w:val="262626"/>
                <w:sz w:val="16"/>
                <w:szCs w:val="16"/>
              </w:rPr>
              <w:t>36</w:t>
            </w:r>
          </w:p>
        </w:tc>
      </w:tr>
    </w:tbl>
    <w:p w14:paraId="39D99CA6" w14:textId="77777777" w:rsidR="00996AD7" w:rsidRDefault="00D96458">
      <w:r>
        <w:pict w14:anchorId="39D9A425">
          <v:rect id="_x0000_i1062" style="width:415.3pt;height:1.5pt" o:hralign="center" o:hrstd="t" o:hr="t" fillcolor="#a0a0a0" stroked="f"/>
        </w:pict>
      </w:r>
    </w:p>
    <w:p w14:paraId="39D99CA7" w14:textId="77777777" w:rsidR="00996AD7" w:rsidRDefault="00D96458">
      <w:pPr>
        <w:spacing w:after="180"/>
        <w:jc w:val="right"/>
      </w:pPr>
      <w:hyperlink r:id="rId63" w:anchor="i94e6cc3aa83643b8b968bd5bab038338_7" w:history="1">
        <w:r>
          <w:rPr>
            <w:rStyle w:val="a5"/>
            <w:rFonts w:ascii="Arial" w:eastAsia="宋体" w:hAnsi="Arial" w:cs="Arial"/>
            <w:b/>
            <w:bCs/>
            <w:color w:val="0068B5"/>
            <w:sz w:val="16"/>
            <w:szCs w:val="16"/>
          </w:rPr>
          <w:t>Table of Contents</w:t>
        </w:r>
      </w:hyperlink>
    </w:p>
    <w:p w14:paraId="39D99CA8" w14:textId="77777777" w:rsidR="00996AD7" w:rsidRDefault="00996AD7">
      <w:pPr>
        <w:spacing w:after="180"/>
        <w:jc w:val="right"/>
      </w:pPr>
    </w:p>
    <w:p w14:paraId="39D99CA9" w14:textId="77777777" w:rsidR="00996AD7" w:rsidRDefault="00D96458">
      <w:pPr>
        <w:spacing w:after="180"/>
      </w:pPr>
      <w:r>
        <w:rPr>
          <w:rFonts w:ascii="Arial" w:eastAsia="宋体" w:hAnsi="Arial" w:cs="Arial"/>
          <w:color w:val="0068B5"/>
          <w:sz w:val="28"/>
          <w:szCs w:val="28"/>
        </w:rPr>
        <w:t>Liquidity and Capital Resources</w:t>
      </w:r>
    </w:p>
    <w:p w14:paraId="39D99CAA" w14:textId="77777777" w:rsidR="00996AD7" w:rsidRDefault="00D96458">
      <w:pPr>
        <w:spacing w:after="120"/>
      </w:pPr>
      <w:r>
        <w:rPr>
          <w:rFonts w:ascii="Arial" w:eastAsia="宋体" w:hAnsi="Arial" w:cs="Arial"/>
          <w:color w:val="262626"/>
          <w:sz w:val="18"/>
          <w:szCs w:val="18"/>
        </w:rPr>
        <w:t>We consider the following when assessing our liquidi</w:t>
      </w:r>
      <w:r>
        <w:rPr>
          <w:rFonts w:ascii="Arial" w:eastAsia="宋体" w:hAnsi="Arial" w:cs="Arial"/>
          <w:color w:val="262626"/>
          <w:sz w:val="18"/>
          <w:szCs w:val="18"/>
        </w:rPr>
        <w:t>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40"/>
        <w:gridCol w:w="6101"/>
        <w:gridCol w:w="39"/>
        <w:gridCol w:w="36"/>
        <w:gridCol w:w="36"/>
        <w:gridCol w:w="36"/>
        <w:gridCol w:w="121"/>
        <w:gridCol w:w="813"/>
        <w:gridCol w:w="36"/>
        <w:gridCol w:w="36"/>
        <w:gridCol w:w="36"/>
        <w:gridCol w:w="36"/>
        <w:gridCol w:w="121"/>
        <w:gridCol w:w="813"/>
        <w:gridCol w:w="36"/>
      </w:tblGrid>
      <w:tr w:rsidR="00996AD7" w14:paraId="39D99CBA" w14:textId="77777777">
        <w:tc>
          <w:tcPr>
            <w:tcW w:w="50" w:type="pct"/>
            <w:shd w:val="clear" w:color="auto" w:fill="auto"/>
            <w:vAlign w:val="bottom"/>
          </w:tcPr>
          <w:p w14:paraId="39D99CAB" w14:textId="77777777" w:rsidR="00996AD7" w:rsidRDefault="00996AD7">
            <w:pPr>
              <w:rPr>
                <w:rFonts w:ascii="宋体"/>
              </w:rPr>
            </w:pPr>
          </w:p>
        </w:tc>
        <w:tc>
          <w:tcPr>
            <w:tcW w:w="3688" w:type="pct"/>
            <w:shd w:val="clear" w:color="auto" w:fill="auto"/>
            <w:vAlign w:val="bottom"/>
          </w:tcPr>
          <w:p w14:paraId="39D99CAC" w14:textId="77777777" w:rsidR="00996AD7" w:rsidRDefault="00996AD7">
            <w:pPr>
              <w:rPr>
                <w:rFonts w:ascii="宋体"/>
              </w:rPr>
            </w:pPr>
          </w:p>
        </w:tc>
        <w:tc>
          <w:tcPr>
            <w:tcW w:w="5" w:type="pct"/>
            <w:shd w:val="clear" w:color="auto" w:fill="auto"/>
            <w:vAlign w:val="bottom"/>
          </w:tcPr>
          <w:p w14:paraId="39D99CAD" w14:textId="77777777" w:rsidR="00996AD7" w:rsidRDefault="00996AD7">
            <w:pPr>
              <w:rPr>
                <w:rFonts w:ascii="宋体"/>
              </w:rPr>
            </w:pPr>
          </w:p>
        </w:tc>
        <w:tc>
          <w:tcPr>
            <w:tcW w:w="5" w:type="pct"/>
            <w:shd w:val="clear" w:color="auto" w:fill="auto"/>
            <w:vAlign w:val="bottom"/>
          </w:tcPr>
          <w:p w14:paraId="39D99CAE" w14:textId="77777777" w:rsidR="00996AD7" w:rsidRDefault="00996AD7">
            <w:pPr>
              <w:rPr>
                <w:rFonts w:ascii="宋体"/>
              </w:rPr>
            </w:pPr>
          </w:p>
        </w:tc>
        <w:tc>
          <w:tcPr>
            <w:tcW w:w="24" w:type="pct"/>
            <w:shd w:val="clear" w:color="auto" w:fill="auto"/>
            <w:vAlign w:val="bottom"/>
          </w:tcPr>
          <w:p w14:paraId="39D99CAF" w14:textId="77777777" w:rsidR="00996AD7" w:rsidRDefault="00996AD7">
            <w:pPr>
              <w:rPr>
                <w:rFonts w:ascii="宋体"/>
              </w:rPr>
            </w:pPr>
          </w:p>
        </w:tc>
        <w:tc>
          <w:tcPr>
            <w:tcW w:w="5" w:type="pct"/>
            <w:shd w:val="clear" w:color="auto" w:fill="auto"/>
            <w:vAlign w:val="bottom"/>
          </w:tcPr>
          <w:p w14:paraId="39D99CB0" w14:textId="77777777" w:rsidR="00996AD7" w:rsidRDefault="00996AD7">
            <w:pPr>
              <w:rPr>
                <w:rFonts w:ascii="宋体"/>
              </w:rPr>
            </w:pPr>
          </w:p>
        </w:tc>
        <w:tc>
          <w:tcPr>
            <w:tcW w:w="50" w:type="pct"/>
            <w:shd w:val="clear" w:color="auto" w:fill="auto"/>
            <w:vAlign w:val="bottom"/>
          </w:tcPr>
          <w:p w14:paraId="39D99CB1" w14:textId="77777777" w:rsidR="00996AD7" w:rsidRDefault="00996AD7">
            <w:pPr>
              <w:rPr>
                <w:rFonts w:ascii="宋体"/>
              </w:rPr>
            </w:pPr>
          </w:p>
        </w:tc>
        <w:tc>
          <w:tcPr>
            <w:tcW w:w="539" w:type="pct"/>
            <w:shd w:val="clear" w:color="auto" w:fill="auto"/>
            <w:vAlign w:val="bottom"/>
          </w:tcPr>
          <w:p w14:paraId="39D99CB2" w14:textId="77777777" w:rsidR="00996AD7" w:rsidRDefault="00996AD7">
            <w:pPr>
              <w:rPr>
                <w:rFonts w:ascii="宋体"/>
              </w:rPr>
            </w:pPr>
          </w:p>
        </w:tc>
        <w:tc>
          <w:tcPr>
            <w:tcW w:w="5" w:type="pct"/>
            <w:shd w:val="clear" w:color="auto" w:fill="auto"/>
            <w:vAlign w:val="bottom"/>
          </w:tcPr>
          <w:p w14:paraId="39D99CB3" w14:textId="77777777" w:rsidR="00996AD7" w:rsidRDefault="00996AD7">
            <w:pPr>
              <w:rPr>
                <w:rFonts w:ascii="宋体"/>
              </w:rPr>
            </w:pPr>
          </w:p>
        </w:tc>
        <w:tc>
          <w:tcPr>
            <w:tcW w:w="5" w:type="pct"/>
            <w:shd w:val="clear" w:color="auto" w:fill="auto"/>
            <w:vAlign w:val="bottom"/>
          </w:tcPr>
          <w:p w14:paraId="39D99CB4" w14:textId="77777777" w:rsidR="00996AD7" w:rsidRDefault="00996AD7">
            <w:pPr>
              <w:rPr>
                <w:rFonts w:ascii="宋体"/>
              </w:rPr>
            </w:pPr>
          </w:p>
        </w:tc>
        <w:tc>
          <w:tcPr>
            <w:tcW w:w="24" w:type="pct"/>
            <w:shd w:val="clear" w:color="auto" w:fill="auto"/>
            <w:vAlign w:val="bottom"/>
          </w:tcPr>
          <w:p w14:paraId="39D99CB5" w14:textId="77777777" w:rsidR="00996AD7" w:rsidRDefault="00996AD7">
            <w:pPr>
              <w:rPr>
                <w:rFonts w:ascii="宋体"/>
              </w:rPr>
            </w:pPr>
          </w:p>
        </w:tc>
        <w:tc>
          <w:tcPr>
            <w:tcW w:w="5" w:type="pct"/>
            <w:shd w:val="clear" w:color="auto" w:fill="auto"/>
            <w:vAlign w:val="bottom"/>
          </w:tcPr>
          <w:p w14:paraId="39D99CB6" w14:textId="77777777" w:rsidR="00996AD7" w:rsidRDefault="00996AD7">
            <w:pPr>
              <w:rPr>
                <w:rFonts w:ascii="宋体"/>
              </w:rPr>
            </w:pPr>
          </w:p>
        </w:tc>
        <w:tc>
          <w:tcPr>
            <w:tcW w:w="50" w:type="pct"/>
            <w:shd w:val="clear" w:color="auto" w:fill="auto"/>
            <w:vAlign w:val="bottom"/>
          </w:tcPr>
          <w:p w14:paraId="39D99CB7" w14:textId="77777777" w:rsidR="00996AD7" w:rsidRDefault="00996AD7">
            <w:pPr>
              <w:rPr>
                <w:rFonts w:ascii="宋体"/>
              </w:rPr>
            </w:pPr>
          </w:p>
        </w:tc>
        <w:tc>
          <w:tcPr>
            <w:tcW w:w="539" w:type="pct"/>
            <w:shd w:val="clear" w:color="auto" w:fill="auto"/>
            <w:vAlign w:val="bottom"/>
          </w:tcPr>
          <w:p w14:paraId="39D99CB8" w14:textId="77777777" w:rsidR="00996AD7" w:rsidRDefault="00996AD7">
            <w:pPr>
              <w:rPr>
                <w:rFonts w:ascii="宋体"/>
              </w:rPr>
            </w:pPr>
          </w:p>
        </w:tc>
        <w:tc>
          <w:tcPr>
            <w:tcW w:w="5" w:type="pct"/>
            <w:shd w:val="clear" w:color="auto" w:fill="auto"/>
            <w:vAlign w:val="bottom"/>
          </w:tcPr>
          <w:p w14:paraId="39D99CB9" w14:textId="77777777" w:rsidR="00996AD7" w:rsidRDefault="00996AD7">
            <w:pPr>
              <w:rPr>
                <w:rFonts w:ascii="宋体"/>
              </w:rPr>
            </w:pPr>
          </w:p>
        </w:tc>
      </w:tr>
      <w:tr w:rsidR="00996AD7" w14:paraId="39D99CC0" w14:textId="77777777">
        <w:tc>
          <w:tcPr>
            <w:tcW w:w="0" w:type="auto"/>
            <w:gridSpan w:val="3"/>
            <w:shd w:val="clear" w:color="auto" w:fill="auto"/>
            <w:tcMar>
              <w:top w:w="40" w:type="dxa"/>
              <w:left w:w="20" w:type="dxa"/>
              <w:bottom w:w="40" w:type="dxa"/>
              <w:right w:w="20" w:type="dxa"/>
            </w:tcMar>
            <w:vAlign w:val="bottom"/>
          </w:tcPr>
          <w:p w14:paraId="39D99CBB"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9CB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CBD"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39D99CBE"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9CBF" w14:textId="77777777" w:rsidR="00996AD7" w:rsidRDefault="00D96458">
            <w:pPr>
              <w:jc w:val="center"/>
              <w:textAlignment w:val="bottom"/>
            </w:pPr>
            <w:r>
              <w:rPr>
                <w:rFonts w:ascii="Arial" w:eastAsia="宋体" w:hAnsi="Arial" w:cs="Arial"/>
                <w:b/>
                <w:bCs/>
                <w:color w:val="262626"/>
                <w:sz w:val="18"/>
                <w:szCs w:val="18"/>
              </w:rPr>
              <w:t>Dec 26, 2020</w:t>
            </w:r>
          </w:p>
        </w:tc>
      </w:tr>
      <w:tr w:rsidR="00996AD7" w14:paraId="39D99CCA"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9CC1" w14:textId="77777777" w:rsidR="00996AD7" w:rsidRDefault="00D96458">
            <w:pPr>
              <w:ind w:hanging="180"/>
              <w:textAlignment w:val="top"/>
            </w:pPr>
            <w:r>
              <w:rPr>
                <w:rFonts w:ascii="Arial" w:eastAsia="宋体" w:hAnsi="Arial" w:cs="Arial"/>
                <w:b/>
                <w:bCs/>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39D99CC2"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CC3"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CC4" w14:textId="77777777" w:rsidR="00996AD7" w:rsidRDefault="00D96458">
            <w:pPr>
              <w:jc w:val="right"/>
              <w:textAlignment w:val="bottom"/>
            </w:pPr>
            <w:r>
              <w:rPr>
                <w:rFonts w:ascii="Arial" w:eastAsia="宋体" w:hAnsi="Arial" w:cs="Arial"/>
                <w:b/>
                <w:bCs/>
                <w:color w:val="0068B5"/>
                <w:sz w:val="18"/>
                <w:szCs w:val="18"/>
              </w:rPr>
              <w:t>7,870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CC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C6"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CC7"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CC8" w14:textId="77777777" w:rsidR="00996AD7" w:rsidRDefault="00D96458">
            <w:pPr>
              <w:jc w:val="right"/>
              <w:textAlignment w:val="bottom"/>
            </w:pPr>
            <w:r>
              <w:rPr>
                <w:rFonts w:ascii="Arial" w:eastAsia="宋体" w:hAnsi="Arial" w:cs="Arial"/>
                <w:color w:val="262626"/>
                <w:sz w:val="18"/>
                <w:szCs w:val="18"/>
              </w:rPr>
              <w:t>5,865 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CC9" w14:textId="77777777" w:rsidR="00996AD7" w:rsidRDefault="00996AD7">
            <w:pPr>
              <w:jc w:val="right"/>
              <w:rPr>
                <w:rFonts w:ascii="宋体"/>
              </w:rPr>
            </w:pPr>
          </w:p>
        </w:tc>
      </w:tr>
      <w:tr w:rsidR="00996AD7" w14:paraId="39D99CD2" w14:textId="77777777">
        <w:tc>
          <w:tcPr>
            <w:tcW w:w="0" w:type="auto"/>
            <w:gridSpan w:val="3"/>
            <w:shd w:val="clear" w:color="auto" w:fill="auto"/>
            <w:tcMar>
              <w:top w:w="40" w:type="dxa"/>
              <w:left w:w="20" w:type="dxa"/>
              <w:bottom w:w="40" w:type="dxa"/>
              <w:right w:w="20" w:type="dxa"/>
            </w:tcMar>
          </w:tcPr>
          <w:p w14:paraId="39D99CCB" w14:textId="77777777" w:rsidR="00996AD7" w:rsidRDefault="00D96458">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39D99CC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CD" w14:textId="77777777" w:rsidR="00996AD7" w:rsidRDefault="00D96458">
            <w:pPr>
              <w:jc w:val="right"/>
              <w:textAlignment w:val="bottom"/>
            </w:pPr>
            <w:r>
              <w:rPr>
                <w:rFonts w:ascii="Arial" w:eastAsia="宋体" w:hAnsi="Arial" w:cs="Arial"/>
                <w:color w:val="0068B5"/>
                <w:sz w:val="18"/>
                <w:szCs w:val="18"/>
              </w:rPr>
              <w:t>4,004 </w:t>
            </w:r>
          </w:p>
        </w:tc>
        <w:tc>
          <w:tcPr>
            <w:tcW w:w="0" w:type="auto"/>
            <w:shd w:val="clear" w:color="auto" w:fill="auto"/>
            <w:tcMar>
              <w:top w:w="40" w:type="dxa"/>
              <w:left w:w="0" w:type="dxa"/>
              <w:bottom w:w="40" w:type="dxa"/>
              <w:right w:w="20" w:type="dxa"/>
            </w:tcMar>
            <w:vAlign w:val="bottom"/>
          </w:tcPr>
          <w:p w14:paraId="39D99CC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C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D0" w14:textId="77777777" w:rsidR="00996AD7" w:rsidRDefault="00D96458">
            <w:pPr>
              <w:jc w:val="right"/>
              <w:textAlignment w:val="bottom"/>
            </w:pPr>
            <w:r>
              <w:rPr>
                <w:rFonts w:ascii="Arial" w:eastAsia="宋体" w:hAnsi="Arial" w:cs="Arial"/>
                <w:color w:val="262626"/>
                <w:sz w:val="18"/>
                <w:szCs w:val="18"/>
              </w:rPr>
              <w:t>2,292 </w:t>
            </w:r>
          </w:p>
        </w:tc>
        <w:tc>
          <w:tcPr>
            <w:tcW w:w="0" w:type="auto"/>
            <w:shd w:val="clear" w:color="auto" w:fill="auto"/>
            <w:tcMar>
              <w:top w:w="40" w:type="dxa"/>
              <w:left w:w="0" w:type="dxa"/>
              <w:bottom w:w="40" w:type="dxa"/>
              <w:right w:w="20" w:type="dxa"/>
            </w:tcMar>
            <w:vAlign w:val="bottom"/>
          </w:tcPr>
          <w:p w14:paraId="39D99CD1" w14:textId="77777777" w:rsidR="00996AD7" w:rsidRDefault="00996AD7">
            <w:pPr>
              <w:jc w:val="right"/>
              <w:rPr>
                <w:rFonts w:ascii="宋体"/>
              </w:rPr>
            </w:pPr>
          </w:p>
        </w:tc>
      </w:tr>
      <w:tr w:rsidR="00996AD7" w14:paraId="39D99CDA" w14:textId="77777777">
        <w:tc>
          <w:tcPr>
            <w:tcW w:w="0" w:type="auto"/>
            <w:gridSpan w:val="3"/>
            <w:shd w:val="clear" w:color="auto" w:fill="auto"/>
            <w:tcMar>
              <w:top w:w="40" w:type="dxa"/>
              <w:left w:w="20" w:type="dxa"/>
              <w:bottom w:w="40" w:type="dxa"/>
              <w:right w:w="20" w:type="dxa"/>
            </w:tcMar>
          </w:tcPr>
          <w:p w14:paraId="39D99CD3" w14:textId="77777777" w:rsidR="00996AD7" w:rsidRDefault="00D96458">
            <w:pPr>
              <w:textAlignment w:val="top"/>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vAlign w:val="bottom"/>
          </w:tcPr>
          <w:p w14:paraId="39D99CD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D5" w14:textId="77777777" w:rsidR="00996AD7" w:rsidRDefault="00D96458">
            <w:pPr>
              <w:jc w:val="right"/>
              <w:textAlignment w:val="bottom"/>
            </w:pPr>
            <w:r>
              <w:rPr>
                <w:rFonts w:ascii="Arial" w:eastAsia="宋体" w:hAnsi="Arial" w:cs="Arial"/>
                <w:color w:val="0068B5"/>
                <w:sz w:val="18"/>
                <w:szCs w:val="18"/>
              </w:rPr>
              <w:t>22,761 </w:t>
            </w:r>
          </w:p>
        </w:tc>
        <w:tc>
          <w:tcPr>
            <w:tcW w:w="0" w:type="auto"/>
            <w:shd w:val="clear" w:color="auto" w:fill="auto"/>
            <w:tcMar>
              <w:top w:w="40" w:type="dxa"/>
              <w:left w:w="0" w:type="dxa"/>
              <w:bottom w:w="40" w:type="dxa"/>
              <w:right w:w="20" w:type="dxa"/>
            </w:tcMar>
            <w:vAlign w:val="bottom"/>
          </w:tcPr>
          <w:p w14:paraId="39D99CD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D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D8" w14:textId="77777777" w:rsidR="00996AD7" w:rsidRDefault="00D96458">
            <w:pPr>
              <w:jc w:val="right"/>
              <w:textAlignment w:val="bottom"/>
            </w:pPr>
            <w:r>
              <w:rPr>
                <w:rFonts w:ascii="Arial" w:eastAsia="宋体" w:hAnsi="Arial" w:cs="Arial"/>
                <w:color w:val="262626"/>
                <w:sz w:val="18"/>
                <w:szCs w:val="18"/>
              </w:rPr>
              <w:t>15,738 </w:t>
            </w:r>
          </w:p>
        </w:tc>
        <w:tc>
          <w:tcPr>
            <w:tcW w:w="0" w:type="auto"/>
            <w:shd w:val="clear" w:color="auto" w:fill="auto"/>
            <w:tcMar>
              <w:top w:w="40" w:type="dxa"/>
              <w:left w:w="0" w:type="dxa"/>
              <w:bottom w:w="40" w:type="dxa"/>
              <w:right w:w="20" w:type="dxa"/>
            </w:tcMar>
            <w:vAlign w:val="bottom"/>
          </w:tcPr>
          <w:p w14:paraId="39D99CD9" w14:textId="77777777" w:rsidR="00996AD7" w:rsidRDefault="00996AD7">
            <w:pPr>
              <w:jc w:val="right"/>
              <w:rPr>
                <w:rFonts w:ascii="宋体"/>
              </w:rPr>
            </w:pPr>
          </w:p>
        </w:tc>
      </w:tr>
      <w:tr w:rsidR="00996AD7" w14:paraId="39D99CE2" w14:textId="77777777">
        <w:tc>
          <w:tcPr>
            <w:tcW w:w="0" w:type="auto"/>
            <w:gridSpan w:val="3"/>
            <w:shd w:val="clear" w:color="auto" w:fill="auto"/>
            <w:tcMar>
              <w:top w:w="40" w:type="dxa"/>
              <w:left w:w="20" w:type="dxa"/>
              <w:bottom w:w="40" w:type="dxa"/>
              <w:right w:w="20" w:type="dxa"/>
            </w:tcMar>
          </w:tcPr>
          <w:p w14:paraId="39D99CDB" w14:textId="77777777" w:rsidR="00996AD7" w:rsidRDefault="00D96458">
            <w:pPr>
              <w:textAlignment w:val="top"/>
            </w:pPr>
            <w:r>
              <w:rPr>
                <w:rFonts w:ascii="Arial" w:eastAsia="宋体" w:hAnsi="Arial" w:cs="Arial"/>
                <w:color w:val="262626"/>
                <w:sz w:val="18"/>
                <w:szCs w:val="18"/>
              </w:rPr>
              <w:t>Other long-term investments</w:t>
            </w:r>
          </w:p>
        </w:tc>
        <w:tc>
          <w:tcPr>
            <w:tcW w:w="0" w:type="auto"/>
            <w:gridSpan w:val="3"/>
            <w:shd w:val="clear" w:color="auto" w:fill="auto"/>
            <w:tcMar>
              <w:top w:w="0" w:type="dxa"/>
              <w:left w:w="20" w:type="dxa"/>
              <w:bottom w:w="0" w:type="dxa"/>
              <w:right w:w="20" w:type="dxa"/>
            </w:tcMar>
            <w:vAlign w:val="bottom"/>
          </w:tcPr>
          <w:p w14:paraId="39D99CD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DD" w14:textId="77777777" w:rsidR="00996AD7" w:rsidRDefault="00D96458">
            <w:pPr>
              <w:jc w:val="right"/>
              <w:textAlignment w:val="bottom"/>
            </w:pPr>
            <w:r>
              <w:rPr>
                <w:rFonts w:ascii="Arial" w:eastAsia="宋体" w:hAnsi="Arial" w:cs="Arial"/>
                <w:color w:val="0068B5"/>
                <w:sz w:val="18"/>
                <w:szCs w:val="18"/>
              </w:rPr>
              <w:t>953 </w:t>
            </w:r>
          </w:p>
        </w:tc>
        <w:tc>
          <w:tcPr>
            <w:tcW w:w="0" w:type="auto"/>
            <w:shd w:val="clear" w:color="auto" w:fill="auto"/>
            <w:tcMar>
              <w:top w:w="40" w:type="dxa"/>
              <w:left w:w="0" w:type="dxa"/>
              <w:bottom w:w="40" w:type="dxa"/>
              <w:right w:w="20" w:type="dxa"/>
            </w:tcMar>
            <w:vAlign w:val="bottom"/>
          </w:tcPr>
          <w:p w14:paraId="39D99CD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D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E0" w14:textId="77777777" w:rsidR="00996AD7" w:rsidRDefault="00D96458">
            <w:pPr>
              <w:jc w:val="right"/>
              <w:textAlignment w:val="bottom"/>
            </w:pPr>
            <w:r>
              <w:rPr>
                <w:rFonts w:ascii="Arial" w:eastAsia="宋体" w:hAnsi="Arial" w:cs="Arial"/>
                <w:color w:val="262626"/>
                <w:sz w:val="18"/>
                <w:szCs w:val="18"/>
              </w:rPr>
              <w:t>2,192 </w:t>
            </w:r>
          </w:p>
        </w:tc>
        <w:tc>
          <w:tcPr>
            <w:tcW w:w="0" w:type="auto"/>
            <w:shd w:val="clear" w:color="auto" w:fill="auto"/>
            <w:tcMar>
              <w:top w:w="40" w:type="dxa"/>
              <w:left w:w="0" w:type="dxa"/>
              <w:bottom w:w="40" w:type="dxa"/>
              <w:right w:w="20" w:type="dxa"/>
            </w:tcMar>
            <w:vAlign w:val="bottom"/>
          </w:tcPr>
          <w:p w14:paraId="39D99CE1" w14:textId="77777777" w:rsidR="00996AD7" w:rsidRDefault="00996AD7">
            <w:pPr>
              <w:jc w:val="right"/>
              <w:rPr>
                <w:rFonts w:ascii="宋体"/>
              </w:rPr>
            </w:pPr>
          </w:p>
        </w:tc>
      </w:tr>
      <w:tr w:rsidR="00996AD7" w14:paraId="39D99CEA" w14:textId="77777777">
        <w:tc>
          <w:tcPr>
            <w:tcW w:w="0" w:type="auto"/>
            <w:gridSpan w:val="3"/>
            <w:shd w:val="clear" w:color="auto" w:fill="auto"/>
            <w:tcMar>
              <w:top w:w="40" w:type="dxa"/>
              <w:left w:w="20" w:type="dxa"/>
              <w:bottom w:w="40" w:type="dxa"/>
              <w:right w:w="20" w:type="dxa"/>
            </w:tcMar>
          </w:tcPr>
          <w:p w14:paraId="39D99CE3" w14:textId="77777777" w:rsidR="00996AD7" w:rsidRDefault="00D96458">
            <w:pPr>
              <w:textAlignment w:val="top"/>
            </w:pPr>
            <w:r>
              <w:rPr>
                <w:rFonts w:ascii="Arial" w:eastAsia="宋体" w:hAnsi="Arial" w:cs="Arial"/>
                <w:color w:val="262626"/>
                <w:sz w:val="18"/>
                <w:szCs w:val="18"/>
              </w:rPr>
              <w:t>Loans receivable and other</w:t>
            </w:r>
          </w:p>
        </w:tc>
        <w:tc>
          <w:tcPr>
            <w:tcW w:w="0" w:type="auto"/>
            <w:gridSpan w:val="3"/>
            <w:shd w:val="clear" w:color="auto" w:fill="auto"/>
            <w:tcMar>
              <w:top w:w="0" w:type="dxa"/>
              <w:left w:w="20" w:type="dxa"/>
              <w:bottom w:w="0" w:type="dxa"/>
              <w:right w:w="20" w:type="dxa"/>
            </w:tcMar>
            <w:vAlign w:val="bottom"/>
          </w:tcPr>
          <w:p w14:paraId="39D99CE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E5" w14:textId="77777777" w:rsidR="00996AD7" w:rsidRDefault="00D96458">
            <w:pPr>
              <w:jc w:val="right"/>
              <w:textAlignment w:val="bottom"/>
            </w:pPr>
            <w:r>
              <w:rPr>
                <w:rFonts w:ascii="Arial" w:eastAsia="宋体" w:hAnsi="Arial" w:cs="Arial"/>
                <w:color w:val="0068B5"/>
                <w:sz w:val="18"/>
                <w:szCs w:val="18"/>
              </w:rPr>
              <w:t>252 </w:t>
            </w:r>
          </w:p>
        </w:tc>
        <w:tc>
          <w:tcPr>
            <w:tcW w:w="0" w:type="auto"/>
            <w:shd w:val="clear" w:color="auto" w:fill="auto"/>
            <w:tcMar>
              <w:top w:w="40" w:type="dxa"/>
              <w:left w:w="0" w:type="dxa"/>
              <w:bottom w:w="40" w:type="dxa"/>
              <w:right w:w="20" w:type="dxa"/>
            </w:tcMar>
            <w:vAlign w:val="bottom"/>
          </w:tcPr>
          <w:p w14:paraId="39D99CE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E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CE8" w14:textId="77777777" w:rsidR="00996AD7" w:rsidRDefault="00D96458">
            <w:pPr>
              <w:jc w:val="right"/>
              <w:textAlignment w:val="bottom"/>
            </w:pPr>
            <w:r>
              <w:rPr>
                <w:rFonts w:ascii="Arial" w:eastAsia="宋体" w:hAnsi="Arial" w:cs="Arial"/>
                <w:color w:val="262626"/>
                <w:sz w:val="18"/>
                <w:szCs w:val="18"/>
              </w:rPr>
              <w:t>947 </w:t>
            </w:r>
          </w:p>
        </w:tc>
        <w:tc>
          <w:tcPr>
            <w:tcW w:w="0" w:type="auto"/>
            <w:shd w:val="clear" w:color="auto" w:fill="auto"/>
            <w:tcMar>
              <w:top w:w="40" w:type="dxa"/>
              <w:left w:w="0" w:type="dxa"/>
              <w:bottom w:w="40" w:type="dxa"/>
              <w:right w:w="20" w:type="dxa"/>
            </w:tcMar>
            <w:vAlign w:val="bottom"/>
          </w:tcPr>
          <w:p w14:paraId="39D99CE9" w14:textId="77777777" w:rsidR="00996AD7" w:rsidRDefault="00996AD7">
            <w:pPr>
              <w:jc w:val="right"/>
              <w:rPr>
                <w:rFonts w:ascii="宋体"/>
              </w:rPr>
            </w:pPr>
          </w:p>
        </w:tc>
      </w:tr>
      <w:tr w:rsidR="00996AD7" w14:paraId="39D99CF4" w14:textId="77777777">
        <w:tc>
          <w:tcPr>
            <w:tcW w:w="0" w:type="auto"/>
            <w:gridSpan w:val="3"/>
            <w:shd w:val="clear" w:color="auto" w:fill="auto"/>
            <w:tcMar>
              <w:top w:w="40" w:type="dxa"/>
              <w:left w:w="20" w:type="dxa"/>
              <w:bottom w:w="40" w:type="dxa"/>
              <w:right w:w="20" w:type="dxa"/>
            </w:tcMar>
            <w:vAlign w:val="bottom"/>
          </w:tcPr>
          <w:p w14:paraId="39D99CEB" w14:textId="77777777" w:rsidR="00996AD7" w:rsidRDefault="00D96458">
            <w:pPr>
              <w:spacing w:after="180"/>
              <w:textAlignment w:val="bottom"/>
            </w:pPr>
            <w:r>
              <w:rPr>
                <w:rFonts w:ascii="Arial" w:eastAsia="宋体" w:hAnsi="Arial" w:cs="Arial"/>
                <w:b/>
                <w:bCs/>
                <w:color w:val="262626"/>
                <w:sz w:val="18"/>
                <w:szCs w:val="18"/>
              </w:rPr>
              <w:t>Total cash and investments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39D99CEC"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CED"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CEE" w14:textId="77777777" w:rsidR="00996AD7" w:rsidRDefault="00D96458">
            <w:pPr>
              <w:jc w:val="right"/>
              <w:textAlignment w:val="bottom"/>
            </w:pPr>
            <w:r>
              <w:rPr>
                <w:rFonts w:ascii="Arial" w:eastAsia="宋体" w:hAnsi="Arial" w:cs="Arial"/>
                <w:b/>
                <w:bCs/>
                <w:color w:val="0068B5"/>
                <w:sz w:val="18"/>
                <w:szCs w:val="18"/>
              </w:rPr>
              <w:t>35,840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CE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CF0"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CF1"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CF2" w14:textId="77777777" w:rsidR="00996AD7" w:rsidRDefault="00D96458">
            <w:pPr>
              <w:jc w:val="right"/>
              <w:textAlignment w:val="bottom"/>
            </w:pPr>
            <w:r>
              <w:rPr>
                <w:rFonts w:ascii="Arial" w:eastAsia="宋体" w:hAnsi="Arial" w:cs="Arial"/>
                <w:b/>
                <w:bCs/>
                <w:color w:val="262626"/>
                <w:sz w:val="18"/>
                <w:szCs w:val="18"/>
              </w:rPr>
              <w:t>27,034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CF3" w14:textId="77777777" w:rsidR="00996AD7" w:rsidRDefault="00996AD7">
            <w:pPr>
              <w:jc w:val="right"/>
              <w:rPr>
                <w:rFonts w:ascii="宋体"/>
              </w:rPr>
            </w:pPr>
          </w:p>
        </w:tc>
      </w:tr>
      <w:tr w:rsidR="00996AD7" w14:paraId="39D99CFA" w14:textId="77777777">
        <w:trPr>
          <w:hidden/>
        </w:trPr>
        <w:tc>
          <w:tcPr>
            <w:tcW w:w="0" w:type="auto"/>
            <w:gridSpan w:val="3"/>
            <w:shd w:val="clear" w:color="auto" w:fill="auto"/>
            <w:vAlign w:val="bottom"/>
          </w:tcPr>
          <w:p w14:paraId="39D99CF5" w14:textId="77777777" w:rsidR="00996AD7" w:rsidRDefault="00996AD7">
            <w:pPr>
              <w:rPr>
                <w:rFonts w:ascii="宋体"/>
                <w:vanish/>
              </w:rPr>
            </w:pPr>
          </w:p>
        </w:tc>
        <w:tc>
          <w:tcPr>
            <w:tcW w:w="0" w:type="auto"/>
            <w:gridSpan w:val="3"/>
            <w:shd w:val="clear" w:color="auto" w:fill="auto"/>
            <w:vAlign w:val="bottom"/>
          </w:tcPr>
          <w:p w14:paraId="39D99CF6" w14:textId="77777777" w:rsidR="00996AD7" w:rsidRDefault="00996AD7">
            <w:pPr>
              <w:rPr>
                <w:rFonts w:ascii="宋体"/>
                <w:vanish/>
              </w:rPr>
            </w:pPr>
          </w:p>
        </w:tc>
        <w:tc>
          <w:tcPr>
            <w:tcW w:w="0" w:type="auto"/>
            <w:gridSpan w:val="3"/>
            <w:shd w:val="clear" w:color="auto" w:fill="auto"/>
            <w:vAlign w:val="bottom"/>
          </w:tcPr>
          <w:p w14:paraId="39D99CF7" w14:textId="77777777" w:rsidR="00996AD7" w:rsidRDefault="00996AD7">
            <w:pPr>
              <w:rPr>
                <w:rFonts w:ascii="宋体"/>
                <w:vanish/>
              </w:rPr>
            </w:pPr>
          </w:p>
        </w:tc>
        <w:tc>
          <w:tcPr>
            <w:tcW w:w="0" w:type="auto"/>
            <w:gridSpan w:val="3"/>
            <w:shd w:val="clear" w:color="auto" w:fill="auto"/>
            <w:vAlign w:val="bottom"/>
          </w:tcPr>
          <w:p w14:paraId="39D99CF8" w14:textId="77777777" w:rsidR="00996AD7" w:rsidRDefault="00996AD7">
            <w:pPr>
              <w:rPr>
                <w:rFonts w:ascii="宋体"/>
                <w:vanish/>
              </w:rPr>
            </w:pPr>
          </w:p>
        </w:tc>
        <w:tc>
          <w:tcPr>
            <w:tcW w:w="0" w:type="auto"/>
            <w:gridSpan w:val="3"/>
            <w:shd w:val="clear" w:color="auto" w:fill="auto"/>
            <w:vAlign w:val="bottom"/>
          </w:tcPr>
          <w:p w14:paraId="39D99CF9" w14:textId="77777777" w:rsidR="00996AD7" w:rsidRDefault="00996AD7">
            <w:pPr>
              <w:rPr>
                <w:rFonts w:ascii="宋体"/>
                <w:vanish/>
              </w:rPr>
            </w:pPr>
          </w:p>
        </w:tc>
      </w:tr>
      <w:tr w:rsidR="00996AD7" w14:paraId="39D99D00" w14:textId="77777777">
        <w:trPr>
          <w:hidden/>
        </w:trPr>
        <w:tc>
          <w:tcPr>
            <w:tcW w:w="0" w:type="auto"/>
            <w:gridSpan w:val="3"/>
            <w:shd w:val="clear" w:color="auto" w:fill="auto"/>
            <w:vAlign w:val="bottom"/>
          </w:tcPr>
          <w:p w14:paraId="39D99CFB" w14:textId="77777777" w:rsidR="00996AD7" w:rsidRDefault="00996AD7">
            <w:pPr>
              <w:rPr>
                <w:rFonts w:ascii="宋体"/>
                <w:vanish/>
              </w:rPr>
            </w:pPr>
          </w:p>
        </w:tc>
        <w:tc>
          <w:tcPr>
            <w:tcW w:w="0" w:type="auto"/>
            <w:gridSpan w:val="3"/>
            <w:shd w:val="clear" w:color="auto" w:fill="auto"/>
            <w:vAlign w:val="bottom"/>
          </w:tcPr>
          <w:p w14:paraId="39D99CFC" w14:textId="77777777" w:rsidR="00996AD7" w:rsidRDefault="00996AD7">
            <w:pPr>
              <w:rPr>
                <w:rFonts w:ascii="宋体"/>
                <w:vanish/>
              </w:rPr>
            </w:pPr>
          </w:p>
        </w:tc>
        <w:tc>
          <w:tcPr>
            <w:tcW w:w="0" w:type="auto"/>
            <w:gridSpan w:val="3"/>
            <w:shd w:val="clear" w:color="auto" w:fill="auto"/>
            <w:vAlign w:val="bottom"/>
          </w:tcPr>
          <w:p w14:paraId="39D99CFD" w14:textId="77777777" w:rsidR="00996AD7" w:rsidRDefault="00996AD7">
            <w:pPr>
              <w:rPr>
                <w:rFonts w:ascii="宋体"/>
                <w:vanish/>
              </w:rPr>
            </w:pPr>
          </w:p>
        </w:tc>
        <w:tc>
          <w:tcPr>
            <w:tcW w:w="0" w:type="auto"/>
            <w:gridSpan w:val="3"/>
            <w:shd w:val="clear" w:color="auto" w:fill="auto"/>
            <w:vAlign w:val="bottom"/>
          </w:tcPr>
          <w:p w14:paraId="39D99CFE" w14:textId="77777777" w:rsidR="00996AD7" w:rsidRDefault="00996AD7">
            <w:pPr>
              <w:rPr>
                <w:rFonts w:ascii="宋体"/>
                <w:vanish/>
              </w:rPr>
            </w:pPr>
          </w:p>
        </w:tc>
        <w:tc>
          <w:tcPr>
            <w:tcW w:w="0" w:type="auto"/>
            <w:gridSpan w:val="3"/>
            <w:shd w:val="clear" w:color="auto" w:fill="auto"/>
            <w:vAlign w:val="bottom"/>
          </w:tcPr>
          <w:p w14:paraId="39D99CFF" w14:textId="77777777" w:rsidR="00996AD7" w:rsidRDefault="00996AD7">
            <w:pPr>
              <w:rPr>
                <w:rFonts w:ascii="宋体"/>
                <w:vanish/>
              </w:rPr>
            </w:pPr>
          </w:p>
        </w:tc>
      </w:tr>
      <w:tr w:rsidR="00996AD7" w14:paraId="39D99D0A" w14:textId="77777777">
        <w:tc>
          <w:tcPr>
            <w:tcW w:w="0" w:type="auto"/>
            <w:gridSpan w:val="3"/>
            <w:shd w:val="clear" w:color="auto" w:fill="auto"/>
            <w:tcMar>
              <w:top w:w="40" w:type="dxa"/>
              <w:left w:w="20" w:type="dxa"/>
              <w:bottom w:w="40" w:type="dxa"/>
              <w:right w:w="20" w:type="dxa"/>
            </w:tcMar>
          </w:tcPr>
          <w:p w14:paraId="39D99D01" w14:textId="77777777" w:rsidR="00996AD7" w:rsidRDefault="00D96458">
            <w:pPr>
              <w:textAlignment w:val="top"/>
            </w:pPr>
            <w:r>
              <w:rPr>
                <w:rFonts w:ascii="Arial" w:eastAsia="宋体" w:hAnsi="Arial" w:cs="Arial"/>
                <w:b/>
                <w:bCs/>
                <w:color w:val="262626"/>
                <w:sz w:val="18"/>
                <w:szCs w:val="18"/>
              </w:rPr>
              <w:t>Total debt</w:t>
            </w:r>
          </w:p>
        </w:tc>
        <w:tc>
          <w:tcPr>
            <w:tcW w:w="0" w:type="auto"/>
            <w:gridSpan w:val="3"/>
            <w:shd w:val="clear" w:color="auto" w:fill="auto"/>
            <w:tcMar>
              <w:top w:w="0" w:type="dxa"/>
              <w:left w:w="20" w:type="dxa"/>
              <w:bottom w:w="0" w:type="dxa"/>
              <w:right w:w="20" w:type="dxa"/>
            </w:tcMar>
            <w:vAlign w:val="bottom"/>
          </w:tcPr>
          <w:p w14:paraId="39D99D02"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9D03" w14:textId="77777777" w:rsidR="00996AD7" w:rsidRDefault="00D964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9D04" w14:textId="77777777" w:rsidR="00996AD7" w:rsidRDefault="00D96458">
            <w:pPr>
              <w:jc w:val="right"/>
              <w:textAlignment w:val="bottom"/>
            </w:pPr>
            <w:r>
              <w:rPr>
                <w:rFonts w:ascii="Arial" w:eastAsia="宋体" w:hAnsi="Arial" w:cs="Arial"/>
                <w:b/>
                <w:bCs/>
                <w:color w:val="0068B5"/>
                <w:sz w:val="18"/>
                <w:szCs w:val="18"/>
              </w:rPr>
              <w:t>40,304</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9D0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D06" w14:textId="77777777" w:rsidR="00996AD7" w:rsidRDefault="00996AD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39D99D07" w14:textId="77777777" w:rsidR="00996AD7" w:rsidRDefault="00D964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39D99D08" w14:textId="77777777" w:rsidR="00996AD7" w:rsidRDefault="00D96458">
            <w:pPr>
              <w:jc w:val="right"/>
              <w:textAlignment w:val="bottom"/>
            </w:pPr>
            <w:r>
              <w:rPr>
                <w:rFonts w:ascii="Arial" w:eastAsia="宋体" w:hAnsi="Arial" w:cs="Arial"/>
                <w:b/>
                <w:bCs/>
                <w:color w:val="262626"/>
                <w:sz w:val="18"/>
                <w:szCs w:val="18"/>
              </w:rPr>
              <w:t>36,401</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39D99D09" w14:textId="77777777" w:rsidR="00996AD7" w:rsidRDefault="00996AD7">
            <w:pPr>
              <w:jc w:val="right"/>
              <w:rPr>
                <w:rFonts w:ascii="宋体"/>
              </w:rPr>
            </w:pPr>
          </w:p>
        </w:tc>
      </w:tr>
    </w:tbl>
    <w:p w14:paraId="39D99D0B" w14:textId="77777777" w:rsidR="00996AD7" w:rsidRDefault="00D96458">
      <w:pPr>
        <w:spacing w:before="180" w:after="180"/>
      </w:pPr>
      <w:r>
        <w:rPr>
          <w:rFonts w:ascii="Arial" w:eastAsia="宋体" w:hAnsi="Arial" w:cs="Arial"/>
          <w:color w:val="262626"/>
          <w:sz w:val="18"/>
          <w:szCs w:val="18"/>
        </w:rPr>
        <w:t xml:space="preserve">Cash generated by operations is our primary source of liquidity. When assessing our sources of </w:t>
      </w:r>
      <w:r>
        <w:rPr>
          <w:rFonts w:ascii="Arial" w:eastAsia="宋体" w:hAnsi="Arial" w:cs="Arial"/>
          <w:color w:val="262626"/>
          <w:sz w:val="18"/>
          <w:szCs w:val="18"/>
        </w:rPr>
        <w:t>liquidity, we include our total cash and investments</w:t>
      </w:r>
      <w:r>
        <w:rPr>
          <w:rFonts w:ascii="Arial" w:eastAsia="宋体" w:hAnsi="Arial" w:cs="Arial"/>
          <w:color w:val="262626"/>
          <w:sz w:val="11"/>
          <w:szCs w:val="11"/>
        </w:rPr>
        <w:t>1</w:t>
      </w:r>
      <w:r>
        <w:rPr>
          <w:rFonts w:ascii="Arial" w:eastAsia="宋体" w:hAnsi="Arial" w:cs="Arial"/>
          <w:color w:val="262626"/>
          <w:sz w:val="18"/>
          <w:szCs w:val="18"/>
        </w:rPr>
        <w:t xml:space="preserve"> as shown in the preceding table. We maintain a diverse investment portfolio that we continually analyze based on issuer, industry, and country. Substantially all of our investments in debt instruments a</w:t>
      </w:r>
      <w:r>
        <w:rPr>
          <w:rFonts w:ascii="Arial" w:eastAsia="宋体" w:hAnsi="Arial" w:cs="Arial"/>
          <w:color w:val="262626"/>
          <w:sz w:val="18"/>
          <w:szCs w:val="18"/>
        </w:rPr>
        <w:t>nd financing receivables are in investment-grade securities.</w:t>
      </w:r>
    </w:p>
    <w:p w14:paraId="39D99D0C" w14:textId="77777777" w:rsidR="00996AD7" w:rsidRDefault="00D96458">
      <w:pPr>
        <w:spacing w:after="180"/>
      </w:pPr>
      <w:r>
        <w:rPr>
          <w:rFonts w:ascii="Arial" w:eastAsia="宋体" w:hAnsi="Arial" w:cs="Arial"/>
          <w:color w:val="262626"/>
          <w:sz w:val="18"/>
          <w:szCs w:val="18"/>
        </w:rPr>
        <w:t xml:space="preserve">In the third quarter of 2021, we issued a total of $5.0 billion aggregate principal senior notes, and in the first quarter of 2021, we entered into a $5.0 billion variable-rate revolving </w:t>
      </w:r>
      <w:r>
        <w:rPr>
          <w:rFonts w:ascii="Arial" w:eastAsia="宋体" w:hAnsi="Arial" w:cs="Arial"/>
          <w:color w:val="262626"/>
          <w:sz w:val="18"/>
          <w:szCs w:val="18"/>
        </w:rPr>
        <w:t>credit facility which matures in March 2026. Other potential sources of liquidity include our commercial paper program and our automatic shelf registration statement on file with the SEC, pursuant to which we may offer an unspecified amount of debt, equity</w:t>
      </w:r>
      <w:r>
        <w:rPr>
          <w:rFonts w:ascii="Arial" w:eastAsia="宋体" w:hAnsi="Arial" w:cs="Arial"/>
          <w:color w:val="262626"/>
          <w:sz w:val="18"/>
          <w:szCs w:val="18"/>
        </w:rPr>
        <w:t>, and other securities. Under our commercial paper program, we have an ongoing authorization from our Board of Directors to borrow up to $10.0 billion. As of September 25, 2021, we had no outstanding commercial paper or borrowings on the revolving credit f</w:t>
      </w:r>
      <w:r>
        <w:rPr>
          <w:rFonts w:ascii="Arial" w:eastAsia="宋体" w:hAnsi="Arial" w:cs="Arial"/>
          <w:color w:val="262626"/>
          <w:sz w:val="18"/>
          <w:szCs w:val="18"/>
        </w:rPr>
        <w:t>acility.</w:t>
      </w:r>
    </w:p>
    <w:p w14:paraId="39D99D0D" w14:textId="77777777" w:rsidR="00996AD7" w:rsidRDefault="00D96458">
      <w:pPr>
        <w:spacing w:after="180"/>
      </w:pPr>
      <w:r>
        <w:rPr>
          <w:rFonts w:ascii="Arial" w:eastAsia="宋体" w:hAnsi="Arial" w:cs="Arial"/>
          <w:color w:val="262626"/>
          <w:sz w:val="18"/>
          <w:szCs w:val="18"/>
        </w:rPr>
        <w:t>In the first quarter of 2021, we repurchased the remaining $2.4 billion in shares of our planned $20.0 billion share repurchases announced in October 2019.</w:t>
      </w:r>
    </w:p>
    <w:p w14:paraId="39D99D0E" w14:textId="77777777" w:rsidR="00996AD7" w:rsidRDefault="00D96458">
      <w:pPr>
        <w:spacing w:after="180"/>
      </w:pPr>
      <w:r>
        <w:rPr>
          <w:rFonts w:ascii="Arial" w:eastAsia="宋体" w:hAnsi="Arial" w:cs="Arial"/>
          <w:color w:val="262626"/>
          <w:sz w:val="18"/>
          <w:szCs w:val="18"/>
        </w:rPr>
        <w:t>As described above in “Gross Margin,” we anticipate that we will accelerate our investments</w:t>
      </w:r>
      <w:r>
        <w:rPr>
          <w:rFonts w:ascii="Arial" w:eastAsia="宋体" w:hAnsi="Arial" w:cs="Arial"/>
          <w:color w:val="262626"/>
          <w:sz w:val="18"/>
          <w:szCs w:val="18"/>
        </w:rPr>
        <w:t xml:space="preserve"> in manufacturing capacity and R&amp;D, including for our process technology roadmap. While we are analyzing the investment plans required to achieve our objectives, we forecast that our capital expenditures in 2022 will be approximately in the $25-28 billion </w:t>
      </w:r>
      <w:r>
        <w:rPr>
          <w:rFonts w:ascii="Arial" w:eastAsia="宋体" w:hAnsi="Arial" w:cs="Arial"/>
          <w:color w:val="262626"/>
          <w:sz w:val="18"/>
          <w:szCs w:val="18"/>
        </w:rPr>
        <w:t>range, with potential for further growth in subsequent years. We expect our cash from operations to be strong, but our capital investments to pressure our free cash flow in the short term.</w:t>
      </w:r>
    </w:p>
    <w:p w14:paraId="39D99D0F" w14:textId="77777777" w:rsidR="00996AD7" w:rsidRDefault="00D96458">
      <w:pPr>
        <w:spacing w:after="180"/>
      </w:pPr>
      <w:r>
        <w:rPr>
          <w:rFonts w:ascii="Arial" w:eastAsia="宋体" w:hAnsi="Arial" w:cs="Arial"/>
          <w:color w:val="262626"/>
          <w:sz w:val="18"/>
          <w:szCs w:val="18"/>
        </w:rPr>
        <w:t>We believe we have sufficient sources of funding to meet our busine</w:t>
      </w:r>
      <w:r>
        <w:rPr>
          <w:rFonts w:ascii="Arial" w:eastAsia="宋体" w:hAnsi="Arial" w:cs="Arial"/>
          <w:color w:val="262626"/>
          <w:sz w:val="18"/>
          <w:szCs w:val="18"/>
        </w:rPr>
        <w:t>ss requirements in the next 12 months, including capital expenditures for worldwide manufacturing and assembly and test; working capital requirements; and acquisitions, strategic investments, and dividends.</w:t>
      </w:r>
    </w:p>
    <w:tbl>
      <w:tblPr>
        <w:tblW w:w="10875" w:type="dxa"/>
        <w:tblCellMar>
          <w:top w:w="15" w:type="dxa"/>
          <w:left w:w="15" w:type="dxa"/>
          <w:bottom w:w="15" w:type="dxa"/>
          <w:right w:w="15" w:type="dxa"/>
        </w:tblCellMar>
        <w:tblLook w:val="04A0" w:firstRow="1" w:lastRow="0" w:firstColumn="1" w:lastColumn="0" w:noHBand="0" w:noVBand="1"/>
      </w:tblPr>
      <w:tblGrid>
        <w:gridCol w:w="37"/>
        <w:gridCol w:w="93"/>
        <w:gridCol w:w="36"/>
        <w:gridCol w:w="36"/>
        <w:gridCol w:w="3097"/>
        <w:gridCol w:w="36"/>
        <w:gridCol w:w="36"/>
        <w:gridCol w:w="356"/>
        <w:gridCol w:w="36"/>
        <w:gridCol w:w="36"/>
        <w:gridCol w:w="3321"/>
        <w:gridCol w:w="36"/>
        <w:gridCol w:w="36"/>
        <w:gridCol w:w="313"/>
        <w:gridCol w:w="36"/>
        <w:gridCol w:w="36"/>
        <w:gridCol w:w="3262"/>
        <w:gridCol w:w="36"/>
      </w:tblGrid>
      <w:tr w:rsidR="00996AD7" w14:paraId="39D99D22" w14:textId="77777777">
        <w:tc>
          <w:tcPr>
            <w:tcW w:w="20" w:type="dxa"/>
            <w:shd w:val="clear" w:color="auto" w:fill="auto"/>
            <w:vAlign w:val="bottom"/>
          </w:tcPr>
          <w:p w14:paraId="39D99D10" w14:textId="77777777" w:rsidR="00996AD7" w:rsidRDefault="00996AD7">
            <w:pPr>
              <w:rPr>
                <w:rFonts w:ascii="宋体"/>
              </w:rPr>
            </w:pPr>
          </w:p>
        </w:tc>
        <w:tc>
          <w:tcPr>
            <w:tcW w:w="95" w:type="dxa"/>
            <w:shd w:val="clear" w:color="auto" w:fill="auto"/>
            <w:vAlign w:val="bottom"/>
          </w:tcPr>
          <w:p w14:paraId="39D99D11" w14:textId="77777777" w:rsidR="00996AD7" w:rsidRDefault="00996AD7">
            <w:pPr>
              <w:rPr>
                <w:rFonts w:ascii="宋体"/>
              </w:rPr>
            </w:pPr>
          </w:p>
        </w:tc>
        <w:tc>
          <w:tcPr>
            <w:tcW w:w="20" w:type="dxa"/>
            <w:shd w:val="clear" w:color="auto" w:fill="auto"/>
            <w:vAlign w:val="bottom"/>
          </w:tcPr>
          <w:p w14:paraId="39D99D12" w14:textId="77777777" w:rsidR="00996AD7" w:rsidRDefault="00996AD7">
            <w:pPr>
              <w:rPr>
                <w:rFonts w:ascii="宋体"/>
              </w:rPr>
            </w:pPr>
          </w:p>
        </w:tc>
        <w:tc>
          <w:tcPr>
            <w:tcW w:w="20" w:type="dxa"/>
            <w:shd w:val="clear" w:color="auto" w:fill="auto"/>
            <w:vAlign w:val="bottom"/>
          </w:tcPr>
          <w:p w14:paraId="39D99D13" w14:textId="77777777" w:rsidR="00996AD7" w:rsidRDefault="00996AD7">
            <w:pPr>
              <w:rPr>
                <w:rFonts w:ascii="宋体"/>
              </w:rPr>
            </w:pPr>
          </w:p>
        </w:tc>
        <w:tc>
          <w:tcPr>
            <w:tcW w:w="3155" w:type="dxa"/>
            <w:shd w:val="clear" w:color="auto" w:fill="auto"/>
            <w:vAlign w:val="bottom"/>
          </w:tcPr>
          <w:p w14:paraId="39D99D14" w14:textId="77777777" w:rsidR="00996AD7" w:rsidRDefault="00996AD7">
            <w:pPr>
              <w:rPr>
                <w:rFonts w:ascii="宋体"/>
              </w:rPr>
            </w:pPr>
          </w:p>
        </w:tc>
        <w:tc>
          <w:tcPr>
            <w:tcW w:w="20" w:type="dxa"/>
            <w:shd w:val="clear" w:color="auto" w:fill="auto"/>
            <w:vAlign w:val="bottom"/>
          </w:tcPr>
          <w:p w14:paraId="39D99D15" w14:textId="77777777" w:rsidR="00996AD7" w:rsidRDefault="00996AD7">
            <w:pPr>
              <w:rPr>
                <w:rFonts w:ascii="宋体"/>
              </w:rPr>
            </w:pPr>
          </w:p>
        </w:tc>
        <w:tc>
          <w:tcPr>
            <w:tcW w:w="20" w:type="dxa"/>
            <w:shd w:val="clear" w:color="auto" w:fill="auto"/>
            <w:vAlign w:val="bottom"/>
          </w:tcPr>
          <w:p w14:paraId="39D99D16" w14:textId="77777777" w:rsidR="00996AD7" w:rsidRDefault="00996AD7">
            <w:pPr>
              <w:rPr>
                <w:rFonts w:ascii="宋体"/>
              </w:rPr>
            </w:pPr>
          </w:p>
        </w:tc>
        <w:tc>
          <w:tcPr>
            <w:tcW w:w="365" w:type="dxa"/>
            <w:shd w:val="clear" w:color="auto" w:fill="auto"/>
            <w:vAlign w:val="bottom"/>
          </w:tcPr>
          <w:p w14:paraId="39D99D17" w14:textId="77777777" w:rsidR="00996AD7" w:rsidRDefault="00996AD7">
            <w:pPr>
              <w:rPr>
                <w:rFonts w:ascii="宋体"/>
              </w:rPr>
            </w:pPr>
          </w:p>
        </w:tc>
        <w:tc>
          <w:tcPr>
            <w:tcW w:w="20" w:type="dxa"/>
            <w:shd w:val="clear" w:color="auto" w:fill="auto"/>
            <w:vAlign w:val="bottom"/>
          </w:tcPr>
          <w:p w14:paraId="39D99D18" w14:textId="77777777" w:rsidR="00996AD7" w:rsidRDefault="00996AD7">
            <w:pPr>
              <w:rPr>
                <w:rFonts w:ascii="宋体"/>
              </w:rPr>
            </w:pPr>
          </w:p>
        </w:tc>
        <w:tc>
          <w:tcPr>
            <w:tcW w:w="20" w:type="dxa"/>
            <w:shd w:val="clear" w:color="auto" w:fill="auto"/>
            <w:vAlign w:val="bottom"/>
          </w:tcPr>
          <w:p w14:paraId="39D99D19" w14:textId="77777777" w:rsidR="00996AD7" w:rsidRDefault="00996AD7">
            <w:pPr>
              <w:rPr>
                <w:rFonts w:ascii="宋体"/>
              </w:rPr>
            </w:pPr>
          </w:p>
        </w:tc>
        <w:tc>
          <w:tcPr>
            <w:tcW w:w="3380" w:type="dxa"/>
            <w:shd w:val="clear" w:color="auto" w:fill="auto"/>
            <w:vAlign w:val="bottom"/>
          </w:tcPr>
          <w:p w14:paraId="39D99D1A" w14:textId="77777777" w:rsidR="00996AD7" w:rsidRDefault="00996AD7">
            <w:pPr>
              <w:rPr>
                <w:rFonts w:ascii="宋体"/>
              </w:rPr>
            </w:pPr>
          </w:p>
        </w:tc>
        <w:tc>
          <w:tcPr>
            <w:tcW w:w="20" w:type="dxa"/>
            <w:shd w:val="clear" w:color="auto" w:fill="auto"/>
            <w:vAlign w:val="bottom"/>
          </w:tcPr>
          <w:p w14:paraId="39D99D1B" w14:textId="77777777" w:rsidR="00996AD7" w:rsidRDefault="00996AD7">
            <w:pPr>
              <w:rPr>
                <w:rFonts w:ascii="宋体"/>
              </w:rPr>
            </w:pPr>
          </w:p>
        </w:tc>
        <w:tc>
          <w:tcPr>
            <w:tcW w:w="20" w:type="dxa"/>
            <w:shd w:val="clear" w:color="auto" w:fill="auto"/>
            <w:vAlign w:val="bottom"/>
          </w:tcPr>
          <w:p w14:paraId="39D99D1C" w14:textId="77777777" w:rsidR="00996AD7" w:rsidRDefault="00996AD7">
            <w:pPr>
              <w:rPr>
                <w:rFonts w:ascii="宋体"/>
              </w:rPr>
            </w:pPr>
          </w:p>
        </w:tc>
        <w:tc>
          <w:tcPr>
            <w:tcW w:w="320" w:type="dxa"/>
            <w:shd w:val="clear" w:color="auto" w:fill="auto"/>
            <w:vAlign w:val="bottom"/>
          </w:tcPr>
          <w:p w14:paraId="39D99D1D" w14:textId="77777777" w:rsidR="00996AD7" w:rsidRDefault="00996AD7">
            <w:pPr>
              <w:rPr>
                <w:rFonts w:ascii="宋体"/>
              </w:rPr>
            </w:pPr>
          </w:p>
        </w:tc>
        <w:tc>
          <w:tcPr>
            <w:tcW w:w="20" w:type="dxa"/>
            <w:shd w:val="clear" w:color="auto" w:fill="auto"/>
            <w:vAlign w:val="bottom"/>
          </w:tcPr>
          <w:p w14:paraId="39D99D1E" w14:textId="77777777" w:rsidR="00996AD7" w:rsidRDefault="00996AD7">
            <w:pPr>
              <w:rPr>
                <w:rFonts w:ascii="宋体"/>
              </w:rPr>
            </w:pPr>
          </w:p>
        </w:tc>
        <w:tc>
          <w:tcPr>
            <w:tcW w:w="20" w:type="dxa"/>
            <w:shd w:val="clear" w:color="auto" w:fill="auto"/>
            <w:vAlign w:val="bottom"/>
          </w:tcPr>
          <w:p w14:paraId="39D99D1F" w14:textId="77777777" w:rsidR="00996AD7" w:rsidRDefault="00996AD7">
            <w:pPr>
              <w:rPr>
                <w:rFonts w:ascii="宋体"/>
              </w:rPr>
            </w:pPr>
          </w:p>
        </w:tc>
        <w:tc>
          <w:tcPr>
            <w:tcW w:w="3320" w:type="dxa"/>
            <w:shd w:val="clear" w:color="auto" w:fill="auto"/>
            <w:vAlign w:val="bottom"/>
          </w:tcPr>
          <w:p w14:paraId="39D99D20" w14:textId="77777777" w:rsidR="00996AD7" w:rsidRDefault="00996AD7">
            <w:pPr>
              <w:rPr>
                <w:rFonts w:ascii="宋体"/>
              </w:rPr>
            </w:pPr>
          </w:p>
        </w:tc>
        <w:tc>
          <w:tcPr>
            <w:tcW w:w="20" w:type="dxa"/>
            <w:shd w:val="clear" w:color="auto" w:fill="auto"/>
            <w:vAlign w:val="bottom"/>
          </w:tcPr>
          <w:p w14:paraId="39D99D21" w14:textId="77777777" w:rsidR="00996AD7" w:rsidRDefault="00996AD7">
            <w:pPr>
              <w:rPr>
                <w:rFonts w:ascii="宋体"/>
              </w:rPr>
            </w:pPr>
          </w:p>
        </w:tc>
      </w:tr>
      <w:tr w:rsidR="00996AD7" w14:paraId="39D99D29" w14:textId="77777777">
        <w:trPr>
          <w:trHeight w:val="280"/>
        </w:trPr>
        <w:tc>
          <w:tcPr>
            <w:tcW w:w="0" w:type="auto"/>
            <w:gridSpan w:val="3"/>
            <w:shd w:val="clear" w:color="auto" w:fill="auto"/>
            <w:tcMar>
              <w:top w:w="0" w:type="dxa"/>
              <w:left w:w="20" w:type="dxa"/>
              <w:bottom w:w="0" w:type="dxa"/>
              <w:right w:w="20" w:type="dxa"/>
            </w:tcMar>
            <w:vAlign w:val="bottom"/>
          </w:tcPr>
          <w:p w14:paraId="39D99D23"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D24" w14:textId="77777777" w:rsidR="00996AD7" w:rsidRDefault="00D96458">
            <w:pPr>
              <w:jc w:val="center"/>
              <w:textAlignment w:val="bottom"/>
            </w:pPr>
            <w:r>
              <w:rPr>
                <w:rFonts w:ascii="Arial" w:eastAsia="宋体" w:hAnsi="Arial" w:cs="Arial"/>
                <w:color w:val="0068B5"/>
                <w:sz w:val="20"/>
                <w:szCs w:val="20"/>
              </w:rPr>
              <w:t xml:space="preserve">Cash from </w:t>
            </w:r>
            <w:r>
              <w:rPr>
                <w:rFonts w:ascii="Arial" w:eastAsia="宋体" w:hAnsi="Arial" w:cs="Arial"/>
                <w:color w:val="0068B5"/>
                <w:sz w:val="20"/>
                <w:szCs w:val="20"/>
              </w:rPr>
              <w:t>Operations $B</w:t>
            </w:r>
          </w:p>
        </w:tc>
        <w:tc>
          <w:tcPr>
            <w:tcW w:w="0" w:type="auto"/>
            <w:gridSpan w:val="3"/>
            <w:shd w:val="clear" w:color="auto" w:fill="auto"/>
            <w:tcMar>
              <w:top w:w="0" w:type="dxa"/>
              <w:left w:w="20" w:type="dxa"/>
              <w:bottom w:w="0" w:type="dxa"/>
              <w:right w:w="20" w:type="dxa"/>
            </w:tcMar>
            <w:vAlign w:val="bottom"/>
          </w:tcPr>
          <w:p w14:paraId="39D99D25"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D26" w14:textId="77777777" w:rsidR="00996AD7" w:rsidRDefault="00D96458">
            <w:pPr>
              <w:jc w:val="center"/>
              <w:textAlignment w:val="bottom"/>
            </w:pPr>
            <w:r>
              <w:rPr>
                <w:rFonts w:ascii="Arial" w:eastAsia="宋体" w:hAnsi="Arial" w:cs="Arial"/>
                <w:color w:val="0068B5"/>
                <w:sz w:val="20"/>
                <w:szCs w:val="20"/>
              </w:rPr>
              <w:t>Capital Expenditures $B</w:t>
            </w:r>
          </w:p>
        </w:tc>
        <w:tc>
          <w:tcPr>
            <w:tcW w:w="0" w:type="auto"/>
            <w:gridSpan w:val="3"/>
            <w:shd w:val="clear" w:color="auto" w:fill="auto"/>
            <w:tcMar>
              <w:top w:w="0" w:type="dxa"/>
              <w:left w:w="20" w:type="dxa"/>
              <w:bottom w:w="0" w:type="dxa"/>
              <w:right w:w="20" w:type="dxa"/>
            </w:tcMar>
            <w:vAlign w:val="bottom"/>
          </w:tcPr>
          <w:p w14:paraId="39D99D27" w14:textId="77777777" w:rsidR="00996AD7" w:rsidRDefault="00996AD7">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39D99D28" w14:textId="77777777" w:rsidR="00996AD7" w:rsidRDefault="00D96458">
            <w:pPr>
              <w:jc w:val="center"/>
              <w:textAlignment w:val="bottom"/>
            </w:pPr>
            <w:r>
              <w:rPr>
                <w:rFonts w:ascii="Arial" w:eastAsia="宋体" w:hAnsi="Arial" w:cs="Arial"/>
                <w:color w:val="0068B5"/>
                <w:sz w:val="20"/>
                <w:szCs w:val="20"/>
              </w:rPr>
              <w:t>Cash to Stockholders $B</w:t>
            </w:r>
          </w:p>
        </w:tc>
      </w:tr>
    </w:tbl>
    <w:p w14:paraId="39D99D2A"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26" wp14:editId="39D9A427">
            <wp:extent cx="304800" cy="304800"/>
            <wp:effectExtent l="0" t="0" r="0" b="0"/>
            <wp:docPr id="80" name="图片 131"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31" descr="IMG_31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Viewer5_files/intc-20210</w:instrText>
      </w:r>
      <w:r>
        <w:rPr>
          <w:rFonts w:ascii="宋体" w:eastAsia="宋体" w:hAnsi="宋体" w:cs="宋体"/>
        </w:rPr>
        <w:instrText xml:space="preserve">925_g26.jpg"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28" wp14:editId="39D9A429">
            <wp:extent cx="304800" cy="304800"/>
            <wp:effectExtent l="0" t="0" r="0" b="0"/>
            <wp:docPr id="81" name="图片 132"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2" descr="IMG_31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2A" wp14:editId="39D9A42B">
            <wp:extent cx="304800" cy="304800"/>
            <wp:effectExtent l="0" t="0" r="0" b="0"/>
            <wp:docPr id="82" name="图片 133"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3"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95" w:type="dxa"/>
        <w:tblCellMar>
          <w:top w:w="15" w:type="dxa"/>
          <w:left w:w="15" w:type="dxa"/>
          <w:bottom w:w="15" w:type="dxa"/>
          <w:right w:w="15" w:type="dxa"/>
        </w:tblCellMar>
        <w:tblLook w:val="04A0" w:firstRow="1" w:lastRow="0" w:firstColumn="1" w:lastColumn="0" w:noHBand="0" w:noVBand="1"/>
      </w:tblPr>
      <w:tblGrid>
        <w:gridCol w:w="36"/>
        <w:gridCol w:w="3488"/>
        <w:gridCol w:w="36"/>
        <w:gridCol w:w="36"/>
        <w:gridCol w:w="65"/>
        <w:gridCol w:w="36"/>
        <w:gridCol w:w="36"/>
        <w:gridCol w:w="3489"/>
        <w:gridCol w:w="36"/>
        <w:gridCol w:w="36"/>
        <w:gridCol w:w="94"/>
        <w:gridCol w:w="36"/>
        <w:gridCol w:w="36"/>
        <w:gridCol w:w="3499"/>
        <w:gridCol w:w="36"/>
      </w:tblGrid>
      <w:tr w:rsidR="00996AD7" w14:paraId="39D99D3A" w14:textId="77777777">
        <w:tc>
          <w:tcPr>
            <w:tcW w:w="20" w:type="dxa"/>
            <w:shd w:val="clear" w:color="auto" w:fill="auto"/>
            <w:vAlign w:val="bottom"/>
          </w:tcPr>
          <w:p w14:paraId="39D99D2B" w14:textId="77777777" w:rsidR="00996AD7" w:rsidRDefault="00996AD7">
            <w:pPr>
              <w:rPr>
                <w:rFonts w:ascii="宋体"/>
              </w:rPr>
            </w:pPr>
          </w:p>
        </w:tc>
        <w:tc>
          <w:tcPr>
            <w:tcW w:w="3545" w:type="dxa"/>
            <w:shd w:val="clear" w:color="auto" w:fill="auto"/>
            <w:vAlign w:val="bottom"/>
          </w:tcPr>
          <w:p w14:paraId="39D99D2C" w14:textId="77777777" w:rsidR="00996AD7" w:rsidRDefault="00996AD7">
            <w:pPr>
              <w:rPr>
                <w:rFonts w:ascii="宋体"/>
              </w:rPr>
            </w:pPr>
          </w:p>
        </w:tc>
        <w:tc>
          <w:tcPr>
            <w:tcW w:w="20" w:type="dxa"/>
            <w:shd w:val="clear" w:color="auto" w:fill="auto"/>
            <w:vAlign w:val="bottom"/>
          </w:tcPr>
          <w:p w14:paraId="39D99D2D" w14:textId="77777777" w:rsidR="00996AD7" w:rsidRDefault="00996AD7">
            <w:pPr>
              <w:rPr>
                <w:rFonts w:ascii="宋体"/>
              </w:rPr>
            </w:pPr>
          </w:p>
        </w:tc>
        <w:tc>
          <w:tcPr>
            <w:tcW w:w="20" w:type="dxa"/>
            <w:shd w:val="clear" w:color="auto" w:fill="auto"/>
            <w:vAlign w:val="bottom"/>
          </w:tcPr>
          <w:p w14:paraId="39D99D2E" w14:textId="77777777" w:rsidR="00996AD7" w:rsidRDefault="00996AD7">
            <w:pPr>
              <w:rPr>
                <w:rFonts w:ascii="宋体"/>
              </w:rPr>
            </w:pPr>
          </w:p>
        </w:tc>
        <w:tc>
          <w:tcPr>
            <w:tcW w:w="65" w:type="dxa"/>
            <w:shd w:val="clear" w:color="auto" w:fill="auto"/>
            <w:vAlign w:val="bottom"/>
          </w:tcPr>
          <w:p w14:paraId="39D99D2F" w14:textId="77777777" w:rsidR="00996AD7" w:rsidRDefault="00996AD7">
            <w:pPr>
              <w:rPr>
                <w:rFonts w:ascii="宋体"/>
              </w:rPr>
            </w:pPr>
          </w:p>
        </w:tc>
        <w:tc>
          <w:tcPr>
            <w:tcW w:w="20" w:type="dxa"/>
            <w:shd w:val="clear" w:color="auto" w:fill="auto"/>
            <w:vAlign w:val="bottom"/>
          </w:tcPr>
          <w:p w14:paraId="39D99D30" w14:textId="77777777" w:rsidR="00996AD7" w:rsidRDefault="00996AD7">
            <w:pPr>
              <w:rPr>
                <w:rFonts w:ascii="宋体"/>
              </w:rPr>
            </w:pPr>
          </w:p>
        </w:tc>
        <w:tc>
          <w:tcPr>
            <w:tcW w:w="20" w:type="dxa"/>
            <w:shd w:val="clear" w:color="auto" w:fill="auto"/>
            <w:vAlign w:val="bottom"/>
          </w:tcPr>
          <w:p w14:paraId="39D99D31" w14:textId="77777777" w:rsidR="00996AD7" w:rsidRDefault="00996AD7">
            <w:pPr>
              <w:rPr>
                <w:rFonts w:ascii="宋体"/>
              </w:rPr>
            </w:pPr>
          </w:p>
        </w:tc>
        <w:tc>
          <w:tcPr>
            <w:tcW w:w="3545" w:type="dxa"/>
            <w:shd w:val="clear" w:color="auto" w:fill="auto"/>
            <w:vAlign w:val="bottom"/>
          </w:tcPr>
          <w:p w14:paraId="39D99D32" w14:textId="77777777" w:rsidR="00996AD7" w:rsidRDefault="00996AD7">
            <w:pPr>
              <w:rPr>
                <w:rFonts w:ascii="宋体"/>
              </w:rPr>
            </w:pPr>
          </w:p>
        </w:tc>
        <w:tc>
          <w:tcPr>
            <w:tcW w:w="20" w:type="dxa"/>
            <w:shd w:val="clear" w:color="auto" w:fill="auto"/>
            <w:vAlign w:val="bottom"/>
          </w:tcPr>
          <w:p w14:paraId="39D99D33" w14:textId="77777777" w:rsidR="00996AD7" w:rsidRDefault="00996AD7">
            <w:pPr>
              <w:rPr>
                <w:rFonts w:ascii="宋体"/>
              </w:rPr>
            </w:pPr>
          </w:p>
        </w:tc>
        <w:tc>
          <w:tcPr>
            <w:tcW w:w="20" w:type="dxa"/>
            <w:shd w:val="clear" w:color="auto" w:fill="auto"/>
            <w:vAlign w:val="bottom"/>
          </w:tcPr>
          <w:p w14:paraId="39D99D34" w14:textId="77777777" w:rsidR="00996AD7" w:rsidRDefault="00996AD7">
            <w:pPr>
              <w:rPr>
                <w:rFonts w:ascii="宋体"/>
              </w:rPr>
            </w:pPr>
          </w:p>
        </w:tc>
        <w:tc>
          <w:tcPr>
            <w:tcW w:w="95" w:type="dxa"/>
            <w:shd w:val="clear" w:color="auto" w:fill="auto"/>
            <w:vAlign w:val="bottom"/>
          </w:tcPr>
          <w:p w14:paraId="39D99D35" w14:textId="77777777" w:rsidR="00996AD7" w:rsidRDefault="00996AD7">
            <w:pPr>
              <w:rPr>
                <w:rFonts w:ascii="宋体"/>
              </w:rPr>
            </w:pPr>
          </w:p>
        </w:tc>
        <w:tc>
          <w:tcPr>
            <w:tcW w:w="20" w:type="dxa"/>
            <w:shd w:val="clear" w:color="auto" w:fill="auto"/>
            <w:vAlign w:val="bottom"/>
          </w:tcPr>
          <w:p w14:paraId="39D99D36" w14:textId="77777777" w:rsidR="00996AD7" w:rsidRDefault="00996AD7">
            <w:pPr>
              <w:rPr>
                <w:rFonts w:ascii="宋体"/>
              </w:rPr>
            </w:pPr>
          </w:p>
        </w:tc>
        <w:tc>
          <w:tcPr>
            <w:tcW w:w="20" w:type="dxa"/>
            <w:shd w:val="clear" w:color="auto" w:fill="auto"/>
            <w:vAlign w:val="bottom"/>
          </w:tcPr>
          <w:p w14:paraId="39D99D37" w14:textId="77777777" w:rsidR="00996AD7" w:rsidRDefault="00996AD7">
            <w:pPr>
              <w:rPr>
                <w:rFonts w:ascii="宋体"/>
              </w:rPr>
            </w:pPr>
          </w:p>
        </w:tc>
        <w:tc>
          <w:tcPr>
            <w:tcW w:w="3545" w:type="dxa"/>
            <w:shd w:val="clear" w:color="auto" w:fill="auto"/>
            <w:vAlign w:val="bottom"/>
          </w:tcPr>
          <w:p w14:paraId="39D99D38" w14:textId="77777777" w:rsidR="00996AD7" w:rsidRDefault="00996AD7">
            <w:pPr>
              <w:rPr>
                <w:rFonts w:ascii="宋体"/>
              </w:rPr>
            </w:pPr>
          </w:p>
        </w:tc>
        <w:tc>
          <w:tcPr>
            <w:tcW w:w="20" w:type="dxa"/>
            <w:shd w:val="clear" w:color="auto" w:fill="auto"/>
            <w:vAlign w:val="bottom"/>
          </w:tcPr>
          <w:p w14:paraId="39D99D39" w14:textId="77777777" w:rsidR="00996AD7" w:rsidRDefault="00996AD7">
            <w:pPr>
              <w:rPr>
                <w:rFonts w:ascii="宋体"/>
              </w:rPr>
            </w:pPr>
          </w:p>
        </w:tc>
      </w:tr>
      <w:tr w:rsidR="00996AD7" w14:paraId="39D99D40" w14:textId="77777777">
        <w:trPr>
          <w:trHeight w:val="240"/>
        </w:trPr>
        <w:tc>
          <w:tcPr>
            <w:tcW w:w="0" w:type="auto"/>
            <w:gridSpan w:val="3"/>
            <w:shd w:val="clear" w:color="auto" w:fill="auto"/>
            <w:tcMar>
              <w:top w:w="0" w:type="dxa"/>
              <w:left w:w="20" w:type="dxa"/>
              <w:bottom w:w="0" w:type="dxa"/>
              <w:right w:w="20" w:type="dxa"/>
            </w:tcMar>
            <w:vAlign w:val="bottom"/>
          </w:tcPr>
          <w:p w14:paraId="39D99D3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D3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D3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D3E"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center"/>
          </w:tcPr>
          <w:p w14:paraId="39D99D3F" w14:textId="77777777" w:rsidR="00996AD7" w:rsidRDefault="00D96458">
            <w:pPr>
              <w:jc w:val="center"/>
              <w:textAlignment w:val="center"/>
            </w:pPr>
            <w:r>
              <w:rPr>
                <w:rFonts w:ascii="Arial" w:eastAsia="宋体" w:hAnsi="Arial" w:cs="Arial"/>
                <w:color w:val="004A86"/>
                <w:sz w:val="16"/>
                <w:szCs w:val="16"/>
              </w:rPr>
              <w:t>■</w:t>
            </w:r>
            <w:r>
              <w:rPr>
                <w:rFonts w:ascii="Arial" w:eastAsia="宋体" w:hAnsi="Arial" w:cs="Arial"/>
                <w:color w:val="262626"/>
                <w:sz w:val="16"/>
                <w:szCs w:val="16"/>
              </w:rPr>
              <w:t xml:space="preserve"> Dividends </w:t>
            </w:r>
            <w:r>
              <w:rPr>
                <w:rFonts w:ascii="Arial" w:eastAsia="宋体" w:hAnsi="Arial" w:cs="Arial"/>
                <w:color w:val="00A3F6"/>
                <w:sz w:val="16"/>
                <w:szCs w:val="16"/>
              </w:rPr>
              <w:t>■</w:t>
            </w:r>
            <w:r>
              <w:rPr>
                <w:rFonts w:ascii="Arial" w:eastAsia="宋体" w:hAnsi="Arial" w:cs="Arial"/>
                <w:color w:val="262626"/>
                <w:sz w:val="16"/>
                <w:szCs w:val="16"/>
              </w:rPr>
              <w:t xml:space="preserve"> Buybacks</w:t>
            </w:r>
          </w:p>
        </w:tc>
      </w:tr>
    </w:tbl>
    <w:p w14:paraId="39D99D41"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996AD7" w14:paraId="39D99D51" w14:textId="77777777">
        <w:tc>
          <w:tcPr>
            <w:tcW w:w="50" w:type="pct"/>
            <w:shd w:val="clear" w:color="auto" w:fill="auto"/>
            <w:vAlign w:val="bottom"/>
          </w:tcPr>
          <w:p w14:paraId="39D99D42" w14:textId="77777777" w:rsidR="00996AD7" w:rsidRDefault="00996AD7">
            <w:pPr>
              <w:rPr>
                <w:rFonts w:ascii="宋体"/>
              </w:rPr>
            </w:pPr>
          </w:p>
        </w:tc>
        <w:tc>
          <w:tcPr>
            <w:tcW w:w="3688" w:type="pct"/>
            <w:shd w:val="clear" w:color="auto" w:fill="auto"/>
            <w:vAlign w:val="bottom"/>
          </w:tcPr>
          <w:p w14:paraId="39D99D43" w14:textId="77777777" w:rsidR="00996AD7" w:rsidRDefault="00996AD7">
            <w:pPr>
              <w:rPr>
                <w:rFonts w:ascii="宋体"/>
              </w:rPr>
            </w:pPr>
          </w:p>
        </w:tc>
        <w:tc>
          <w:tcPr>
            <w:tcW w:w="5" w:type="pct"/>
            <w:shd w:val="clear" w:color="auto" w:fill="auto"/>
            <w:vAlign w:val="bottom"/>
          </w:tcPr>
          <w:p w14:paraId="39D99D44" w14:textId="77777777" w:rsidR="00996AD7" w:rsidRDefault="00996AD7">
            <w:pPr>
              <w:rPr>
                <w:rFonts w:ascii="宋体"/>
              </w:rPr>
            </w:pPr>
          </w:p>
        </w:tc>
        <w:tc>
          <w:tcPr>
            <w:tcW w:w="5" w:type="pct"/>
            <w:shd w:val="clear" w:color="auto" w:fill="auto"/>
            <w:vAlign w:val="bottom"/>
          </w:tcPr>
          <w:p w14:paraId="39D99D45" w14:textId="77777777" w:rsidR="00996AD7" w:rsidRDefault="00996AD7">
            <w:pPr>
              <w:rPr>
                <w:rFonts w:ascii="宋体"/>
              </w:rPr>
            </w:pPr>
          </w:p>
        </w:tc>
        <w:tc>
          <w:tcPr>
            <w:tcW w:w="24" w:type="pct"/>
            <w:shd w:val="clear" w:color="auto" w:fill="auto"/>
            <w:vAlign w:val="bottom"/>
          </w:tcPr>
          <w:p w14:paraId="39D99D46" w14:textId="77777777" w:rsidR="00996AD7" w:rsidRDefault="00996AD7">
            <w:pPr>
              <w:rPr>
                <w:rFonts w:ascii="宋体"/>
              </w:rPr>
            </w:pPr>
          </w:p>
        </w:tc>
        <w:tc>
          <w:tcPr>
            <w:tcW w:w="5" w:type="pct"/>
            <w:shd w:val="clear" w:color="auto" w:fill="auto"/>
            <w:vAlign w:val="bottom"/>
          </w:tcPr>
          <w:p w14:paraId="39D99D47" w14:textId="77777777" w:rsidR="00996AD7" w:rsidRDefault="00996AD7">
            <w:pPr>
              <w:rPr>
                <w:rFonts w:ascii="宋体"/>
              </w:rPr>
            </w:pPr>
          </w:p>
        </w:tc>
        <w:tc>
          <w:tcPr>
            <w:tcW w:w="50" w:type="pct"/>
            <w:shd w:val="clear" w:color="auto" w:fill="auto"/>
            <w:vAlign w:val="bottom"/>
          </w:tcPr>
          <w:p w14:paraId="39D99D48" w14:textId="77777777" w:rsidR="00996AD7" w:rsidRDefault="00996AD7">
            <w:pPr>
              <w:rPr>
                <w:rFonts w:ascii="宋体"/>
              </w:rPr>
            </w:pPr>
          </w:p>
        </w:tc>
        <w:tc>
          <w:tcPr>
            <w:tcW w:w="539" w:type="pct"/>
            <w:shd w:val="clear" w:color="auto" w:fill="auto"/>
            <w:vAlign w:val="bottom"/>
          </w:tcPr>
          <w:p w14:paraId="39D99D49" w14:textId="77777777" w:rsidR="00996AD7" w:rsidRDefault="00996AD7">
            <w:pPr>
              <w:rPr>
                <w:rFonts w:ascii="宋体"/>
              </w:rPr>
            </w:pPr>
          </w:p>
        </w:tc>
        <w:tc>
          <w:tcPr>
            <w:tcW w:w="5" w:type="pct"/>
            <w:shd w:val="clear" w:color="auto" w:fill="auto"/>
            <w:vAlign w:val="bottom"/>
          </w:tcPr>
          <w:p w14:paraId="39D99D4A" w14:textId="77777777" w:rsidR="00996AD7" w:rsidRDefault="00996AD7">
            <w:pPr>
              <w:rPr>
                <w:rFonts w:ascii="宋体"/>
              </w:rPr>
            </w:pPr>
          </w:p>
        </w:tc>
        <w:tc>
          <w:tcPr>
            <w:tcW w:w="5" w:type="pct"/>
            <w:shd w:val="clear" w:color="auto" w:fill="auto"/>
            <w:vAlign w:val="bottom"/>
          </w:tcPr>
          <w:p w14:paraId="39D99D4B" w14:textId="77777777" w:rsidR="00996AD7" w:rsidRDefault="00996AD7">
            <w:pPr>
              <w:rPr>
                <w:rFonts w:ascii="宋体"/>
              </w:rPr>
            </w:pPr>
          </w:p>
        </w:tc>
        <w:tc>
          <w:tcPr>
            <w:tcW w:w="24" w:type="pct"/>
            <w:shd w:val="clear" w:color="auto" w:fill="auto"/>
            <w:vAlign w:val="bottom"/>
          </w:tcPr>
          <w:p w14:paraId="39D99D4C" w14:textId="77777777" w:rsidR="00996AD7" w:rsidRDefault="00996AD7">
            <w:pPr>
              <w:rPr>
                <w:rFonts w:ascii="宋体"/>
              </w:rPr>
            </w:pPr>
          </w:p>
        </w:tc>
        <w:tc>
          <w:tcPr>
            <w:tcW w:w="5" w:type="pct"/>
            <w:shd w:val="clear" w:color="auto" w:fill="auto"/>
            <w:vAlign w:val="bottom"/>
          </w:tcPr>
          <w:p w14:paraId="39D99D4D" w14:textId="77777777" w:rsidR="00996AD7" w:rsidRDefault="00996AD7">
            <w:pPr>
              <w:rPr>
                <w:rFonts w:ascii="宋体"/>
              </w:rPr>
            </w:pPr>
          </w:p>
        </w:tc>
        <w:tc>
          <w:tcPr>
            <w:tcW w:w="50" w:type="pct"/>
            <w:shd w:val="clear" w:color="auto" w:fill="auto"/>
            <w:vAlign w:val="bottom"/>
          </w:tcPr>
          <w:p w14:paraId="39D99D4E" w14:textId="77777777" w:rsidR="00996AD7" w:rsidRDefault="00996AD7">
            <w:pPr>
              <w:rPr>
                <w:rFonts w:ascii="宋体"/>
              </w:rPr>
            </w:pPr>
          </w:p>
        </w:tc>
        <w:tc>
          <w:tcPr>
            <w:tcW w:w="539" w:type="pct"/>
            <w:shd w:val="clear" w:color="auto" w:fill="auto"/>
            <w:vAlign w:val="bottom"/>
          </w:tcPr>
          <w:p w14:paraId="39D99D4F" w14:textId="77777777" w:rsidR="00996AD7" w:rsidRDefault="00996AD7">
            <w:pPr>
              <w:rPr>
                <w:rFonts w:ascii="宋体"/>
              </w:rPr>
            </w:pPr>
          </w:p>
        </w:tc>
        <w:tc>
          <w:tcPr>
            <w:tcW w:w="5" w:type="pct"/>
            <w:shd w:val="clear" w:color="auto" w:fill="auto"/>
            <w:vAlign w:val="bottom"/>
          </w:tcPr>
          <w:p w14:paraId="39D99D50" w14:textId="77777777" w:rsidR="00996AD7" w:rsidRDefault="00996AD7">
            <w:pPr>
              <w:rPr>
                <w:rFonts w:ascii="宋体"/>
              </w:rPr>
            </w:pPr>
          </w:p>
        </w:tc>
      </w:tr>
      <w:tr w:rsidR="00996AD7" w14:paraId="39D99D55" w14:textId="77777777">
        <w:tc>
          <w:tcPr>
            <w:tcW w:w="0" w:type="auto"/>
            <w:gridSpan w:val="3"/>
            <w:shd w:val="clear" w:color="auto" w:fill="auto"/>
            <w:tcMar>
              <w:top w:w="0" w:type="dxa"/>
              <w:left w:w="20" w:type="dxa"/>
              <w:bottom w:w="0" w:type="dxa"/>
              <w:right w:w="20" w:type="dxa"/>
            </w:tcMar>
            <w:vAlign w:val="bottom"/>
          </w:tcPr>
          <w:p w14:paraId="39D99D5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D53"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9D54" w14:textId="77777777" w:rsidR="00996AD7" w:rsidRDefault="00D96458">
            <w:pPr>
              <w:jc w:val="center"/>
              <w:textAlignment w:val="bottom"/>
            </w:pPr>
            <w:r>
              <w:rPr>
                <w:rFonts w:ascii="Arial" w:eastAsia="宋体" w:hAnsi="Arial" w:cs="Arial"/>
                <w:b/>
                <w:bCs/>
                <w:color w:val="262626"/>
                <w:sz w:val="18"/>
                <w:szCs w:val="18"/>
              </w:rPr>
              <w:t xml:space="preserve">Nine </w:t>
            </w:r>
            <w:r>
              <w:rPr>
                <w:rFonts w:ascii="Arial" w:eastAsia="宋体" w:hAnsi="Arial" w:cs="Arial"/>
                <w:b/>
                <w:bCs/>
                <w:color w:val="262626"/>
                <w:sz w:val="18"/>
                <w:szCs w:val="18"/>
              </w:rPr>
              <w:t>Months Ended</w:t>
            </w:r>
          </w:p>
        </w:tc>
      </w:tr>
      <w:tr w:rsidR="00996AD7" w14:paraId="39D99D5B" w14:textId="77777777">
        <w:tc>
          <w:tcPr>
            <w:tcW w:w="0" w:type="auto"/>
            <w:gridSpan w:val="3"/>
            <w:shd w:val="clear" w:color="auto" w:fill="auto"/>
            <w:tcMar>
              <w:top w:w="40" w:type="dxa"/>
              <w:left w:w="20" w:type="dxa"/>
              <w:bottom w:w="40" w:type="dxa"/>
              <w:right w:w="20" w:type="dxa"/>
            </w:tcMar>
            <w:vAlign w:val="bottom"/>
          </w:tcPr>
          <w:p w14:paraId="39D99D56" w14:textId="77777777" w:rsidR="00996AD7" w:rsidRDefault="00D964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9D57"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9D58"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D59"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9D5A" w14:textId="77777777" w:rsidR="00996AD7" w:rsidRDefault="00D96458">
            <w:pPr>
              <w:jc w:val="center"/>
              <w:textAlignment w:val="bottom"/>
            </w:pPr>
            <w:r>
              <w:rPr>
                <w:rFonts w:ascii="Arial" w:eastAsia="宋体" w:hAnsi="Arial" w:cs="Arial"/>
                <w:b/>
                <w:bCs/>
                <w:color w:val="262626"/>
                <w:sz w:val="18"/>
                <w:szCs w:val="18"/>
              </w:rPr>
              <w:t>Sep 26, 2020</w:t>
            </w:r>
          </w:p>
        </w:tc>
      </w:tr>
      <w:tr w:rsidR="00996AD7" w14:paraId="39D99D65"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9D5C" w14:textId="77777777" w:rsidR="00996AD7" w:rsidRDefault="00D96458">
            <w:pPr>
              <w:textAlignment w:val="top"/>
            </w:pPr>
            <w:r>
              <w:rPr>
                <w:rFonts w:ascii="Arial" w:eastAsia="宋体" w:hAnsi="Arial" w:cs="Arial"/>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vAlign w:val="bottom"/>
          </w:tcPr>
          <w:p w14:paraId="39D99D5D"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D5E" w14:textId="77777777" w:rsidR="00996AD7" w:rsidRDefault="00D964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D5F" w14:textId="77777777" w:rsidR="00996AD7" w:rsidRDefault="00D96458">
            <w:pPr>
              <w:jc w:val="right"/>
              <w:textAlignment w:val="bottom"/>
            </w:pPr>
            <w:r>
              <w:rPr>
                <w:rFonts w:ascii="Arial" w:eastAsia="宋体" w:hAnsi="Arial" w:cs="Arial"/>
                <w:color w:val="0068B5"/>
                <w:sz w:val="18"/>
                <w:szCs w:val="18"/>
              </w:rPr>
              <w:t>24,194 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D6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D61"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D62" w14:textId="77777777" w:rsidR="00996AD7" w:rsidRDefault="00D964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D63" w14:textId="77777777" w:rsidR="00996AD7" w:rsidRDefault="00D96458">
            <w:pPr>
              <w:jc w:val="right"/>
              <w:textAlignment w:val="bottom"/>
            </w:pPr>
            <w:r>
              <w:rPr>
                <w:rFonts w:ascii="Arial" w:eastAsia="宋体" w:hAnsi="Arial" w:cs="Arial"/>
                <w:color w:val="262626"/>
                <w:sz w:val="18"/>
                <w:szCs w:val="18"/>
              </w:rPr>
              <w:t>25,494 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D64" w14:textId="77777777" w:rsidR="00996AD7" w:rsidRDefault="00996AD7">
            <w:pPr>
              <w:jc w:val="right"/>
              <w:rPr>
                <w:rFonts w:ascii="宋体"/>
              </w:rPr>
            </w:pPr>
          </w:p>
        </w:tc>
      </w:tr>
      <w:tr w:rsidR="00996AD7" w14:paraId="39D99D6D" w14:textId="77777777">
        <w:tc>
          <w:tcPr>
            <w:tcW w:w="0" w:type="auto"/>
            <w:gridSpan w:val="3"/>
            <w:shd w:val="clear" w:color="auto" w:fill="auto"/>
            <w:tcMar>
              <w:top w:w="40" w:type="dxa"/>
              <w:left w:w="20" w:type="dxa"/>
              <w:bottom w:w="40" w:type="dxa"/>
              <w:right w:w="20" w:type="dxa"/>
            </w:tcMar>
          </w:tcPr>
          <w:p w14:paraId="39D99D66" w14:textId="77777777" w:rsidR="00996AD7" w:rsidRDefault="00D96458">
            <w:pPr>
              <w:ind w:hanging="180"/>
              <w:textAlignment w:val="top"/>
            </w:pPr>
            <w:r>
              <w:rPr>
                <w:rFonts w:ascii="Arial" w:eastAsia="宋体" w:hAnsi="Arial" w:cs="Arial"/>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39D99D6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D68" w14:textId="77777777" w:rsidR="00996AD7" w:rsidRDefault="00D96458">
            <w:pPr>
              <w:jc w:val="right"/>
              <w:textAlignment w:val="bottom"/>
            </w:pPr>
            <w:r>
              <w:rPr>
                <w:rFonts w:ascii="Arial" w:eastAsia="宋体" w:hAnsi="Arial" w:cs="Arial"/>
                <w:color w:val="0068B5"/>
                <w:sz w:val="18"/>
                <w:szCs w:val="18"/>
              </w:rPr>
              <w:t>(20,133)</w:t>
            </w:r>
          </w:p>
        </w:tc>
        <w:tc>
          <w:tcPr>
            <w:tcW w:w="0" w:type="auto"/>
            <w:shd w:val="clear" w:color="auto" w:fill="auto"/>
            <w:tcMar>
              <w:top w:w="40" w:type="dxa"/>
              <w:left w:w="0" w:type="dxa"/>
              <w:bottom w:w="40" w:type="dxa"/>
              <w:right w:w="20" w:type="dxa"/>
            </w:tcMar>
            <w:vAlign w:val="bottom"/>
          </w:tcPr>
          <w:p w14:paraId="39D99D69"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D6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D6B" w14:textId="77777777" w:rsidR="00996AD7" w:rsidRDefault="00D96458">
            <w:pPr>
              <w:jc w:val="right"/>
              <w:textAlignment w:val="bottom"/>
            </w:pPr>
            <w:r>
              <w:rPr>
                <w:rFonts w:ascii="Arial" w:eastAsia="宋体" w:hAnsi="Arial" w:cs="Arial"/>
                <w:color w:val="262626"/>
                <w:sz w:val="18"/>
                <w:szCs w:val="18"/>
              </w:rPr>
              <w:t>(15,112)</w:t>
            </w:r>
          </w:p>
        </w:tc>
        <w:tc>
          <w:tcPr>
            <w:tcW w:w="0" w:type="auto"/>
            <w:shd w:val="clear" w:color="auto" w:fill="auto"/>
            <w:tcMar>
              <w:top w:w="40" w:type="dxa"/>
              <w:left w:w="0" w:type="dxa"/>
              <w:bottom w:w="40" w:type="dxa"/>
              <w:right w:w="20" w:type="dxa"/>
            </w:tcMar>
            <w:vAlign w:val="bottom"/>
          </w:tcPr>
          <w:p w14:paraId="39D99D6C" w14:textId="77777777" w:rsidR="00996AD7" w:rsidRDefault="00996AD7">
            <w:pPr>
              <w:jc w:val="right"/>
              <w:rPr>
                <w:rFonts w:ascii="宋体"/>
              </w:rPr>
            </w:pPr>
          </w:p>
        </w:tc>
      </w:tr>
      <w:tr w:rsidR="00996AD7" w14:paraId="39D99D75" w14:textId="77777777">
        <w:tc>
          <w:tcPr>
            <w:tcW w:w="0" w:type="auto"/>
            <w:gridSpan w:val="3"/>
            <w:shd w:val="clear" w:color="auto" w:fill="auto"/>
            <w:tcMar>
              <w:top w:w="40" w:type="dxa"/>
              <w:left w:w="20" w:type="dxa"/>
              <w:bottom w:w="40" w:type="dxa"/>
              <w:right w:w="20" w:type="dxa"/>
            </w:tcMar>
          </w:tcPr>
          <w:p w14:paraId="39D99D6E" w14:textId="77777777" w:rsidR="00996AD7" w:rsidRDefault="00D96458">
            <w:pPr>
              <w:ind w:hanging="180"/>
              <w:textAlignment w:val="top"/>
            </w:pPr>
            <w:r>
              <w:rPr>
                <w:rFonts w:ascii="Arial" w:eastAsia="宋体" w:hAnsi="Arial" w:cs="Arial"/>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vAlign w:val="bottom"/>
          </w:tcPr>
          <w:p w14:paraId="39D99D6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D70" w14:textId="77777777" w:rsidR="00996AD7" w:rsidRDefault="00D96458">
            <w:pPr>
              <w:jc w:val="right"/>
              <w:textAlignment w:val="bottom"/>
            </w:pPr>
            <w:r>
              <w:rPr>
                <w:rFonts w:ascii="Arial" w:eastAsia="宋体" w:hAnsi="Arial" w:cs="Arial"/>
                <w:color w:val="0068B5"/>
                <w:sz w:val="18"/>
                <w:szCs w:val="18"/>
              </w:rPr>
              <w:t>(2,056)</w:t>
            </w:r>
          </w:p>
        </w:tc>
        <w:tc>
          <w:tcPr>
            <w:tcW w:w="0" w:type="auto"/>
            <w:shd w:val="clear" w:color="auto" w:fill="auto"/>
            <w:tcMar>
              <w:top w:w="40" w:type="dxa"/>
              <w:left w:w="0" w:type="dxa"/>
              <w:bottom w:w="40" w:type="dxa"/>
              <w:right w:w="20" w:type="dxa"/>
            </w:tcMar>
            <w:vAlign w:val="bottom"/>
          </w:tcPr>
          <w:p w14:paraId="39D99D7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D7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D73" w14:textId="77777777" w:rsidR="00996AD7" w:rsidRDefault="00D96458">
            <w:pPr>
              <w:jc w:val="right"/>
              <w:textAlignment w:val="bottom"/>
            </w:pPr>
            <w:r>
              <w:rPr>
                <w:rFonts w:ascii="Arial" w:eastAsia="宋体" w:hAnsi="Arial" w:cs="Arial"/>
                <w:color w:val="262626"/>
                <w:sz w:val="18"/>
                <w:szCs w:val="18"/>
              </w:rPr>
              <w:t>(11,220)</w:t>
            </w:r>
          </w:p>
        </w:tc>
        <w:tc>
          <w:tcPr>
            <w:tcW w:w="0" w:type="auto"/>
            <w:shd w:val="clear" w:color="auto" w:fill="auto"/>
            <w:tcMar>
              <w:top w:w="40" w:type="dxa"/>
              <w:left w:w="0" w:type="dxa"/>
              <w:bottom w:w="40" w:type="dxa"/>
              <w:right w:w="20" w:type="dxa"/>
            </w:tcMar>
            <w:vAlign w:val="bottom"/>
          </w:tcPr>
          <w:p w14:paraId="39D99D74" w14:textId="77777777" w:rsidR="00996AD7" w:rsidRDefault="00996AD7">
            <w:pPr>
              <w:jc w:val="right"/>
              <w:rPr>
                <w:rFonts w:ascii="宋体"/>
              </w:rPr>
            </w:pPr>
          </w:p>
        </w:tc>
      </w:tr>
      <w:tr w:rsidR="00996AD7" w14:paraId="39D99D7B" w14:textId="77777777">
        <w:trPr>
          <w:hidden/>
        </w:trPr>
        <w:tc>
          <w:tcPr>
            <w:tcW w:w="0" w:type="auto"/>
            <w:gridSpan w:val="3"/>
            <w:shd w:val="clear" w:color="auto" w:fill="auto"/>
            <w:vAlign w:val="bottom"/>
          </w:tcPr>
          <w:p w14:paraId="39D99D76" w14:textId="77777777" w:rsidR="00996AD7" w:rsidRDefault="00996AD7">
            <w:pPr>
              <w:rPr>
                <w:rFonts w:ascii="宋体"/>
                <w:vanish/>
              </w:rPr>
            </w:pPr>
          </w:p>
        </w:tc>
        <w:tc>
          <w:tcPr>
            <w:tcW w:w="0" w:type="auto"/>
            <w:gridSpan w:val="3"/>
            <w:shd w:val="clear" w:color="auto" w:fill="auto"/>
            <w:vAlign w:val="bottom"/>
          </w:tcPr>
          <w:p w14:paraId="39D99D77" w14:textId="77777777" w:rsidR="00996AD7" w:rsidRDefault="00996AD7">
            <w:pPr>
              <w:rPr>
                <w:rFonts w:ascii="宋体"/>
                <w:vanish/>
              </w:rPr>
            </w:pPr>
          </w:p>
        </w:tc>
        <w:tc>
          <w:tcPr>
            <w:tcW w:w="0" w:type="auto"/>
            <w:gridSpan w:val="3"/>
            <w:shd w:val="clear" w:color="auto" w:fill="auto"/>
            <w:vAlign w:val="bottom"/>
          </w:tcPr>
          <w:p w14:paraId="39D99D78" w14:textId="77777777" w:rsidR="00996AD7" w:rsidRDefault="00996AD7">
            <w:pPr>
              <w:rPr>
                <w:rFonts w:ascii="宋体"/>
                <w:vanish/>
              </w:rPr>
            </w:pPr>
          </w:p>
        </w:tc>
        <w:tc>
          <w:tcPr>
            <w:tcW w:w="0" w:type="auto"/>
            <w:gridSpan w:val="3"/>
            <w:shd w:val="clear" w:color="auto" w:fill="auto"/>
            <w:vAlign w:val="bottom"/>
          </w:tcPr>
          <w:p w14:paraId="39D99D79" w14:textId="77777777" w:rsidR="00996AD7" w:rsidRDefault="00996AD7">
            <w:pPr>
              <w:rPr>
                <w:rFonts w:ascii="宋体"/>
                <w:vanish/>
              </w:rPr>
            </w:pPr>
          </w:p>
        </w:tc>
        <w:tc>
          <w:tcPr>
            <w:tcW w:w="0" w:type="auto"/>
            <w:gridSpan w:val="3"/>
            <w:shd w:val="clear" w:color="auto" w:fill="auto"/>
            <w:vAlign w:val="bottom"/>
          </w:tcPr>
          <w:p w14:paraId="39D99D7A" w14:textId="77777777" w:rsidR="00996AD7" w:rsidRDefault="00996AD7">
            <w:pPr>
              <w:rPr>
                <w:rFonts w:ascii="宋体"/>
                <w:vanish/>
              </w:rPr>
            </w:pPr>
          </w:p>
        </w:tc>
      </w:tr>
      <w:tr w:rsidR="00996AD7" w14:paraId="39D99D85" w14:textId="77777777">
        <w:tc>
          <w:tcPr>
            <w:tcW w:w="0" w:type="auto"/>
            <w:gridSpan w:val="3"/>
            <w:shd w:val="clear" w:color="auto" w:fill="auto"/>
            <w:tcMar>
              <w:top w:w="40" w:type="dxa"/>
              <w:left w:w="20" w:type="dxa"/>
              <w:bottom w:w="40" w:type="dxa"/>
              <w:right w:w="20" w:type="dxa"/>
            </w:tcMar>
          </w:tcPr>
          <w:p w14:paraId="39D99D7C" w14:textId="77777777" w:rsidR="00996AD7" w:rsidRDefault="00D96458">
            <w:pPr>
              <w:textAlignment w:val="top"/>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vAlign w:val="bottom"/>
          </w:tcPr>
          <w:p w14:paraId="39D99D7D"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9D7E"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9D7F" w14:textId="77777777" w:rsidR="00996AD7" w:rsidRDefault="00D96458">
            <w:pPr>
              <w:jc w:val="right"/>
              <w:textAlignment w:val="bottom"/>
            </w:pPr>
            <w:r>
              <w:rPr>
                <w:rFonts w:ascii="Arial" w:eastAsia="宋体" w:hAnsi="Arial" w:cs="Arial"/>
                <w:b/>
                <w:bCs/>
                <w:color w:val="0068B5"/>
                <w:sz w:val="18"/>
                <w:szCs w:val="18"/>
              </w:rPr>
              <w:t>2,005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9D80"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D81"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9D82"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9D83" w14:textId="77777777" w:rsidR="00996AD7" w:rsidRDefault="00D96458">
            <w:pPr>
              <w:jc w:val="right"/>
              <w:textAlignment w:val="bottom"/>
            </w:pPr>
            <w:r>
              <w:rPr>
                <w:rFonts w:ascii="Arial" w:eastAsia="宋体" w:hAnsi="Arial" w:cs="Arial"/>
                <w:b/>
                <w:bCs/>
                <w:color w:val="262626"/>
                <w:sz w:val="18"/>
                <w:szCs w:val="18"/>
              </w:rPr>
              <w:t>(838)</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9D84" w14:textId="77777777" w:rsidR="00996AD7" w:rsidRDefault="00996AD7">
            <w:pPr>
              <w:jc w:val="right"/>
              <w:rPr>
                <w:rFonts w:ascii="宋体"/>
              </w:rPr>
            </w:pPr>
          </w:p>
        </w:tc>
      </w:tr>
    </w:tbl>
    <w:p w14:paraId="39D99D86" w14:textId="77777777" w:rsidR="00996AD7" w:rsidRDefault="00996AD7">
      <w:pPr>
        <w:spacing w:after="180"/>
      </w:pPr>
    </w:p>
    <w:p w14:paraId="39D99D87" w14:textId="77777777" w:rsidR="00996AD7" w:rsidRDefault="00996AD7">
      <w:pPr>
        <w:spacing w:after="180"/>
      </w:pPr>
    </w:p>
    <w:p w14:paraId="39D99D88" w14:textId="77777777" w:rsidR="00996AD7" w:rsidRDefault="00D96458">
      <w:pPr>
        <w:spacing w:after="180"/>
      </w:pPr>
      <w:r>
        <w:rPr>
          <w:rFonts w:ascii="Arial" w:eastAsia="宋体" w:hAnsi="Arial" w:cs="Arial"/>
          <w:i/>
          <w:iCs/>
          <w:color w:val="262626"/>
          <w:sz w:val="10"/>
          <w:szCs w:val="10"/>
        </w:rPr>
        <w:t>1</w:t>
      </w:r>
      <w:r>
        <w:rPr>
          <w:rFonts w:ascii="Arial" w:eastAsia="宋体" w:hAnsi="Arial" w:cs="Arial"/>
          <w:i/>
          <w:iCs/>
          <w:color w:val="262626"/>
          <w:sz w:val="16"/>
          <w:szCs w:val="16"/>
        </w:rPr>
        <w:t xml:space="preserve"> See "Non-GAAP Financial Measures" within MD&amp;A.</w:t>
      </w: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996AD7" w14:paraId="39D99D92" w14:textId="77777777">
        <w:tc>
          <w:tcPr>
            <w:tcW w:w="50" w:type="pct"/>
            <w:shd w:val="clear" w:color="auto" w:fill="auto"/>
            <w:vAlign w:val="bottom"/>
          </w:tcPr>
          <w:p w14:paraId="39D99D89" w14:textId="77777777" w:rsidR="00996AD7" w:rsidRDefault="00996AD7">
            <w:pPr>
              <w:rPr>
                <w:rFonts w:ascii="宋体"/>
              </w:rPr>
            </w:pPr>
          </w:p>
        </w:tc>
        <w:tc>
          <w:tcPr>
            <w:tcW w:w="212" w:type="pct"/>
            <w:shd w:val="clear" w:color="auto" w:fill="auto"/>
            <w:vAlign w:val="bottom"/>
          </w:tcPr>
          <w:p w14:paraId="39D99D8A" w14:textId="77777777" w:rsidR="00996AD7" w:rsidRDefault="00996AD7">
            <w:pPr>
              <w:rPr>
                <w:rFonts w:ascii="宋体"/>
              </w:rPr>
            </w:pPr>
          </w:p>
        </w:tc>
        <w:tc>
          <w:tcPr>
            <w:tcW w:w="5" w:type="pct"/>
            <w:shd w:val="clear" w:color="auto" w:fill="auto"/>
            <w:vAlign w:val="bottom"/>
          </w:tcPr>
          <w:p w14:paraId="39D99D8B" w14:textId="77777777" w:rsidR="00996AD7" w:rsidRDefault="00996AD7">
            <w:pPr>
              <w:rPr>
                <w:rFonts w:ascii="宋体"/>
              </w:rPr>
            </w:pPr>
          </w:p>
        </w:tc>
        <w:tc>
          <w:tcPr>
            <w:tcW w:w="50" w:type="pct"/>
            <w:shd w:val="clear" w:color="auto" w:fill="auto"/>
            <w:vAlign w:val="bottom"/>
          </w:tcPr>
          <w:p w14:paraId="39D99D8C" w14:textId="77777777" w:rsidR="00996AD7" w:rsidRDefault="00996AD7">
            <w:pPr>
              <w:rPr>
                <w:rFonts w:ascii="宋体"/>
              </w:rPr>
            </w:pPr>
          </w:p>
        </w:tc>
        <w:tc>
          <w:tcPr>
            <w:tcW w:w="2499" w:type="pct"/>
            <w:shd w:val="clear" w:color="auto" w:fill="auto"/>
            <w:vAlign w:val="bottom"/>
          </w:tcPr>
          <w:p w14:paraId="39D99D8D" w14:textId="77777777" w:rsidR="00996AD7" w:rsidRDefault="00996AD7">
            <w:pPr>
              <w:rPr>
                <w:rFonts w:ascii="宋体"/>
              </w:rPr>
            </w:pPr>
          </w:p>
        </w:tc>
        <w:tc>
          <w:tcPr>
            <w:tcW w:w="5" w:type="pct"/>
            <w:shd w:val="clear" w:color="auto" w:fill="auto"/>
            <w:vAlign w:val="bottom"/>
          </w:tcPr>
          <w:p w14:paraId="39D99D8E" w14:textId="77777777" w:rsidR="00996AD7" w:rsidRDefault="00996AD7">
            <w:pPr>
              <w:rPr>
                <w:rFonts w:ascii="宋体"/>
              </w:rPr>
            </w:pPr>
          </w:p>
        </w:tc>
        <w:tc>
          <w:tcPr>
            <w:tcW w:w="50" w:type="pct"/>
            <w:shd w:val="clear" w:color="auto" w:fill="auto"/>
            <w:vAlign w:val="bottom"/>
          </w:tcPr>
          <w:p w14:paraId="39D99D8F" w14:textId="77777777" w:rsidR="00996AD7" w:rsidRDefault="00996AD7">
            <w:pPr>
              <w:rPr>
                <w:rFonts w:ascii="宋体"/>
              </w:rPr>
            </w:pPr>
          </w:p>
        </w:tc>
        <w:tc>
          <w:tcPr>
            <w:tcW w:w="2122" w:type="pct"/>
            <w:shd w:val="clear" w:color="auto" w:fill="auto"/>
            <w:vAlign w:val="bottom"/>
          </w:tcPr>
          <w:p w14:paraId="39D99D90" w14:textId="77777777" w:rsidR="00996AD7" w:rsidRDefault="00996AD7">
            <w:pPr>
              <w:rPr>
                <w:rFonts w:ascii="宋体"/>
              </w:rPr>
            </w:pPr>
          </w:p>
        </w:tc>
        <w:tc>
          <w:tcPr>
            <w:tcW w:w="5" w:type="pct"/>
            <w:shd w:val="clear" w:color="auto" w:fill="auto"/>
            <w:vAlign w:val="bottom"/>
          </w:tcPr>
          <w:p w14:paraId="39D99D91" w14:textId="77777777" w:rsidR="00996AD7" w:rsidRDefault="00996AD7">
            <w:pPr>
              <w:rPr>
                <w:rFonts w:ascii="宋体"/>
              </w:rPr>
            </w:pPr>
          </w:p>
        </w:tc>
      </w:tr>
      <w:tr w:rsidR="00996AD7" w14:paraId="39D99D9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D93"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2C" wp14:editId="39D9A42D">
                  <wp:extent cx="304800" cy="304800"/>
                  <wp:effectExtent l="0" t="0" r="0" b="0"/>
                  <wp:docPr id="84" name="图片 134"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34"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D94"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D95" w14:textId="77777777" w:rsidR="00996AD7" w:rsidRDefault="00D96458">
            <w:pPr>
              <w:jc w:val="right"/>
              <w:textAlignment w:val="center"/>
            </w:pPr>
            <w:r>
              <w:rPr>
                <w:rFonts w:ascii="Arial" w:eastAsia="宋体" w:hAnsi="Arial" w:cs="Arial"/>
                <w:color w:val="262626"/>
                <w:sz w:val="16"/>
                <w:szCs w:val="16"/>
              </w:rPr>
              <w:t>37</w:t>
            </w:r>
          </w:p>
        </w:tc>
      </w:tr>
    </w:tbl>
    <w:p w14:paraId="39D99D97" w14:textId="77777777" w:rsidR="00996AD7" w:rsidRDefault="00D96458">
      <w:r>
        <w:pict w14:anchorId="39D9A42E">
          <v:rect id="_x0000_i1063" style="width:415.3pt;height:1.5pt" o:hralign="center" o:hrstd="t" o:hr="t" fillcolor="#a0a0a0" stroked="f"/>
        </w:pict>
      </w:r>
    </w:p>
    <w:p w14:paraId="39D99D98" w14:textId="77777777" w:rsidR="00996AD7" w:rsidRDefault="00D96458">
      <w:pPr>
        <w:spacing w:after="180"/>
        <w:jc w:val="right"/>
      </w:pPr>
      <w:hyperlink r:id="rId64" w:anchor="i94e6cc3aa83643b8b968bd5bab038338_7" w:history="1">
        <w:r>
          <w:rPr>
            <w:rStyle w:val="a5"/>
            <w:rFonts w:ascii="Arial" w:eastAsia="宋体" w:hAnsi="Arial" w:cs="Arial"/>
            <w:b/>
            <w:bCs/>
            <w:color w:val="0068B5"/>
            <w:sz w:val="16"/>
            <w:szCs w:val="16"/>
          </w:rPr>
          <w:t>Table of Contents</w:t>
        </w:r>
      </w:hyperlink>
    </w:p>
    <w:p w14:paraId="39D99D99" w14:textId="77777777" w:rsidR="00996AD7" w:rsidRDefault="00996AD7">
      <w:pPr>
        <w:spacing w:after="180"/>
        <w:jc w:val="right"/>
      </w:pPr>
    </w:p>
    <w:p w14:paraId="39D99D9A" w14:textId="77777777" w:rsidR="00996AD7" w:rsidRDefault="00D96458">
      <w:pPr>
        <w:spacing w:after="120"/>
      </w:pPr>
      <w:r>
        <w:rPr>
          <w:rFonts w:ascii="Arial" w:eastAsia="宋体" w:hAnsi="Arial" w:cs="Arial"/>
          <w:color w:val="0068B5"/>
          <w:sz w:val="20"/>
          <w:szCs w:val="20"/>
        </w:rPr>
        <w:t>Operating Activities</w:t>
      </w:r>
    </w:p>
    <w:p w14:paraId="39D99D9B" w14:textId="77777777" w:rsidR="00996AD7" w:rsidRDefault="00D96458">
      <w:pPr>
        <w:spacing w:after="180"/>
      </w:pPr>
      <w:r>
        <w:rPr>
          <w:rFonts w:ascii="Arial" w:eastAsia="宋体" w:hAnsi="Arial" w:cs="Arial"/>
          <w:color w:val="262626"/>
          <w:sz w:val="18"/>
          <w:szCs w:val="18"/>
        </w:rPr>
        <w:t>Cash provided by operating activities is net income adjusted fo</w:t>
      </w:r>
      <w:r>
        <w:rPr>
          <w:rFonts w:ascii="Arial" w:eastAsia="宋体" w:hAnsi="Arial" w:cs="Arial"/>
          <w:color w:val="262626"/>
          <w:sz w:val="18"/>
          <w:szCs w:val="18"/>
        </w:rPr>
        <w:t>r certain non-cash items and changes in assets and liabilities.</w:t>
      </w:r>
    </w:p>
    <w:p w14:paraId="39D99D9C" w14:textId="77777777" w:rsidR="00996AD7" w:rsidRDefault="00D96458">
      <w:pPr>
        <w:spacing w:after="180"/>
      </w:pPr>
      <w:r>
        <w:rPr>
          <w:rFonts w:ascii="Arial" w:eastAsia="宋体" w:hAnsi="Arial" w:cs="Arial"/>
          <w:color w:val="262626"/>
          <w:sz w:val="18"/>
          <w:szCs w:val="18"/>
        </w:rPr>
        <w:t xml:space="preserve">For the first nine months of 2021 compared to the first nine months of 2020, the decrease in cash provided by operations was primarily driven by a decrease in net working capital </w:t>
      </w:r>
      <w:r>
        <w:rPr>
          <w:rFonts w:ascii="Arial" w:eastAsia="宋体" w:hAnsi="Arial" w:cs="Arial"/>
          <w:color w:val="262626"/>
          <w:sz w:val="18"/>
          <w:szCs w:val="18"/>
        </w:rPr>
        <w:t>contributions and cash paid to settle a prepaid supply agreement in the first quarter of 2021, partially offset by a McAfee special dividend received in the third quarter of 2021.</w:t>
      </w:r>
    </w:p>
    <w:p w14:paraId="39D99D9D" w14:textId="77777777" w:rsidR="00996AD7" w:rsidRDefault="00D96458">
      <w:pPr>
        <w:spacing w:after="120"/>
      </w:pPr>
      <w:r>
        <w:rPr>
          <w:rFonts w:ascii="Arial" w:eastAsia="宋体" w:hAnsi="Arial" w:cs="Arial"/>
          <w:color w:val="0068B5"/>
          <w:sz w:val="20"/>
          <w:szCs w:val="20"/>
        </w:rPr>
        <w:t>Investing Activities</w:t>
      </w:r>
    </w:p>
    <w:p w14:paraId="39D99D9E" w14:textId="77777777" w:rsidR="00996AD7" w:rsidRDefault="00D96458">
      <w:pPr>
        <w:spacing w:after="180"/>
      </w:pPr>
      <w:r>
        <w:rPr>
          <w:rFonts w:ascii="Arial" w:eastAsia="宋体" w:hAnsi="Arial" w:cs="Arial"/>
          <w:color w:val="262626"/>
          <w:sz w:val="18"/>
          <w:szCs w:val="18"/>
        </w:rPr>
        <w:t>Investing cash flows consist primarily of capital expen</w:t>
      </w:r>
      <w:r>
        <w:rPr>
          <w:rFonts w:ascii="Arial" w:eastAsia="宋体" w:hAnsi="Arial" w:cs="Arial"/>
          <w:color w:val="262626"/>
          <w:sz w:val="18"/>
          <w:szCs w:val="18"/>
        </w:rPr>
        <w:t xml:space="preserve">ditures, investment purchases, sales, maturities, and disposals, and proceeds from divestitures and cash used for acquisitions. </w:t>
      </w:r>
    </w:p>
    <w:p w14:paraId="39D99D9F" w14:textId="77777777" w:rsidR="00996AD7" w:rsidRDefault="00D96458">
      <w:pPr>
        <w:spacing w:after="180"/>
      </w:pPr>
      <w:r>
        <w:rPr>
          <w:rFonts w:ascii="Arial" w:eastAsia="宋体" w:hAnsi="Arial" w:cs="Arial"/>
          <w:color w:val="262626"/>
          <w:sz w:val="18"/>
          <w:szCs w:val="18"/>
        </w:rPr>
        <w:t>Cash used for investing activities was higher in the first nine months of 2021 compared to the first nine months of 2020, prima</w:t>
      </w:r>
      <w:r>
        <w:rPr>
          <w:rFonts w:ascii="Arial" w:eastAsia="宋体" w:hAnsi="Arial" w:cs="Arial"/>
          <w:color w:val="262626"/>
          <w:sz w:val="18"/>
          <w:szCs w:val="18"/>
        </w:rPr>
        <w:t>rily driven by an increase in purchases of trading assets and an increase in capital expenditures, partially offset by an increase in maturities and sales of trading assets.</w:t>
      </w:r>
    </w:p>
    <w:p w14:paraId="39D99DA0" w14:textId="77777777" w:rsidR="00996AD7" w:rsidRDefault="00D96458">
      <w:pPr>
        <w:spacing w:after="120"/>
      </w:pPr>
      <w:r>
        <w:rPr>
          <w:rFonts w:ascii="Arial" w:eastAsia="宋体" w:hAnsi="Arial" w:cs="Arial"/>
          <w:color w:val="0068B5"/>
          <w:sz w:val="20"/>
          <w:szCs w:val="20"/>
        </w:rPr>
        <w:t>Financing Activities</w:t>
      </w:r>
    </w:p>
    <w:p w14:paraId="39D99DA1" w14:textId="77777777" w:rsidR="00996AD7" w:rsidRDefault="00D96458">
      <w:pPr>
        <w:spacing w:after="180"/>
      </w:pPr>
      <w:r>
        <w:rPr>
          <w:rFonts w:ascii="Arial" w:eastAsia="宋体" w:hAnsi="Arial" w:cs="Arial"/>
          <w:color w:val="262626"/>
          <w:sz w:val="18"/>
          <w:szCs w:val="18"/>
        </w:rPr>
        <w:t>Financing cash flows consist primarily of repurchases of comm</w:t>
      </w:r>
      <w:r>
        <w:rPr>
          <w:rFonts w:ascii="Arial" w:eastAsia="宋体" w:hAnsi="Arial" w:cs="Arial"/>
          <w:color w:val="262626"/>
          <w:sz w:val="18"/>
          <w:szCs w:val="18"/>
        </w:rPr>
        <w:t>on stock, payment of dividends to stockholders, issuance and repayment of short-term and long-term debt, and proceeds from the sale of shares of common stock through employee equity incentive plans.</w:t>
      </w:r>
    </w:p>
    <w:p w14:paraId="39D99DA2" w14:textId="77777777" w:rsidR="00996AD7" w:rsidRDefault="00D96458">
      <w:pPr>
        <w:spacing w:after="180"/>
      </w:pPr>
      <w:r>
        <w:rPr>
          <w:rFonts w:ascii="Arial" w:eastAsia="宋体" w:hAnsi="Arial" w:cs="Arial"/>
          <w:color w:val="262626"/>
          <w:sz w:val="18"/>
          <w:szCs w:val="18"/>
        </w:rPr>
        <w:t>Cash used for financing activities was lower in the first</w:t>
      </w:r>
      <w:r>
        <w:rPr>
          <w:rFonts w:ascii="Arial" w:eastAsia="宋体" w:hAnsi="Arial" w:cs="Arial"/>
          <w:color w:val="262626"/>
          <w:sz w:val="18"/>
          <w:szCs w:val="18"/>
        </w:rPr>
        <w:t xml:space="preserve"> nine months of 2021 compared to the first nine months of 2020 due to a decrease in repurchases of common stock and a decrease in repayment of debt and debt conversion, partially offset by a decrease in cash provided by long-term debt issuances.</w:t>
      </w:r>
    </w:p>
    <w:p w14:paraId="39D99DA3" w14:textId="77777777" w:rsidR="00996AD7" w:rsidRDefault="00D96458">
      <w:pPr>
        <w:spacing w:before="300" w:after="180"/>
      </w:pPr>
      <w:r>
        <w:rPr>
          <w:rFonts w:ascii="Arial" w:eastAsia="宋体" w:hAnsi="Arial" w:cs="Arial"/>
          <w:color w:val="0068B5"/>
          <w:sz w:val="28"/>
          <w:szCs w:val="28"/>
        </w:rPr>
        <w:t>Non-GAAP F</w:t>
      </w:r>
      <w:r>
        <w:rPr>
          <w:rFonts w:ascii="Arial" w:eastAsia="宋体" w:hAnsi="Arial" w:cs="Arial"/>
          <w:color w:val="0068B5"/>
          <w:sz w:val="28"/>
          <w:szCs w:val="28"/>
        </w:rPr>
        <w:t>inancial Measures</w:t>
      </w:r>
    </w:p>
    <w:p w14:paraId="39D99DA4" w14:textId="77777777" w:rsidR="00996AD7" w:rsidRDefault="00D96458">
      <w:pPr>
        <w:spacing w:after="180"/>
      </w:pPr>
      <w:r>
        <w:rPr>
          <w:rFonts w:ascii="Arial" w:eastAsia="宋体" w:hAnsi="Arial" w:cs="Arial"/>
          <w:color w:val="262626"/>
          <w:sz w:val="18"/>
          <w:szCs w:val="18"/>
        </w:rPr>
        <w:t xml:space="preserve">In addition to disclosing financial results in accordance with U.S. GAAP, this document contains references to the non-GAAP financial measures below. We believe these non-GAAP financial measures provide investors with useful supplemental </w:t>
      </w:r>
      <w:r>
        <w:rPr>
          <w:rFonts w:ascii="Arial" w:eastAsia="宋体" w:hAnsi="Arial" w:cs="Arial"/>
          <w:color w:val="262626"/>
          <w:sz w:val="18"/>
          <w:szCs w:val="18"/>
        </w:rPr>
        <w:t>information about our operating performance, enable comparison of financial trends and results between periods where certain items may vary independent of business performance, and allow for greater transparency with respect to key metrics used by manageme</w:t>
      </w:r>
      <w:r>
        <w:rPr>
          <w:rFonts w:ascii="Arial" w:eastAsia="宋体" w:hAnsi="Arial" w:cs="Arial"/>
          <w:color w:val="262626"/>
          <w:sz w:val="18"/>
          <w:szCs w:val="18"/>
        </w:rPr>
        <w:t>nt in operating our business and measuring our performance. Certain of these non-GAAP financial measures are used in our performance-based RSUs and our annual cash bonus plan.</w:t>
      </w:r>
    </w:p>
    <w:p w14:paraId="39D99DA5" w14:textId="77777777" w:rsidR="00996AD7" w:rsidRDefault="00D96458">
      <w:pPr>
        <w:spacing w:after="180"/>
      </w:pPr>
      <w:r>
        <w:rPr>
          <w:rFonts w:ascii="Arial" w:eastAsia="宋体" w:hAnsi="Arial" w:cs="Arial"/>
          <w:color w:val="262626"/>
          <w:sz w:val="18"/>
          <w:szCs w:val="18"/>
        </w:rPr>
        <w:t>Long-term gross margin outlook range is provided on a non-GAAP basis and exclude</w:t>
      </w:r>
      <w:r>
        <w:rPr>
          <w:rFonts w:ascii="Arial" w:eastAsia="宋体" w:hAnsi="Arial" w:cs="Arial"/>
          <w:color w:val="262626"/>
          <w:sz w:val="18"/>
          <w:szCs w:val="18"/>
        </w:rPr>
        <w:t xml:space="preserve">s the impact of amortization of acquisition-related intangible assets. It also assumes the completion of the first closing of the divestiture of our NAND business prior to such periods. We are unable to provide a full reconciliation of this measure to the </w:t>
      </w:r>
      <w:r>
        <w:rPr>
          <w:rFonts w:ascii="Arial" w:eastAsia="宋体" w:hAnsi="Arial" w:cs="Arial"/>
          <w:color w:val="262626"/>
          <w:sz w:val="18"/>
          <w:szCs w:val="18"/>
        </w:rPr>
        <w:t>corresponding GAAP measure without unreasonable efforts, as the amount and timing of such adjustments on a long-term basis are subject to considerable uncertainty. We believe such a reconciliation would also imply a degree of precision that is inappropriat</w:t>
      </w:r>
      <w:r>
        <w:rPr>
          <w:rFonts w:ascii="Arial" w:eastAsia="宋体" w:hAnsi="Arial" w:cs="Arial"/>
          <w:color w:val="262626"/>
          <w:sz w:val="18"/>
          <w:szCs w:val="18"/>
        </w:rPr>
        <w:t>e for this forward-looking measure.</w:t>
      </w:r>
    </w:p>
    <w:p w14:paraId="39D99DA6" w14:textId="77777777" w:rsidR="00996AD7" w:rsidRDefault="00D96458">
      <w:pPr>
        <w:spacing w:after="180"/>
      </w:pPr>
      <w:r>
        <w:rPr>
          <w:rFonts w:ascii="Arial" w:eastAsia="宋体" w:hAnsi="Arial" w:cs="Arial"/>
          <w:color w:val="262626"/>
          <w:sz w:val="18"/>
          <w:szCs w:val="18"/>
        </w:rPr>
        <w:t>Our non-GAAP financial measures reflect adjustments based on one or more of the following items, as well as the related income tax effects where applicable. Income tax effects have been calculated using an appropriate tax rate for each adjustment. These no</w:t>
      </w:r>
      <w:r>
        <w:rPr>
          <w:rFonts w:ascii="Arial" w:eastAsia="宋体" w:hAnsi="Arial" w:cs="Arial"/>
          <w:color w:val="262626"/>
          <w:sz w:val="18"/>
          <w:szCs w:val="18"/>
        </w:rPr>
        <w:t>n-GAAP financial measures should not be considered a substitute for, or superior to, financial measures calculated in accordance with U.S. GAAP, and the financial results calculated in accordance with U.S. GAAP and reconciliations from these results should</w:t>
      </w:r>
      <w:r>
        <w:rPr>
          <w:rFonts w:ascii="Arial" w:eastAsia="宋体" w:hAnsi="Arial" w:cs="Arial"/>
          <w:color w:val="262626"/>
          <w:sz w:val="18"/>
          <w:szCs w:val="18"/>
        </w:rPr>
        <w:t xml:space="preserve"> be carefully evaluated. </w:t>
      </w:r>
    </w:p>
    <w:p w14:paraId="39D99DA7" w14:textId="77777777" w:rsidR="00996AD7" w:rsidRDefault="00996AD7">
      <w:pPr>
        <w:spacing w:after="180"/>
      </w:pPr>
    </w:p>
    <w:p w14:paraId="39D99DA8" w14:textId="77777777" w:rsidR="00996AD7" w:rsidRDefault="00996AD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996AD7" w14:paraId="39D99DB2" w14:textId="77777777">
        <w:tc>
          <w:tcPr>
            <w:tcW w:w="50" w:type="pct"/>
            <w:shd w:val="clear" w:color="auto" w:fill="auto"/>
            <w:vAlign w:val="bottom"/>
          </w:tcPr>
          <w:p w14:paraId="39D99DA9" w14:textId="77777777" w:rsidR="00996AD7" w:rsidRDefault="00996AD7">
            <w:pPr>
              <w:rPr>
                <w:rFonts w:ascii="宋体"/>
              </w:rPr>
            </w:pPr>
          </w:p>
        </w:tc>
        <w:tc>
          <w:tcPr>
            <w:tcW w:w="212" w:type="pct"/>
            <w:shd w:val="clear" w:color="auto" w:fill="auto"/>
            <w:vAlign w:val="bottom"/>
          </w:tcPr>
          <w:p w14:paraId="39D99DAA" w14:textId="77777777" w:rsidR="00996AD7" w:rsidRDefault="00996AD7">
            <w:pPr>
              <w:rPr>
                <w:rFonts w:ascii="宋体"/>
              </w:rPr>
            </w:pPr>
          </w:p>
        </w:tc>
        <w:tc>
          <w:tcPr>
            <w:tcW w:w="5" w:type="pct"/>
            <w:shd w:val="clear" w:color="auto" w:fill="auto"/>
            <w:vAlign w:val="bottom"/>
          </w:tcPr>
          <w:p w14:paraId="39D99DAB" w14:textId="77777777" w:rsidR="00996AD7" w:rsidRDefault="00996AD7">
            <w:pPr>
              <w:rPr>
                <w:rFonts w:ascii="宋体"/>
              </w:rPr>
            </w:pPr>
          </w:p>
        </w:tc>
        <w:tc>
          <w:tcPr>
            <w:tcW w:w="50" w:type="pct"/>
            <w:shd w:val="clear" w:color="auto" w:fill="auto"/>
            <w:vAlign w:val="bottom"/>
          </w:tcPr>
          <w:p w14:paraId="39D99DAC" w14:textId="77777777" w:rsidR="00996AD7" w:rsidRDefault="00996AD7">
            <w:pPr>
              <w:rPr>
                <w:rFonts w:ascii="宋体"/>
              </w:rPr>
            </w:pPr>
          </w:p>
        </w:tc>
        <w:tc>
          <w:tcPr>
            <w:tcW w:w="2499" w:type="pct"/>
            <w:shd w:val="clear" w:color="auto" w:fill="auto"/>
            <w:vAlign w:val="bottom"/>
          </w:tcPr>
          <w:p w14:paraId="39D99DAD" w14:textId="77777777" w:rsidR="00996AD7" w:rsidRDefault="00996AD7">
            <w:pPr>
              <w:rPr>
                <w:rFonts w:ascii="宋体"/>
              </w:rPr>
            </w:pPr>
          </w:p>
        </w:tc>
        <w:tc>
          <w:tcPr>
            <w:tcW w:w="5" w:type="pct"/>
            <w:shd w:val="clear" w:color="auto" w:fill="auto"/>
            <w:vAlign w:val="bottom"/>
          </w:tcPr>
          <w:p w14:paraId="39D99DAE" w14:textId="77777777" w:rsidR="00996AD7" w:rsidRDefault="00996AD7">
            <w:pPr>
              <w:rPr>
                <w:rFonts w:ascii="宋体"/>
              </w:rPr>
            </w:pPr>
          </w:p>
        </w:tc>
        <w:tc>
          <w:tcPr>
            <w:tcW w:w="50" w:type="pct"/>
            <w:shd w:val="clear" w:color="auto" w:fill="auto"/>
            <w:vAlign w:val="bottom"/>
          </w:tcPr>
          <w:p w14:paraId="39D99DAF" w14:textId="77777777" w:rsidR="00996AD7" w:rsidRDefault="00996AD7">
            <w:pPr>
              <w:rPr>
                <w:rFonts w:ascii="宋体"/>
              </w:rPr>
            </w:pPr>
          </w:p>
        </w:tc>
        <w:tc>
          <w:tcPr>
            <w:tcW w:w="2122" w:type="pct"/>
            <w:shd w:val="clear" w:color="auto" w:fill="auto"/>
            <w:vAlign w:val="bottom"/>
          </w:tcPr>
          <w:p w14:paraId="39D99DB0" w14:textId="77777777" w:rsidR="00996AD7" w:rsidRDefault="00996AD7">
            <w:pPr>
              <w:rPr>
                <w:rFonts w:ascii="宋体"/>
              </w:rPr>
            </w:pPr>
          </w:p>
        </w:tc>
        <w:tc>
          <w:tcPr>
            <w:tcW w:w="5" w:type="pct"/>
            <w:shd w:val="clear" w:color="auto" w:fill="auto"/>
            <w:vAlign w:val="bottom"/>
          </w:tcPr>
          <w:p w14:paraId="39D99DB1" w14:textId="77777777" w:rsidR="00996AD7" w:rsidRDefault="00996AD7">
            <w:pPr>
              <w:rPr>
                <w:rFonts w:ascii="宋体"/>
              </w:rPr>
            </w:pPr>
          </w:p>
        </w:tc>
      </w:tr>
      <w:tr w:rsidR="00996AD7" w14:paraId="39D99DB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DB3"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2F" wp14:editId="39D9A430">
                  <wp:extent cx="304800" cy="304800"/>
                  <wp:effectExtent l="0" t="0" r="0" b="0"/>
                  <wp:docPr id="86" name="图片 136"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36"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DB4"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DB5" w14:textId="77777777" w:rsidR="00996AD7" w:rsidRDefault="00D96458">
            <w:pPr>
              <w:jc w:val="right"/>
              <w:textAlignment w:val="center"/>
            </w:pPr>
            <w:r>
              <w:rPr>
                <w:rFonts w:ascii="Arial" w:eastAsia="宋体" w:hAnsi="Arial" w:cs="Arial"/>
                <w:color w:val="262626"/>
                <w:sz w:val="16"/>
                <w:szCs w:val="16"/>
              </w:rPr>
              <w:t>38</w:t>
            </w:r>
          </w:p>
        </w:tc>
      </w:tr>
    </w:tbl>
    <w:p w14:paraId="39D99DB7" w14:textId="77777777" w:rsidR="00996AD7" w:rsidRDefault="00D96458">
      <w:r>
        <w:pict w14:anchorId="39D9A431">
          <v:rect id="_x0000_i1064" style="width:415.3pt;height:1.5pt" o:hralign="center" o:hrstd="t" o:hr="t" fillcolor="#a0a0a0" stroked="f"/>
        </w:pict>
      </w:r>
    </w:p>
    <w:p w14:paraId="39D99DB8" w14:textId="77777777" w:rsidR="00996AD7" w:rsidRDefault="00D96458">
      <w:pPr>
        <w:spacing w:after="180"/>
        <w:jc w:val="right"/>
      </w:pPr>
      <w:hyperlink r:id="rId65" w:anchor="i94e6cc3aa83643b8b968bd5bab038338_7" w:history="1">
        <w:r>
          <w:rPr>
            <w:rStyle w:val="a5"/>
            <w:rFonts w:ascii="Arial" w:eastAsia="宋体" w:hAnsi="Arial" w:cs="Arial"/>
            <w:b/>
            <w:bCs/>
            <w:color w:val="0068B5"/>
            <w:sz w:val="16"/>
            <w:szCs w:val="16"/>
          </w:rPr>
          <w:t>Table of Contents</w:t>
        </w:r>
      </w:hyperlink>
    </w:p>
    <w:p w14:paraId="39D99DB9" w14:textId="77777777" w:rsidR="00996AD7" w:rsidRDefault="00996AD7">
      <w:pPr>
        <w:spacing w:after="180"/>
        <w:jc w:val="right"/>
      </w:pPr>
    </w:p>
    <w:tbl>
      <w:tblPr>
        <w:tblW w:w="4993" w:type="pct"/>
        <w:tblCellMar>
          <w:top w:w="15" w:type="dxa"/>
          <w:left w:w="15" w:type="dxa"/>
          <w:bottom w:w="15" w:type="dxa"/>
          <w:right w:w="15" w:type="dxa"/>
        </w:tblCellMar>
        <w:tblLook w:val="04A0" w:firstRow="1" w:lastRow="0" w:firstColumn="1" w:lastColumn="0" w:noHBand="0" w:noVBand="1"/>
      </w:tblPr>
      <w:tblGrid>
        <w:gridCol w:w="82"/>
        <w:gridCol w:w="1441"/>
        <w:gridCol w:w="37"/>
        <w:gridCol w:w="69"/>
        <w:gridCol w:w="3276"/>
        <w:gridCol w:w="37"/>
        <w:gridCol w:w="69"/>
        <w:gridCol w:w="3276"/>
        <w:gridCol w:w="37"/>
      </w:tblGrid>
      <w:tr w:rsidR="00996AD7" w14:paraId="39D99DC3" w14:textId="77777777">
        <w:tc>
          <w:tcPr>
            <w:tcW w:w="50" w:type="pct"/>
            <w:shd w:val="clear" w:color="auto" w:fill="auto"/>
            <w:vAlign w:val="bottom"/>
          </w:tcPr>
          <w:p w14:paraId="39D99DBA" w14:textId="77777777" w:rsidR="00996AD7" w:rsidRDefault="00996AD7">
            <w:pPr>
              <w:rPr>
                <w:rFonts w:ascii="宋体"/>
              </w:rPr>
            </w:pPr>
          </w:p>
        </w:tc>
        <w:tc>
          <w:tcPr>
            <w:tcW w:w="882" w:type="pct"/>
            <w:shd w:val="clear" w:color="auto" w:fill="auto"/>
            <w:vAlign w:val="bottom"/>
          </w:tcPr>
          <w:p w14:paraId="39D99DBB" w14:textId="77777777" w:rsidR="00996AD7" w:rsidRDefault="00996AD7">
            <w:pPr>
              <w:rPr>
                <w:rFonts w:ascii="宋体"/>
              </w:rPr>
            </w:pPr>
          </w:p>
        </w:tc>
        <w:tc>
          <w:tcPr>
            <w:tcW w:w="5" w:type="pct"/>
            <w:shd w:val="clear" w:color="auto" w:fill="auto"/>
            <w:vAlign w:val="bottom"/>
          </w:tcPr>
          <w:p w14:paraId="39D99DBC" w14:textId="77777777" w:rsidR="00996AD7" w:rsidRDefault="00996AD7">
            <w:pPr>
              <w:rPr>
                <w:rFonts w:ascii="宋体"/>
              </w:rPr>
            </w:pPr>
          </w:p>
        </w:tc>
        <w:tc>
          <w:tcPr>
            <w:tcW w:w="50" w:type="pct"/>
            <w:shd w:val="clear" w:color="auto" w:fill="auto"/>
            <w:vAlign w:val="bottom"/>
          </w:tcPr>
          <w:p w14:paraId="39D99DBD" w14:textId="77777777" w:rsidR="00996AD7" w:rsidRDefault="00996AD7">
            <w:pPr>
              <w:rPr>
                <w:rFonts w:ascii="宋体"/>
              </w:rPr>
            </w:pPr>
          </w:p>
        </w:tc>
        <w:tc>
          <w:tcPr>
            <w:tcW w:w="1976" w:type="pct"/>
            <w:shd w:val="clear" w:color="auto" w:fill="auto"/>
            <w:vAlign w:val="bottom"/>
          </w:tcPr>
          <w:p w14:paraId="39D99DBE" w14:textId="77777777" w:rsidR="00996AD7" w:rsidRDefault="00996AD7">
            <w:pPr>
              <w:rPr>
                <w:rFonts w:ascii="宋体"/>
              </w:rPr>
            </w:pPr>
          </w:p>
        </w:tc>
        <w:tc>
          <w:tcPr>
            <w:tcW w:w="5" w:type="pct"/>
            <w:shd w:val="clear" w:color="auto" w:fill="auto"/>
            <w:vAlign w:val="bottom"/>
          </w:tcPr>
          <w:p w14:paraId="39D99DBF" w14:textId="77777777" w:rsidR="00996AD7" w:rsidRDefault="00996AD7">
            <w:pPr>
              <w:rPr>
                <w:rFonts w:ascii="宋体"/>
              </w:rPr>
            </w:pPr>
          </w:p>
        </w:tc>
        <w:tc>
          <w:tcPr>
            <w:tcW w:w="50" w:type="pct"/>
            <w:shd w:val="clear" w:color="auto" w:fill="auto"/>
            <w:vAlign w:val="bottom"/>
          </w:tcPr>
          <w:p w14:paraId="39D99DC0" w14:textId="77777777" w:rsidR="00996AD7" w:rsidRDefault="00996AD7">
            <w:pPr>
              <w:rPr>
                <w:rFonts w:ascii="宋体"/>
              </w:rPr>
            </w:pPr>
          </w:p>
        </w:tc>
        <w:tc>
          <w:tcPr>
            <w:tcW w:w="1976" w:type="pct"/>
            <w:shd w:val="clear" w:color="auto" w:fill="auto"/>
            <w:vAlign w:val="bottom"/>
          </w:tcPr>
          <w:p w14:paraId="39D99DC1" w14:textId="77777777" w:rsidR="00996AD7" w:rsidRDefault="00996AD7">
            <w:pPr>
              <w:rPr>
                <w:rFonts w:ascii="宋体"/>
              </w:rPr>
            </w:pPr>
          </w:p>
        </w:tc>
        <w:tc>
          <w:tcPr>
            <w:tcW w:w="5" w:type="pct"/>
            <w:shd w:val="clear" w:color="auto" w:fill="auto"/>
            <w:vAlign w:val="bottom"/>
          </w:tcPr>
          <w:p w14:paraId="39D99DC2" w14:textId="77777777" w:rsidR="00996AD7" w:rsidRDefault="00996AD7">
            <w:pPr>
              <w:rPr>
                <w:rFonts w:ascii="宋体"/>
              </w:rPr>
            </w:pPr>
          </w:p>
        </w:tc>
      </w:tr>
      <w:tr w:rsidR="00996AD7" w14:paraId="39D99DC7"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vAlign w:val="bottom"/>
          </w:tcPr>
          <w:p w14:paraId="39D99DC4" w14:textId="77777777" w:rsidR="00996AD7" w:rsidRDefault="00D96458">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vAlign w:val="bottom"/>
          </w:tcPr>
          <w:p w14:paraId="39D99DC5" w14:textId="77777777" w:rsidR="00996AD7" w:rsidRDefault="00D96458">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vAlign w:val="bottom"/>
          </w:tcPr>
          <w:p w14:paraId="39D99DC6" w14:textId="77777777" w:rsidR="00996AD7" w:rsidRDefault="00D96458">
            <w:pPr>
              <w:jc w:val="center"/>
              <w:textAlignment w:val="bottom"/>
            </w:pPr>
            <w:r>
              <w:rPr>
                <w:rFonts w:ascii="Arial" w:eastAsia="宋体" w:hAnsi="Arial" w:cs="Arial"/>
                <w:b/>
                <w:bCs/>
                <w:color w:val="262626"/>
                <w:sz w:val="18"/>
                <w:szCs w:val="18"/>
              </w:rPr>
              <w:t xml:space="preserve">Usefulness to </w:t>
            </w:r>
            <w:r>
              <w:rPr>
                <w:rFonts w:ascii="Arial" w:eastAsia="宋体" w:hAnsi="Arial" w:cs="Arial"/>
                <w:b/>
                <w:bCs/>
                <w:color w:val="262626"/>
                <w:sz w:val="18"/>
                <w:szCs w:val="18"/>
              </w:rPr>
              <w:t>management and investors</w:t>
            </w:r>
          </w:p>
        </w:tc>
      </w:tr>
      <w:tr w:rsidR="00996AD7" w14:paraId="39D99DCB"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39D99DC8" w14:textId="77777777" w:rsidR="00996AD7" w:rsidRDefault="00D96458">
            <w:pPr>
              <w:textAlignment w:val="top"/>
            </w:pPr>
            <w:r>
              <w:rPr>
                <w:rFonts w:ascii="Arial" w:eastAsia="宋体" w:hAnsi="Arial" w:cs="Arial"/>
                <w:color w:val="262626"/>
                <w:sz w:val="18"/>
                <w:szCs w:val="18"/>
              </w:rPr>
              <w:t>NAND memory business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39D99DC9" w14:textId="77777777" w:rsidR="00996AD7" w:rsidRDefault="00D96458">
            <w:pPr>
              <w:textAlignment w:val="top"/>
            </w:pPr>
            <w:r>
              <w:rPr>
                <w:rFonts w:ascii="Arial" w:eastAsia="宋体" w:hAnsi="Arial" w:cs="Arial"/>
                <w:color w:val="262626"/>
                <w:sz w:val="18"/>
                <w:szCs w:val="18"/>
              </w:rPr>
              <w:t>Our NAND memory business is subject to a pending sale to SK hynix, as announced in October 2020.</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39D99DCA" w14:textId="77777777" w:rsidR="00996AD7" w:rsidRDefault="00D96458">
            <w:pPr>
              <w:textAlignment w:val="top"/>
            </w:pPr>
            <w:r>
              <w:rPr>
                <w:rFonts w:ascii="Arial" w:eastAsia="宋体" w:hAnsi="Arial" w:cs="Arial"/>
                <w:color w:val="262626"/>
                <w:sz w:val="18"/>
                <w:szCs w:val="18"/>
              </w:rPr>
              <w:t xml:space="preserve">We exclude the impact of our NAND memory business in certain non-GAAP measures because these </w:t>
            </w:r>
            <w:r>
              <w:rPr>
                <w:rFonts w:ascii="Arial" w:eastAsia="宋体" w:hAnsi="Arial" w:cs="Arial"/>
                <w:color w:val="262626"/>
                <w:sz w:val="18"/>
                <w:szCs w:val="18"/>
              </w:rPr>
              <w:t>adjustments reflect how management currently views the core operations of the company. While the sale of the NAND memory business is still pending and subject to closing conditions, management does not currently view the business as part of the company’s c</w:t>
            </w:r>
            <w:r>
              <w:rPr>
                <w:rFonts w:ascii="Arial" w:eastAsia="宋体" w:hAnsi="Arial" w:cs="Arial"/>
                <w:color w:val="262626"/>
                <w:sz w:val="18"/>
                <w:szCs w:val="18"/>
              </w:rPr>
              <w:t>ore operations or its long-term strategic direction. We believe these adjustments provide investors with a useful view, through the eyes of management, of the company’s core business model and how management currently evaluates core operational performance</w:t>
            </w:r>
            <w:r>
              <w:rPr>
                <w:rFonts w:ascii="Arial" w:eastAsia="宋体" w:hAnsi="Arial" w:cs="Arial"/>
                <w:color w:val="262626"/>
                <w:sz w:val="18"/>
                <w:szCs w:val="18"/>
              </w:rPr>
              <w:t>. We believe they also provide investors with an additional means to understand the potential impact of the divestiture over time. In making these adjustments, we have not made any changes to our methods for measuring and calculating revenue or other finan</w:t>
            </w:r>
            <w:r>
              <w:rPr>
                <w:rFonts w:ascii="Arial" w:eastAsia="宋体" w:hAnsi="Arial" w:cs="Arial"/>
                <w:color w:val="262626"/>
                <w:sz w:val="18"/>
                <w:szCs w:val="18"/>
              </w:rPr>
              <w:t>cial statement amounts.</w:t>
            </w:r>
          </w:p>
        </w:tc>
      </w:tr>
      <w:tr w:rsidR="00996AD7" w14:paraId="39D99DCF"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39D99DCC" w14:textId="77777777" w:rsidR="00996AD7" w:rsidRDefault="00D96458">
            <w:pPr>
              <w:textAlignment w:val="top"/>
            </w:pPr>
            <w:r>
              <w:rPr>
                <w:rFonts w:ascii="Arial" w:eastAsia="宋体" w:hAnsi="Arial" w:cs="Arial"/>
                <w:color w:val="262626"/>
                <w:sz w:val="18"/>
                <w:szCs w:val="18"/>
              </w:rPr>
              <w:t>Acquisition-related adjustments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39D99DCD" w14:textId="77777777" w:rsidR="00996AD7" w:rsidRDefault="00D96458">
            <w:pPr>
              <w:textAlignment w:val="top"/>
            </w:pPr>
            <w:r>
              <w:rPr>
                <w:rFonts w:ascii="Arial" w:eastAsia="宋体" w:hAnsi="Arial" w:cs="Arial"/>
                <w:color w:val="262626"/>
                <w:sz w:val="18"/>
                <w:szCs w:val="18"/>
              </w:rPr>
              <w:t>Amortization of acquisition-related intangible assets consists of amortization of intangible assets such as developed technology, brands, and customer relationships acquired in connection with busine</w:t>
            </w:r>
            <w:r>
              <w:rPr>
                <w:rFonts w:ascii="Arial" w:eastAsia="宋体" w:hAnsi="Arial" w:cs="Arial"/>
                <w:color w:val="262626"/>
                <w:sz w:val="18"/>
                <w:szCs w:val="18"/>
              </w:rPr>
              <w:t>ss combinations. Charges related to the amortization of these intangibles are recorded within both cost of sales and MG&amp;A in our U.S. GAAP financial statements. Amortization charges are recorded over the estimated useful life of the related acquired intang</w:t>
            </w:r>
            <w:r>
              <w:rPr>
                <w:rFonts w:ascii="Arial" w:eastAsia="宋体" w:hAnsi="Arial" w:cs="Arial"/>
                <w:color w:val="262626"/>
                <w:sz w:val="18"/>
                <w:szCs w:val="18"/>
              </w:rPr>
              <w:t>ible asset, and thus are generally recorded over multiple years.</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39D99DCE" w14:textId="77777777" w:rsidR="00996AD7" w:rsidRDefault="00D96458">
            <w:pPr>
              <w:textAlignment w:val="top"/>
            </w:pPr>
            <w:r>
              <w:rPr>
                <w:rFonts w:ascii="Arial" w:eastAsia="宋体" w:hAnsi="Arial" w:cs="Arial"/>
                <w:color w:val="262626"/>
                <w:sz w:val="18"/>
                <w:szCs w:val="18"/>
              </w:rPr>
              <w:t xml:space="preserve">We exclude amortization charges for our acquisition-related intangible assets for purposes of calculating certain non-GAAP measures because these charges are inconsistent in size and are </w:t>
            </w:r>
            <w:r>
              <w:rPr>
                <w:rFonts w:ascii="Arial" w:eastAsia="宋体" w:hAnsi="Arial" w:cs="Arial"/>
                <w:color w:val="262626"/>
                <w:sz w:val="18"/>
                <w:szCs w:val="18"/>
              </w:rPr>
              <w:t>significantly impacted by the timing and valuation of our acquisitions. These adjustments facilitate a useful evaluation of our current operating performance and comparison to our past operating performance and provide investors with additional means to ev</w:t>
            </w:r>
            <w:r>
              <w:rPr>
                <w:rFonts w:ascii="Arial" w:eastAsia="宋体" w:hAnsi="Arial" w:cs="Arial"/>
                <w:color w:val="262626"/>
                <w:sz w:val="18"/>
                <w:szCs w:val="18"/>
              </w:rPr>
              <w:t>aluate cost and expense trends.</w:t>
            </w:r>
          </w:p>
        </w:tc>
      </w:tr>
      <w:tr w:rsidR="00996AD7" w14:paraId="39D99DD3"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39D99DD0" w14:textId="77777777" w:rsidR="00996AD7" w:rsidRDefault="00D96458">
            <w:pPr>
              <w:textAlignment w:val="top"/>
            </w:pPr>
            <w:r>
              <w:rPr>
                <w:rFonts w:ascii="Arial" w:eastAsia="宋体" w:hAnsi="Arial" w:cs="Arial"/>
                <w:color w:val="262626"/>
                <w:sz w:val="18"/>
                <w:szCs w:val="18"/>
              </w:rPr>
              <w:t>Restructuring and other charges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39D99DD1" w14:textId="77777777" w:rsidR="00996AD7" w:rsidRDefault="00D96458">
            <w:pPr>
              <w:textAlignment w:val="top"/>
            </w:pPr>
            <w:r>
              <w:rPr>
                <w:rFonts w:ascii="Arial" w:eastAsia="宋体" w:hAnsi="Arial" w:cs="Arial"/>
                <w:color w:val="262626"/>
                <w:sz w:val="18"/>
                <w:szCs w:val="18"/>
              </w:rPr>
              <w:t xml:space="preserve">Restructuring charges are costs associated with a formal restructuring plan and are primarily related to employee severance and benefit arrangements. Other charges include asset impairments, </w:t>
            </w:r>
            <w:r>
              <w:rPr>
                <w:rFonts w:ascii="Arial" w:eastAsia="宋体" w:hAnsi="Arial" w:cs="Arial"/>
                <w:color w:val="262626"/>
                <w:sz w:val="18"/>
                <w:szCs w:val="18"/>
              </w:rPr>
              <w:t>pension charges, and costs associated with restructuring activity.</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39D99DD2" w14:textId="77777777" w:rsidR="00996AD7" w:rsidRDefault="00D96458">
            <w:pPr>
              <w:textAlignment w:val="top"/>
            </w:pPr>
            <w:r>
              <w:rPr>
                <w:rFonts w:ascii="Arial" w:eastAsia="宋体" w:hAnsi="Arial" w:cs="Arial"/>
                <w:color w:val="262626"/>
                <w:sz w:val="18"/>
                <w:szCs w:val="18"/>
              </w:rPr>
              <w:t xml:space="preserve">We exclude restructuring and other charges, including any adjustments to charges recorded in prior periods, for purposes of calculating certain non-GAAP measures because these costs do not </w:t>
            </w:r>
            <w:r>
              <w:rPr>
                <w:rFonts w:ascii="Arial" w:eastAsia="宋体" w:hAnsi="Arial" w:cs="Arial"/>
                <w:color w:val="262626"/>
                <w:sz w:val="18"/>
                <w:szCs w:val="18"/>
              </w:rPr>
              <w:t>reflect our core operating performance. These adjustments facilitate a useful evaluation of our core operating performance and comparisons to past operating results and provide investors with additional means to evaluate expense trends.</w:t>
            </w:r>
          </w:p>
        </w:tc>
      </w:tr>
      <w:tr w:rsidR="00996AD7" w14:paraId="39D99DD7" w14:textId="77777777">
        <w:trPr>
          <w:hidden/>
        </w:trPr>
        <w:tc>
          <w:tcPr>
            <w:tcW w:w="0" w:type="auto"/>
            <w:gridSpan w:val="3"/>
            <w:shd w:val="clear" w:color="auto" w:fill="auto"/>
            <w:vAlign w:val="bottom"/>
          </w:tcPr>
          <w:p w14:paraId="39D99DD4" w14:textId="77777777" w:rsidR="00996AD7" w:rsidRDefault="00996AD7">
            <w:pPr>
              <w:rPr>
                <w:rFonts w:ascii="宋体"/>
                <w:vanish/>
              </w:rPr>
            </w:pPr>
          </w:p>
        </w:tc>
        <w:tc>
          <w:tcPr>
            <w:tcW w:w="0" w:type="auto"/>
            <w:gridSpan w:val="3"/>
            <w:shd w:val="clear" w:color="auto" w:fill="auto"/>
            <w:vAlign w:val="bottom"/>
          </w:tcPr>
          <w:p w14:paraId="39D99DD5" w14:textId="77777777" w:rsidR="00996AD7" w:rsidRDefault="00996AD7">
            <w:pPr>
              <w:rPr>
                <w:rFonts w:ascii="宋体"/>
                <w:vanish/>
              </w:rPr>
            </w:pPr>
          </w:p>
        </w:tc>
        <w:tc>
          <w:tcPr>
            <w:tcW w:w="0" w:type="auto"/>
            <w:gridSpan w:val="3"/>
            <w:shd w:val="clear" w:color="auto" w:fill="auto"/>
            <w:vAlign w:val="bottom"/>
          </w:tcPr>
          <w:p w14:paraId="39D99DD6" w14:textId="77777777" w:rsidR="00996AD7" w:rsidRDefault="00996AD7">
            <w:pPr>
              <w:rPr>
                <w:rFonts w:ascii="宋体"/>
                <w:vanish/>
              </w:rPr>
            </w:pPr>
          </w:p>
        </w:tc>
      </w:tr>
      <w:tr w:rsidR="00996AD7" w14:paraId="39D99DDB"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39D99DD8" w14:textId="77777777" w:rsidR="00996AD7" w:rsidRDefault="00D96458">
            <w:pPr>
              <w:textAlignment w:val="top"/>
            </w:pPr>
            <w:r>
              <w:rPr>
                <w:rFonts w:ascii="Arial" w:eastAsia="宋体" w:hAnsi="Arial" w:cs="Arial"/>
                <w:color w:val="262626"/>
                <w:sz w:val="18"/>
                <w:szCs w:val="18"/>
              </w:rPr>
              <w:t xml:space="preserve">Ongoing </w:t>
            </w:r>
            <w:r>
              <w:rPr>
                <w:rFonts w:ascii="Arial" w:eastAsia="宋体" w:hAnsi="Arial" w:cs="Arial"/>
                <w:color w:val="262626"/>
                <w:sz w:val="18"/>
                <w:szCs w:val="18"/>
              </w:rPr>
              <w:t>mark-to-market on marketable equity securities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39D99DD9" w14:textId="77777777" w:rsidR="00996AD7" w:rsidRDefault="00D96458">
            <w:pPr>
              <w:textAlignment w:val="top"/>
            </w:pPr>
            <w:r>
              <w:rPr>
                <w:rFonts w:ascii="Arial" w:eastAsia="宋体" w:hAnsi="Arial" w:cs="Arial"/>
                <w:color w:val="262626"/>
                <w:sz w:val="18"/>
                <w:szCs w:val="18"/>
              </w:rPr>
              <w:t xml:space="preserve">After the initial mark-to-market adjustment is recorded upon a security becoming marketable, gains and losses are recognized from ongoing mark-to-market adjustments of our marketable equity securities. </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39D99DDA" w14:textId="77777777" w:rsidR="00996AD7" w:rsidRDefault="00D96458">
            <w:pPr>
              <w:textAlignment w:val="top"/>
            </w:pPr>
            <w:r>
              <w:rPr>
                <w:rFonts w:ascii="Arial" w:eastAsia="宋体" w:hAnsi="Arial" w:cs="Arial"/>
                <w:color w:val="262626"/>
                <w:sz w:val="18"/>
                <w:szCs w:val="18"/>
              </w:rPr>
              <w:t>We exc</w:t>
            </w:r>
            <w:r>
              <w:rPr>
                <w:rFonts w:ascii="Arial" w:eastAsia="宋体" w:hAnsi="Arial" w:cs="Arial"/>
                <w:color w:val="262626"/>
                <w:sz w:val="18"/>
                <w:szCs w:val="18"/>
              </w:rPr>
              <w:t>lude these ongoing gains and losses for purposes of calculating certain non-GAAP measures because we do not believe this volatility correlates to our core operational performance. These adjustments facilitate a useful evaluation of our current operating pe</w:t>
            </w:r>
            <w:r>
              <w:rPr>
                <w:rFonts w:ascii="Arial" w:eastAsia="宋体" w:hAnsi="Arial" w:cs="Arial"/>
                <w:color w:val="262626"/>
                <w:sz w:val="18"/>
                <w:szCs w:val="18"/>
              </w:rPr>
              <w:t xml:space="preserve">rformance and comparisons to past operating results. </w:t>
            </w:r>
          </w:p>
        </w:tc>
      </w:tr>
      <w:tr w:rsidR="00996AD7" w14:paraId="39D99DDF"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39D99DDC" w14:textId="77777777" w:rsidR="00996AD7" w:rsidRDefault="00D96458">
            <w:pPr>
              <w:textAlignment w:val="top"/>
            </w:pPr>
            <w:r>
              <w:rPr>
                <w:rFonts w:ascii="Arial" w:eastAsia="宋体" w:hAnsi="Arial" w:cs="Arial"/>
                <w:color w:val="262626"/>
                <w:sz w:val="18"/>
                <w:szCs w:val="18"/>
              </w:rPr>
              <w:t>Free cash flow</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39D99DDD" w14:textId="77777777" w:rsidR="00996AD7" w:rsidRDefault="00D96458">
            <w:pPr>
              <w:textAlignment w:val="top"/>
            </w:pPr>
            <w:r>
              <w:rPr>
                <w:rFonts w:ascii="Arial" w:eastAsia="宋体" w:hAnsi="Arial" w:cs="Arial"/>
                <w:color w:val="262626"/>
                <w:sz w:val="18"/>
                <w:szCs w:val="18"/>
              </w:rPr>
              <w:t>We reference a non-GAAP financial measure of free cash flow, which is used by management when assessing our sources of liquidity, capital resources, and quality of earnings. Free cash fl</w:t>
            </w:r>
            <w:r>
              <w:rPr>
                <w:rFonts w:ascii="Arial" w:eastAsia="宋体" w:hAnsi="Arial" w:cs="Arial"/>
                <w:color w:val="262626"/>
                <w:sz w:val="18"/>
                <w:szCs w:val="18"/>
              </w:rPr>
              <w:t>ow is operating cash flow adjusted to exclude additions to property, plant and equipment.</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39D99DDE" w14:textId="77777777" w:rsidR="00996AD7" w:rsidRDefault="00D96458">
            <w:pPr>
              <w:textAlignment w:val="top"/>
            </w:pPr>
            <w:r>
              <w:rPr>
                <w:rFonts w:ascii="Arial" w:eastAsia="宋体" w:hAnsi="Arial" w:cs="Arial"/>
                <w:color w:val="262626"/>
                <w:sz w:val="18"/>
                <w:szCs w:val="18"/>
              </w:rPr>
              <w:t>This non-GAAP financial measure is helpful in understanding our capital requirements and provides an additional means to evaluate the cash flow trends of our business</w:t>
            </w:r>
            <w:r>
              <w:rPr>
                <w:rFonts w:ascii="Arial" w:eastAsia="宋体" w:hAnsi="Arial" w:cs="Arial"/>
                <w:color w:val="262626"/>
                <w:sz w:val="18"/>
                <w:szCs w:val="18"/>
              </w:rPr>
              <w:t xml:space="preserve">. In calculating free cash flow, we do not subtract additions to held for sale NAND property, plant and equipment because the additions are not representative of our long-term capital requirements and we expect these assets to be sold. </w:t>
            </w:r>
          </w:p>
        </w:tc>
      </w:tr>
      <w:tr w:rsidR="00996AD7" w14:paraId="39D99DE3" w14:textId="77777777">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39D99DE0" w14:textId="77777777" w:rsidR="00996AD7" w:rsidRDefault="00D96458">
            <w:pPr>
              <w:textAlignment w:val="top"/>
            </w:pPr>
            <w:r>
              <w:rPr>
                <w:rFonts w:ascii="Arial" w:eastAsia="宋体" w:hAnsi="Arial" w:cs="Arial"/>
                <w:color w:val="262626"/>
                <w:sz w:val="18"/>
                <w:szCs w:val="18"/>
              </w:rPr>
              <w:t xml:space="preserve">Total cash and </w:t>
            </w:r>
            <w:r>
              <w:rPr>
                <w:rFonts w:ascii="Arial" w:eastAsia="宋体" w:hAnsi="Arial" w:cs="Arial"/>
                <w:color w:val="262626"/>
                <w:sz w:val="18"/>
                <w:szCs w:val="18"/>
              </w:rPr>
              <w:t>investments</w:t>
            </w:r>
          </w:p>
        </w:tc>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39D99DE1" w14:textId="77777777" w:rsidR="00996AD7" w:rsidRDefault="00D96458">
            <w:pPr>
              <w:textAlignment w:val="top"/>
            </w:pPr>
            <w:r>
              <w:rPr>
                <w:rFonts w:ascii="Arial" w:eastAsia="宋体" w:hAnsi="Arial" w:cs="Arial"/>
                <w:color w:val="262626"/>
                <w:sz w:val="18"/>
                <w:szCs w:val="18"/>
              </w:rPr>
              <w:t>Total cash and investments is used by management when assessing our sources of liquidity, which includes cash and cash equivalents, short-term investments, trading assets, other long-term investments, and loans receivable and other.</w:t>
            </w:r>
          </w:p>
        </w:tc>
        <w:tc>
          <w:tcPr>
            <w:tcW w:w="0" w:type="auto"/>
            <w:gridSpan w:val="3"/>
            <w:tcBorders>
              <w:top w:val="single" w:sz="8" w:space="0" w:color="262626"/>
              <w:left w:val="single" w:sz="8" w:space="0" w:color="262626"/>
              <w:bottom w:val="single" w:sz="8" w:space="0" w:color="262626"/>
              <w:right w:val="single" w:sz="8" w:space="0" w:color="262626"/>
            </w:tcBorders>
            <w:shd w:val="clear" w:color="auto" w:fill="auto"/>
            <w:tcMar>
              <w:top w:w="40" w:type="dxa"/>
              <w:left w:w="20" w:type="dxa"/>
              <w:bottom w:w="40" w:type="dxa"/>
              <w:right w:w="20" w:type="dxa"/>
            </w:tcMar>
          </w:tcPr>
          <w:p w14:paraId="39D99DE2" w14:textId="77777777" w:rsidR="00996AD7" w:rsidRDefault="00D96458">
            <w:pPr>
              <w:textAlignment w:val="top"/>
            </w:pPr>
            <w:r>
              <w:rPr>
                <w:rFonts w:ascii="Arial" w:eastAsia="宋体" w:hAnsi="Arial" w:cs="Arial"/>
                <w:color w:val="262626"/>
                <w:sz w:val="18"/>
                <w:szCs w:val="18"/>
              </w:rPr>
              <w:t xml:space="preserve">This </w:t>
            </w:r>
            <w:r>
              <w:rPr>
                <w:rFonts w:ascii="Arial" w:eastAsia="宋体" w:hAnsi="Arial" w:cs="Arial"/>
                <w:color w:val="262626"/>
                <w:sz w:val="18"/>
                <w:szCs w:val="18"/>
              </w:rPr>
              <w:t>non-GAAP measure is helpful in understanding our capital resources and liquidity position.</w:t>
            </w:r>
          </w:p>
        </w:tc>
      </w:tr>
    </w:tbl>
    <w:p w14:paraId="39D99DE4"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996AD7" w14:paraId="39D99DEE" w14:textId="77777777">
        <w:tc>
          <w:tcPr>
            <w:tcW w:w="50" w:type="pct"/>
            <w:shd w:val="clear" w:color="auto" w:fill="auto"/>
            <w:vAlign w:val="bottom"/>
          </w:tcPr>
          <w:p w14:paraId="39D99DE5" w14:textId="77777777" w:rsidR="00996AD7" w:rsidRDefault="00996AD7">
            <w:pPr>
              <w:rPr>
                <w:rFonts w:ascii="宋体"/>
              </w:rPr>
            </w:pPr>
          </w:p>
        </w:tc>
        <w:tc>
          <w:tcPr>
            <w:tcW w:w="212" w:type="pct"/>
            <w:shd w:val="clear" w:color="auto" w:fill="auto"/>
            <w:vAlign w:val="bottom"/>
          </w:tcPr>
          <w:p w14:paraId="39D99DE6" w14:textId="77777777" w:rsidR="00996AD7" w:rsidRDefault="00996AD7">
            <w:pPr>
              <w:rPr>
                <w:rFonts w:ascii="宋体"/>
              </w:rPr>
            </w:pPr>
          </w:p>
        </w:tc>
        <w:tc>
          <w:tcPr>
            <w:tcW w:w="5" w:type="pct"/>
            <w:shd w:val="clear" w:color="auto" w:fill="auto"/>
            <w:vAlign w:val="bottom"/>
          </w:tcPr>
          <w:p w14:paraId="39D99DE7" w14:textId="77777777" w:rsidR="00996AD7" w:rsidRDefault="00996AD7">
            <w:pPr>
              <w:rPr>
                <w:rFonts w:ascii="宋体"/>
              </w:rPr>
            </w:pPr>
          </w:p>
        </w:tc>
        <w:tc>
          <w:tcPr>
            <w:tcW w:w="50" w:type="pct"/>
            <w:shd w:val="clear" w:color="auto" w:fill="auto"/>
            <w:vAlign w:val="bottom"/>
          </w:tcPr>
          <w:p w14:paraId="39D99DE8" w14:textId="77777777" w:rsidR="00996AD7" w:rsidRDefault="00996AD7">
            <w:pPr>
              <w:rPr>
                <w:rFonts w:ascii="宋体"/>
              </w:rPr>
            </w:pPr>
          </w:p>
        </w:tc>
        <w:tc>
          <w:tcPr>
            <w:tcW w:w="2499" w:type="pct"/>
            <w:shd w:val="clear" w:color="auto" w:fill="auto"/>
            <w:vAlign w:val="bottom"/>
          </w:tcPr>
          <w:p w14:paraId="39D99DE9" w14:textId="77777777" w:rsidR="00996AD7" w:rsidRDefault="00996AD7">
            <w:pPr>
              <w:rPr>
                <w:rFonts w:ascii="宋体"/>
              </w:rPr>
            </w:pPr>
          </w:p>
        </w:tc>
        <w:tc>
          <w:tcPr>
            <w:tcW w:w="5" w:type="pct"/>
            <w:shd w:val="clear" w:color="auto" w:fill="auto"/>
            <w:vAlign w:val="bottom"/>
          </w:tcPr>
          <w:p w14:paraId="39D99DEA" w14:textId="77777777" w:rsidR="00996AD7" w:rsidRDefault="00996AD7">
            <w:pPr>
              <w:rPr>
                <w:rFonts w:ascii="宋体"/>
              </w:rPr>
            </w:pPr>
          </w:p>
        </w:tc>
        <w:tc>
          <w:tcPr>
            <w:tcW w:w="50" w:type="pct"/>
            <w:shd w:val="clear" w:color="auto" w:fill="auto"/>
            <w:vAlign w:val="bottom"/>
          </w:tcPr>
          <w:p w14:paraId="39D99DEB" w14:textId="77777777" w:rsidR="00996AD7" w:rsidRDefault="00996AD7">
            <w:pPr>
              <w:rPr>
                <w:rFonts w:ascii="宋体"/>
              </w:rPr>
            </w:pPr>
          </w:p>
        </w:tc>
        <w:tc>
          <w:tcPr>
            <w:tcW w:w="2122" w:type="pct"/>
            <w:shd w:val="clear" w:color="auto" w:fill="auto"/>
            <w:vAlign w:val="bottom"/>
          </w:tcPr>
          <w:p w14:paraId="39D99DEC" w14:textId="77777777" w:rsidR="00996AD7" w:rsidRDefault="00996AD7">
            <w:pPr>
              <w:rPr>
                <w:rFonts w:ascii="宋体"/>
              </w:rPr>
            </w:pPr>
          </w:p>
        </w:tc>
        <w:tc>
          <w:tcPr>
            <w:tcW w:w="5" w:type="pct"/>
            <w:shd w:val="clear" w:color="auto" w:fill="auto"/>
            <w:vAlign w:val="bottom"/>
          </w:tcPr>
          <w:p w14:paraId="39D99DED" w14:textId="77777777" w:rsidR="00996AD7" w:rsidRDefault="00996AD7">
            <w:pPr>
              <w:rPr>
                <w:rFonts w:ascii="宋体"/>
              </w:rPr>
            </w:pPr>
          </w:p>
        </w:tc>
      </w:tr>
      <w:tr w:rsidR="00996AD7" w14:paraId="39D99DF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DEF"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32" wp14:editId="39D9A433">
                  <wp:extent cx="304800" cy="304800"/>
                  <wp:effectExtent l="0" t="0" r="0" b="0"/>
                  <wp:docPr id="83" name="图片 138"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8"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DF0"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9DF1" w14:textId="77777777" w:rsidR="00996AD7" w:rsidRDefault="00D96458">
            <w:pPr>
              <w:jc w:val="right"/>
              <w:textAlignment w:val="center"/>
            </w:pPr>
            <w:r>
              <w:rPr>
                <w:rFonts w:ascii="Arial" w:eastAsia="宋体" w:hAnsi="Arial" w:cs="Arial"/>
                <w:color w:val="262626"/>
                <w:sz w:val="16"/>
                <w:szCs w:val="16"/>
              </w:rPr>
              <w:t>39</w:t>
            </w:r>
          </w:p>
        </w:tc>
      </w:tr>
    </w:tbl>
    <w:p w14:paraId="39D99DF3" w14:textId="77777777" w:rsidR="00996AD7" w:rsidRDefault="00D96458">
      <w:r>
        <w:pict w14:anchorId="39D9A434">
          <v:rect id="_x0000_i1065" style="width:415.3pt;height:1.5pt" o:hralign="center" o:hrstd="t" o:hr="t" fillcolor="#a0a0a0" stroked="f"/>
        </w:pict>
      </w:r>
    </w:p>
    <w:p w14:paraId="39D99DF4" w14:textId="77777777" w:rsidR="00996AD7" w:rsidRDefault="00D96458">
      <w:pPr>
        <w:spacing w:after="180"/>
        <w:jc w:val="right"/>
      </w:pPr>
      <w:hyperlink r:id="rId66" w:anchor="i94e6cc3aa83643b8b968bd5bab038338_7" w:history="1">
        <w:r>
          <w:rPr>
            <w:rStyle w:val="a5"/>
            <w:rFonts w:ascii="Arial" w:eastAsia="宋体" w:hAnsi="Arial" w:cs="Arial"/>
            <w:b/>
            <w:bCs/>
            <w:color w:val="0068B5"/>
            <w:sz w:val="16"/>
            <w:szCs w:val="16"/>
          </w:rPr>
          <w:t>Table of Contents</w:t>
        </w:r>
      </w:hyperlink>
    </w:p>
    <w:p w14:paraId="39D99DF5" w14:textId="77777777" w:rsidR="00996AD7" w:rsidRDefault="00996AD7">
      <w:pPr>
        <w:spacing w:after="180"/>
        <w:jc w:val="right"/>
      </w:pPr>
    </w:p>
    <w:p w14:paraId="39D99DF6" w14:textId="77777777" w:rsidR="00996AD7" w:rsidRDefault="00D96458">
      <w:pPr>
        <w:spacing w:after="120"/>
      </w:pPr>
      <w:r>
        <w:rPr>
          <w:rFonts w:ascii="Arial" w:eastAsia="宋体" w:hAnsi="Arial" w:cs="Arial"/>
          <w:color w:val="262626"/>
          <w:sz w:val="18"/>
          <w:szCs w:val="18"/>
        </w:rPr>
        <w:t>Following are the reconciliations of our most comparable U.S. GAAP measures to our n</w:t>
      </w:r>
      <w:r>
        <w:rPr>
          <w:rFonts w:ascii="Arial" w:eastAsia="宋体" w:hAnsi="Arial" w:cs="Arial"/>
          <w:color w:val="262626"/>
          <w:sz w:val="18"/>
          <w:szCs w:val="18"/>
        </w:rPr>
        <w:t>on-GAAP measures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789"/>
        <w:gridCol w:w="38"/>
        <w:gridCol w:w="36"/>
        <w:gridCol w:w="36"/>
        <w:gridCol w:w="36"/>
        <w:gridCol w:w="121"/>
        <w:gridCol w:w="681"/>
        <w:gridCol w:w="181"/>
        <w:gridCol w:w="36"/>
        <w:gridCol w:w="36"/>
        <w:gridCol w:w="36"/>
        <w:gridCol w:w="121"/>
        <w:gridCol w:w="681"/>
        <w:gridCol w:w="181"/>
        <w:gridCol w:w="36"/>
        <w:gridCol w:w="36"/>
        <w:gridCol w:w="36"/>
        <w:gridCol w:w="36"/>
        <w:gridCol w:w="36"/>
        <w:gridCol w:w="36"/>
        <w:gridCol w:w="36"/>
        <w:gridCol w:w="36"/>
      </w:tblGrid>
      <w:tr w:rsidR="00996AD7" w14:paraId="39D99E0A" w14:textId="77777777">
        <w:tc>
          <w:tcPr>
            <w:tcW w:w="50" w:type="pct"/>
            <w:shd w:val="clear" w:color="auto" w:fill="auto"/>
            <w:vAlign w:val="bottom"/>
          </w:tcPr>
          <w:p w14:paraId="39D99DF7" w14:textId="77777777" w:rsidR="00996AD7" w:rsidRDefault="00996AD7">
            <w:pPr>
              <w:rPr>
                <w:rFonts w:ascii="宋体"/>
              </w:rPr>
            </w:pPr>
          </w:p>
        </w:tc>
        <w:tc>
          <w:tcPr>
            <w:tcW w:w="3688" w:type="pct"/>
            <w:shd w:val="clear" w:color="auto" w:fill="auto"/>
            <w:vAlign w:val="bottom"/>
          </w:tcPr>
          <w:p w14:paraId="39D99DF8" w14:textId="77777777" w:rsidR="00996AD7" w:rsidRDefault="00996AD7">
            <w:pPr>
              <w:rPr>
                <w:rFonts w:ascii="宋体"/>
              </w:rPr>
            </w:pPr>
          </w:p>
        </w:tc>
        <w:tc>
          <w:tcPr>
            <w:tcW w:w="5" w:type="pct"/>
            <w:shd w:val="clear" w:color="auto" w:fill="auto"/>
            <w:vAlign w:val="bottom"/>
          </w:tcPr>
          <w:p w14:paraId="39D99DF9" w14:textId="77777777" w:rsidR="00996AD7" w:rsidRDefault="00996AD7">
            <w:pPr>
              <w:rPr>
                <w:rFonts w:ascii="宋体"/>
              </w:rPr>
            </w:pPr>
          </w:p>
        </w:tc>
        <w:tc>
          <w:tcPr>
            <w:tcW w:w="5" w:type="pct"/>
            <w:shd w:val="clear" w:color="auto" w:fill="auto"/>
            <w:vAlign w:val="bottom"/>
          </w:tcPr>
          <w:p w14:paraId="39D99DFA" w14:textId="77777777" w:rsidR="00996AD7" w:rsidRDefault="00996AD7">
            <w:pPr>
              <w:rPr>
                <w:rFonts w:ascii="宋体"/>
              </w:rPr>
            </w:pPr>
          </w:p>
        </w:tc>
        <w:tc>
          <w:tcPr>
            <w:tcW w:w="24" w:type="pct"/>
            <w:shd w:val="clear" w:color="auto" w:fill="auto"/>
            <w:vAlign w:val="bottom"/>
          </w:tcPr>
          <w:p w14:paraId="39D99DFB" w14:textId="77777777" w:rsidR="00996AD7" w:rsidRDefault="00996AD7">
            <w:pPr>
              <w:rPr>
                <w:rFonts w:ascii="宋体"/>
              </w:rPr>
            </w:pPr>
          </w:p>
        </w:tc>
        <w:tc>
          <w:tcPr>
            <w:tcW w:w="5" w:type="pct"/>
            <w:shd w:val="clear" w:color="auto" w:fill="auto"/>
            <w:vAlign w:val="bottom"/>
          </w:tcPr>
          <w:p w14:paraId="39D99DFC" w14:textId="77777777" w:rsidR="00996AD7" w:rsidRDefault="00996AD7">
            <w:pPr>
              <w:rPr>
                <w:rFonts w:ascii="宋体"/>
              </w:rPr>
            </w:pPr>
          </w:p>
        </w:tc>
        <w:tc>
          <w:tcPr>
            <w:tcW w:w="50" w:type="pct"/>
            <w:shd w:val="clear" w:color="auto" w:fill="auto"/>
            <w:vAlign w:val="bottom"/>
          </w:tcPr>
          <w:p w14:paraId="39D99DFD" w14:textId="77777777" w:rsidR="00996AD7" w:rsidRDefault="00996AD7">
            <w:pPr>
              <w:rPr>
                <w:rFonts w:ascii="宋体"/>
              </w:rPr>
            </w:pPr>
          </w:p>
        </w:tc>
        <w:tc>
          <w:tcPr>
            <w:tcW w:w="539" w:type="pct"/>
            <w:shd w:val="clear" w:color="auto" w:fill="auto"/>
            <w:vAlign w:val="bottom"/>
          </w:tcPr>
          <w:p w14:paraId="39D99DFE" w14:textId="77777777" w:rsidR="00996AD7" w:rsidRDefault="00996AD7">
            <w:pPr>
              <w:rPr>
                <w:rFonts w:ascii="宋体"/>
              </w:rPr>
            </w:pPr>
          </w:p>
        </w:tc>
        <w:tc>
          <w:tcPr>
            <w:tcW w:w="5" w:type="pct"/>
            <w:shd w:val="clear" w:color="auto" w:fill="auto"/>
            <w:vAlign w:val="bottom"/>
          </w:tcPr>
          <w:p w14:paraId="39D99DFF" w14:textId="77777777" w:rsidR="00996AD7" w:rsidRDefault="00996AD7">
            <w:pPr>
              <w:rPr>
                <w:rFonts w:ascii="宋体"/>
              </w:rPr>
            </w:pPr>
          </w:p>
        </w:tc>
        <w:tc>
          <w:tcPr>
            <w:tcW w:w="5" w:type="pct"/>
            <w:shd w:val="clear" w:color="auto" w:fill="auto"/>
            <w:vAlign w:val="bottom"/>
          </w:tcPr>
          <w:p w14:paraId="39D99E00" w14:textId="77777777" w:rsidR="00996AD7" w:rsidRDefault="00996AD7">
            <w:pPr>
              <w:rPr>
                <w:rFonts w:ascii="宋体"/>
              </w:rPr>
            </w:pPr>
          </w:p>
        </w:tc>
        <w:tc>
          <w:tcPr>
            <w:tcW w:w="24" w:type="pct"/>
            <w:shd w:val="clear" w:color="auto" w:fill="auto"/>
            <w:vAlign w:val="bottom"/>
          </w:tcPr>
          <w:p w14:paraId="39D99E01" w14:textId="77777777" w:rsidR="00996AD7" w:rsidRDefault="00996AD7">
            <w:pPr>
              <w:rPr>
                <w:rFonts w:ascii="宋体"/>
              </w:rPr>
            </w:pPr>
          </w:p>
        </w:tc>
        <w:tc>
          <w:tcPr>
            <w:tcW w:w="5" w:type="pct"/>
            <w:shd w:val="clear" w:color="auto" w:fill="auto"/>
            <w:vAlign w:val="bottom"/>
          </w:tcPr>
          <w:p w14:paraId="39D99E02" w14:textId="77777777" w:rsidR="00996AD7" w:rsidRDefault="00996AD7">
            <w:pPr>
              <w:rPr>
                <w:rFonts w:ascii="宋体"/>
              </w:rPr>
            </w:pPr>
          </w:p>
        </w:tc>
        <w:tc>
          <w:tcPr>
            <w:tcW w:w="50" w:type="pct"/>
            <w:shd w:val="clear" w:color="auto" w:fill="auto"/>
            <w:vAlign w:val="bottom"/>
          </w:tcPr>
          <w:p w14:paraId="39D99E03" w14:textId="77777777" w:rsidR="00996AD7" w:rsidRDefault="00996AD7">
            <w:pPr>
              <w:rPr>
                <w:rFonts w:ascii="宋体"/>
              </w:rPr>
            </w:pPr>
          </w:p>
        </w:tc>
        <w:tc>
          <w:tcPr>
            <w:tcW w:w="539" w:type="pct"/>
            <w:shd w:val="clear" w:color="auto" w:fill="auto"/>
            <w:vAlign w:val="bottom"/>
          </w:tcPr>
          <w:p w14:paraId="39D99E04" w14:textId="77777777" w:rsidR="00996AD7" w:rsidRDefault="00996AD7">
            <w:pPr>
              <w:rPr>
                <w:rFonts w:ascii="宋体"/>
              </w:rPr>
            </w:pPr>
          </w:p>
        </w:tc>
        <w:tc>
          <w:tcPr>
            <w:tcW w:w="5" w:type="pct"/>
            <w:shd w:val="clear" w:color="auto" w:fill="auto"/>
            <w:vAlign w:val="bottom"/>
          </w:tcPr>
          <w:p w14:paraId="39D99E05" w14:textId="77777777" w:rsidR="00996AD7" w:rsidRDefault="00996AD7">
            <w:pPr>
              <w:rPr>
                <w:rFonts w:ascii="宋体"/>
              </w:rPr>
            </w:pPr>
          </w:p>
        </w:tc>
        <w:tc>
          <w:tcPr>
            <w:tcW w:w="0" w:type="auto"/>
            <w:shd w:val="clear" w:color="auto" w:fill="auto"/>
            <w:vAlign w:val="bottom"/>
          </w:tcPr>
          <w:p w14:paraId="39D99E06" w14:textId="77777777" w:rsidR="00996AD7" w:rsidRDefault="00996AD7">
            <w:pPr>
              <w:rPr>
                <w:rFonts w:ascii="宋体"/>
                <w:vanish/>
              </w:rPr>
            </w:pPr>
          </w:p>
        </w:tc>
        <w:tc>
          <w:tcPr>
            <w:tcW w:w="0" w:type="auto"/>
            <w:shd w:val="clear" w:color="auto" w:fill="auto"/>
            <w:vAlign w:val="bottom"/>
          </w:tcPr>
          <w:p w14:paraId="39D99E07" w14:textId="77777777" w:rsidR="00996AD7" w:rsidRDefault="00996AD7">
            <w:pPr>
              <w:rPr>
                <w:rFonts w:ascii="宋体"/>
                <w:vanish/>
              </w:rPr>
            </w:pPr>
          </w:p>
        </w:tc>
        <w:tc>
          <w:tcPr>
            <w:tcW w:w="0" w:type="auto"/>
            <w:gridSpan w:val="3"/>
            <w:shd w:val="clear" w:color="auto" w:fill="auto"/>
            <w:vAlign w:val="bottom"/>
          </w:tcPr>
          <w:p w14:paraId="39D99E08" w14:textId="77777777" w:rsidR="00996AD7" w:rsidRDefault="00996AD7">
            <w:pPr>
              <w:rPr>
                <w:rFonts w:ascii="宋体"/>
                <w:vanish/>
              </w:rPr>
            </w:pPr>
          </w:p>
        </w:tc>
        <w:tc>
          <w:tcPr>
            <w:tcW w:w="0" w:type="auto"/>
            <w:gridSpan w:val="3"/>
            <w:shd w:val="clear" w:color="auto" w:fill="auto"/>
            <w:vAlign w:val="bottom"/>
          </w:tcPr>
          <w:p w14:paraId="39D99E09" w14:textId="77777777" w:rsidR="00996AD7" w:rsidRDefault="00996AD7">
            <w:pPr>
              <w:rPr>
                <w:rFonts w:ascii="宋体"/>
                <w:vanish/>
              </w:rPr>
            </w:pPr>
          </w:p>
        </w:tc>
      </w:tr>
      <w:tr w:rsidR="00996AD7" w14:paraId="39D99E16" w14:textId="77777777">
        <w:tc>
          <w:tcPr>
            <w:tcW w:w="0" w:type="auto"/>
            <w:gridSpan w:val="3"/>
            <w:shd w:val="clear" w:color="auto" w:fill="auto"/>
            <w:tcMar>
              <w:top w:w="0" w:type="dxa"/>
              <w:left w:w="20" w:type="dxa"/>
              <w:bottom w:w="0" w:type="dxa"/>
              <w:right w:w="20" w:type="dxa"/>
            </w:tcMar>
            <w:vAlign w:val="bottom"/>
          </w:tcPr>
          <w:p w14:paraId="39D99E0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E0C"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9E0D" w14:textId="77777777" w:rsidR="00996AD7" w:rsidRDefault="00D96458">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39D99E0E" w14:textId="77777777" w:rsidR="00996AD7" w:rsidRDefault="00996AD7">
            <w:pPr>
              <w:rPr>
                <w:rFonts w:ascii="宋体"/>
                <w:vanish/>
              </w:rPr>
            </w:pPr>
          </w:p>
        </w:tc>
        <w:tc>
          <w:tcPr>
            <w:tcW w:w="0" w:type="auto"/>
            <w:shd w:val="clear" w:color="auto" w:fill="auto"/>
            <w:vAlign w:val="bottom"/>
          </w:tcPr>
          <w:p w14:paraId="39D99E0F" w14:textId="77777777" w:rsidR="00996AD7" w:rsidRDefault="00996AD7">
            <w:pPr>
              <w:rPr>
                <w:rFonts w:ascii="宋体"/>
                <w:vanish/>
              </w:rPr>
            </w:pPr>
          </w:p>
        </w:tc>
        <w:tc>
          <w:tcPr>
            <w:tcW w:w="0" w:type="auto"/>
            <w:shd w:val="clear" w:color="auto" w:fill="auto"/>
            <w:vAlign w:val="bottom"/>
          </w:tcPr>
          <w:p w14:paraId="39D99E10" w14:textId="77777777" w:rsidR="00996AD7" w:rsidRDefault="00996AD7">
            <w:pPr>
              <w:rPr>
                <w:rFonts w:ascii="宋体"/>
              </w:rPr>
            </w:pPr>
          </w:p>
        </w:tc>
        <w:tc>
          <w:tcPr>
            <w:tcW w:w="0" w:type="auto"/>
            <w:shd w:val="clear" w:color="auto" w:fill="auto"/>
            <w:vAlign w:val="bottom"/>
          </w:tcPr>
          <w:p w14:paraId="39D99E11" w14:textId="77777777" w:rsidR="00996AD7" w:rsidRDefault="00996AD7">
            <w:pPr>
              <w:rPr>
                <w:rFonts w:ascii="宋体"/>
              </w:rPr>
            </w:pPr>
          </w:p>
        </w:tc>
        <w:tc>
          <w:tcPr>
            <w:tcW w:w="0" w:type="auto"/>
            <w:shd w:val="clear" w:color="auto" w:fill="auto"/>
            <w:vAlign w:val="bottom"/>
          </w:tcPr>
          <w:p w14:paraId="39D99E12" w14:textId="77777777" w:rsidR="00996AD7" w:rsidRDefault="00996AD7">
            <w:pPr>
              <w:rPr>
                <w:rFonts w:ascii="宋体"/>
              </w:rPr>
            </w:pPr>
          </w:p>
        </w:tc>
        <w:tc>
          <w:tcPr>
            <w:tcW w:w="0" w:type="auto"/>
            <w:shd w:val="clear" w:color="auto" w:fill="auto"/>
            <w:vAlign w:val="bottom"/>
          </w:tcPr>
          <w:p w14:paraId="39D99E13" w14:textId="77777777" w:rsidR="00996AD7" w:rsidRDefault="00996AD7">
            <w:pPr>
              <w:rPr>
                <w:rFonts w:ascii="宋体"/>
              </w:rPr>
            </w:pPr>
          </w:p>
        </w:tc>
        <w:tc>
          <w:tcPr>
            <w:tcW w:w="0" w:type="auto"/>
            <w:shd w:val="clear" w:color="auto" w:fill="auto"/>
            <w:vAlign w:val="bottom"/>
          </w:tcPr>
          <w:p w14:paraId="39D99E14" w14:textId="77777777" w:rsidR="00996AD7" w:rsidRDefault="00996AD7">
            <w:pPr>
              <w:rPr>
                <w:rFonts w:ascii="宋体"/>
              </w:rPr>
            </w:pPr>
          </w:p>
        </w:tc>
        <w:tc>
          <w:tcPr>
            <w:tcW w:w="0" w:type="auto"/>
            <w:shd w:val="clear" w:color="auto" w:fill="auto"/>
            <w:vAlign w:val="bottom"/>
          </w:tcPr>
          <w:p w14:paraId="39D99E15" w14:textId="77777777" w:rsidR="00996AD7" w:rsidRDefault="00996AD7">
            <w:pPr>
              <w:rPr>
                <w:rFonts w:ascii="宋体"/>
              </w:rPr>
            </w:pPr>
          </w:p>
        </w:tc>
      </w:tr>
      <w:tr w:rsidR="00996AD7" w14:paraId="39D99E20" w14:textId="77777777">
        <w:tc>
          <w:tcPr>
            <w:tcW w:w="0" w:type="auto"/>
            <w:gridSpan w:val="3"/>
            <w:shd w:val="clear" w:color="auto" w:fill="auto"/>
            <w:tcMar>
              <w:top w:w="40" w:type="dxa"/>
              <w:left w:w="20" w:type="dxa"/>
              <w:bottom w:w="40" w:type="dxa"/>
              <w:right w:w="20" w:type="dxa"/>
            </w:tcMar>
            <w:vAlign w:val="bottom"/>
          </w:tcPr>
          <w:p w14:paraId="39D99E17" w14:textId="77777777" w:rsidR="00996AD7" w:rsidRDefault="00D96458">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39D99E18"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9E19"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9E1A"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9E1B" w14:textId="77777777" w:rsidR="00996AD7" w:rsidRDefault="00D96458">
            <w:pPr>
              <w:jc w:val="center"/>
              <w:textAlignment w:val="bottom"/>
            </w:pPr>
            <w:r>
              <w:rPr>
                <w:rFonts w:ascii="Arial" w:eastAsia="宋体" w:hAnsi="Arial" w:cs="Arial"/>
                <w:b/>
                <w:bCs/>
                <w:color w:val="262626"/>
                <w:sz w:val="18"/>
                <w:szCs w:val="18"/>
              </w:rPr>
              <w:t>Sep 26, 2020</w:t>
            </w:r>
          </w:p>
        </w:tc>
        <w:tc>
          <w:tcPr>
            <w:tcW w:w="0" w:type="auto"/>
            <w:shd w:val="clear" w:color="auto" w:fill="auto"/>
            <w:vAlign w:val="bottom"/>
          </w:tcPr>
          <w:p w14:paraId="39D99E1C" w14:textId="77777777" w:rsidR="00996AD7" w:rsidRDefault="00996AD7">
            <w:pPr>
              <w:rPr>
                <w:rFonts w:ascii="宋体"/>
                <w:vanish/>
              </w:rPr>
            </w:pPr>
          </w:p>
        </w:tc>
        <w:tc>
          <w:tcPr>
            <w:tcW w:w="0" w:type="auto"/>
            <w:shd w:val="clear" w:color="auto" w:fill="auto"/>
            <w:vAlign w:val="bottom"/>
          </w:tcPr>
          <w:p w14:paraId="39D99E1D" w14:textId="77777777" w:rsidR="00996AD7" w:rsidRDefault="00996AD7">
            <w:pPr>
              <w:rPr>
                <w:rFonts w:ascii="宋体"/>
                <w:vanish/>
              </w:rPr>
            </w:pPr>
          </w:p>
        </w:tc>
        <w:tc>
          <w:tcPr>
            <w:tcW w:w="0" w:type="auto"/>
            <w:gridSpan w:val="3"/>
            <w:shd w:val="clear" w:color="auto" w:fill="auto"/>
            <w:vAlign w:val="bottom"/>
          </w:tcPr>
          <w:p w14:paraId="39D99E1E" w14:textId="77777777" w:rsidR="00996AD7" w:rsidRDefault="00996AD7">
            <w:pPr>
              <w:rPr>
                <w:rFonts w:ascii="宋体"/>
                <w:vanish/>
              </w:rPr>
            </w:pPr>
          </w:p>
        </w:tc>
        <w:tc>
          <w:tcPr>
            <w:tcW w:w="0" w:type="auto"/>
            <w:gridSpan w:val="3"/>
            <w:shd w:val="clear" w:color="auto" w:fill="auto"/>
            <w:vAlign w:val="bottom"/>
          </w:tcPr>
          <w:p w14:paraId="39D99E1F" w14:textId="77777777" w:rsidR="00996AD7" w:rsidRDefault="00996AD7">
            <w:pPr>
              <w:rPr>
                <w:rFonts w:ascii="宋体"/>
                <w:vanish/>
              </w:rPr>
            </w:pPr>
          </w:p>
        </w:tc>
      </w:tr>
      <w:tr w:rsidR="00996AD7" w14:paraId="39D99E2A" w14:textId="77777777">
        <w:trPr>
          <w:hidden/>
        </w:trPr>
        <w:tc>
          <w:tcPr>
            <w:tcW w:w="0" w:type="auto"/>
            <w:gridSpan w:val="3"/>
            <w:shd w:val="clear" w:color="auto" w:fill="auto"/>
            <w:vAlign w:val="bottom"/>
          </w:tcPr>
          <w:p w14:paraId="39D99E21" w14:textId="77777777" w:rsidR="00996AD7" w:rsidRDefault="00996AD7">
            <w:pPr>
              <w:rPr>
                <w:rFonts w:ascii="宋体"/>
                <w:vanish/>
              </w:rPr>
            </w:pPr>
          </w:p>
        </w:tc>
        <w:tc>
          <w:tcPr>
            <w:tcW w:w="0" w:type="auto"/>
            <w:gridSpan w:val="3"/>
            <w:shd w:val="clear" w:color="auto" w:fill="auto"/>
            <w:vAlign w:val="bottom"/>
          </w:tcPr>
          <w:p w14:paraId="39D99E22" w14:textId="77777777" w:rsidR="00996AD7" w:rsidRDefault="00996AD7">
            <w:pPr>
              <w:rPr>
                <w:rFonts w:ascii="宋体"/>
                <w:vanish/>
              </w:rPr>
            </w:pPr>
          </w:p>
        </w:tc>
        <w:tc>
          <w:tcPr>
            <w:tcW w:w="0" w:type="auto"/>
            <w:gridSpan w:val="3"/>
            <w:shd w:val="clear" w:color="auto" w:fill="auto"/>
            <w:vAlign w:val="bottom"/>
          </w:tcPr>
          <w:p w14:paraId="39D99E23" w14:textId="77777777" w:rsidR="00996AD7" w:rsidRDefault="00996AD7">
            <w:pPr>
              <w:rPr>
                <w:rFonts w:ascii="宋体"/>
                <w:vanish/>
              </w:rPr>
            </w:pPr>
          </w:p>
        </w:tc>
        <w:tc>
          <w:tcPr>
            <w:tcW w:w="0" w:type="auto"/>
            <w:gridSpan w:val="3"/>
            <w:shd w:val="clear" w:color="auto" w:fill="auto"/>
            <w:vAlign w:val="bottom"/>
          </w:tcPr>
          <w:p w14:paraId="39D99E24" w14:textId="77777777" w:rsidR="00996AD7" w:rsidRDefault="00996AD7">
            <w:pPr>
              <w:rPr>
                <w:rFonts w:ascii="宋体"/>
                <w:vanish/>
              </w:rPr>
            </w:pPr>
          </w:p>
        </w:tc>
        <w:tc>
          <w:tcPr>
            <w:tcW w:w="0" w:type="auto"/>
            <w:gridSpan w:val="3"/>
            <w:shd w:val="clear" w:color="auto" w:fill="auto"/>
            <w:vAlign w:val="bottom"/>
          </w:tcPr>
          <w:p w14:paraId="39D99E25" w14:textId="77777777" w:rsidR="00996AD7" w:rsidRDefault="00996AD7">
            <w:pPr>
              <w:rPr>
                <w:rFonts w:ascii="宋体"/>
                <w:vanish/>
              </w:rPr>
            </w:pPr>
          </w:p>
        </w:tc>
        <w:tc>
          <w:tcPr>
            <w:tcW w:w="0" w:type="auto"/>
            <w:shd w:val="clear" w:color="auto" w:fill="auto"/>
            <w:vAlign w:val="bottom"/>
          </w:tcPr>
          <w:p w14:paraId="39D99E26" w14:textId="77777777" w:rsidR="00996AD7" w:rsidRDefault="00996AD7">
            <w:pPr>
              <w:rPr>
                <w:rFonts w:ascii="宋体"/>
                <w:vanish/>
              </w:rPr>
            </w:pPr>
          </w:p>
        </w:tc>
        <w:tc>
          <w:tcPr>
            <w:tcW w:w="0" w:type="auto"/>
            <w:shd w:val="clear" w:color="auto" w:fill="auto"/>
            <w:vAlign w:val="bottom"/>
          </w:tcPr>
          <w:p w14:paraId="39D99E27" w14:textId="77777777" w:rsidR="00996AD7" w:rsidRDefault="00996AD7">
            <w:pPr>
              <w:rPr>
                <w:rFonts w:ascii="宋体"/>
                <w:vanish/>
              </w:rPr>
            </w:pPr>
          </w:p>
        </w:tc>
        <w:tc>
          <w:tcPr>
            <w:tcW w:w="0" w:type="auto"/>
            <w:gridSpan w:val="3"/>
            <w:shd w:val="clear" w:color="auto" w:fill="auto"/>
            <w:vAlign w:val="bottom"/>
          </w:tcPr>
          <w:p w14:paraId="39D99E28" w14:textId="77777777" w:rsidR="00996AD7" w:rsidRDefault="00996AD7">
            <w:pPr>
              <w:rPr>
                <w:rFonts w:ascii="宋体"/>
                <w:vanish/>
              </w:rPr>
            </w:pPr>
          </w:p>
        </w:tc>
        <w:tc>
          <w:tcPr>
            <w:tcW w:w="0" w:type="auto"/>
            <w:gridSpan w:val="3"/>
            <w:shd w:val="clear" w:color="auto" w:fill="auto"/>
            <w:vAlign w:val="bottom"/>
          </w:tcPr>
          <w:p w14:paraId="39D99E29" w14:textId="77777777" w:rsidR="00996AD7" w:rsidRDefault="00996AD7">
            <w:pPr>
              <w:rPr>
                <w:rFonts w:ascii="宋体"/>
                <w:vanish/>
              </w:rPr>
            </w:pPr>
          </w:p>
        </w:tc>
      </w:tr>
      <w:tr w:rsidR="00996AD7" w14:paraId="39D99E34" w14:textId="77777777">
        <w:trPr>
          <w:hidden/>
        </w:trPr>
        <w:tc>
          <w:tcPr>
            <w:tcW w:w="0" w:type="auto"/>
            <w:gridSpan w:val="3"/>
            <w:shd w:val="clear" w:color="auto" w:fill="auto"/>
            <w:vAlign w:val="bottom"/>
          </w:tcPr>
          <w:p w14:paraId="39D99E2B" w14:textId="77777777" w:rsidR="00996AD7" w:rsidRDefault="00996AD7">
            <w:pPr>
              <w:rPr>
                <w:rFonts w:ascii="宋体"/>
                <w:vanish/>
              </w:rPr>
            </w:pPr>
          </w:p>
        </w:tc>
        <w:tc>
          <w:tcPr>
            <w:tcW w:w="0" w:type="auto"/>
            <w:gridSpan w:val="3"/>
            <w:shd w:val="clear" w:color="auto" w:fill="auto"/>
            <w:vAlign w:val="bottom"/>
          </w:tcPr>
          <w:p w14:paraId="39D99E2C" w14:textId="77777777" w:rsidR="00996AD7" w:rsidRDefault="00996AD7">
            <w:pPr>
              <w:rPr>
                <w:rFonts w:ascii="宋体"/>
                <w:vanish/>
              </w:rPr>
            </w:pPr>
          </w:p>
        </w:tc>
        <w:tc>
          <w:tcPr>
            <w:tcW w:w="0" w:type="auto"/>
            <w:gridSpan w:val="3"/>
            <w:shd w:val="clear" w:color="auto" w:fill="auto"/>
            <w:vAlign w:val="bottom"/>
          </w:tcPr>
          <w:p w14:paraId="39D99E2D" w14:textId="77777777" w:rsidR="00996AD7" w:rsidRDefault="00996AD7">
            <w:pPr>
              <w:rPr>
                <w:rFonts w:ascii="宋体"/>
                <w:vanish/>
              </w:rPr>
            </w:pPr>
          </w:p>
        </w:tc>
        <w:tc>
          <w:tcPr>
            <w:tcW w:w="0" w:type="auto"/>
            <w:gridSpan w:val="3"/>
            <w:shd w:val="clear" w:color="auto" w:fill="auto"/>
            <w:vAlign w:val="bottom"/>
          </w:tcPr>
          <w:p w14:paraId="39D99E2E" w14:textId="77777777" w:rsidR="00996AD7" w:rsidRDefault="00996AD7">
            <w:pPr>
              <w:rPr>
                <w:rFonts w:ascii="宋体"/>
                <w:vanish/>
              </w:rPr>
            </w:pPr>
          </w:p>
        </w:tc>
        <w:tc>
          <w:tcPr>
            <w:tcW w:w="0" w:type="auto"/>
            <w:gridSpan w:val="3"/>
            <w:shd w:val="clear" w:color="auto" w:fill="auto"/>
            <w:vAlign w:val="bottom"/>
          </w:tcPr>
          <w:p w14:paraId="39D99E2F" w14:textId="77777777" w:rsidR="00996AD7" w:rsidRDefault="00996AD7">
            <w:pPr>
              <w:rPr>
                <w:rFonts w:ascii="宋体"/>
                <w:vanish/>
              </w:rPr>
            </w:pPr>
          </w:p>
        </w:tc>
        <w:tc>
          <w:tcPr>
            <w:tcW w:w="0" w:type="auto"/>
            <w:shd w:val="clear" w:color="auto" w:fill="auto"/>
            <w:vAlign w:val="bottom"/>
          </w:tcPr>
          <w:p w14:paraId="39D99E30" w14:textId="77777777" w:rsidR="00996AD7" w:rsidRDefault="00996AD7">
            <w:pPr>
              <w:rPr>
                <w:rFonts w:ascii="宋体"/>
                <w:vanish/>
              </w:rPr>
            </w:pPr>
          </w:p>
        </w:tc>
        <w:tc>
          <w:tcPr>
            <w:tcW w:w="0" w:type="auto"/>
            <w:shd w:val="clear" w:color="auto" w:fill="auto"/>
            <w:vAlign w:val="bottom"/>
          </w:tcPr>
          <w:p w14:paraId="39D99E31" w14:textId="77777777" w:rsidR="00996AD7" w:rsidRDefault="00996AD7">
            <w:pPr>
              <w:rPr>
                <w:rFonts w:ascii="宋体"/>
                <w:vanish/>
              </w:rPr>
            </w:pPr>
          </w:p>
        </w:tc>
        <w:tc>
          <w:tcPr>
            <w:tcW w:w="0" w:type="auto"/>
            <w:gridSpan w:val="3"/>
            <w:shd w:val="clear" w:color="auto" w:fill="auto"/>
            <w:vAlign w:val="bottom"/>
          </w:tcPr>
          <w:p w14:paraId="39D99E32" w14:textId="77777777" w:rsidR="00996AD7" w:rsidRDefault="00996AD7">
            <w:pPr>
              <w:rPr>
                <w:rFonts w:ascii="宋体"/>
                <w:vanish/>
              </w:rPr>
            </w:pPr>
          </w:p>
        </w:tc>
        <w:tc>
          <w:tcPr>
            <w:tcW w:w="0" w:type="auto"/>
            <w:gridSpan w:val="3"/>
            <w:shd w:val="clear" w:color="auto" w:fill="auto"/>
            <w:vAlign w:val="bottom"/>
          </w:tcPr>
          <w:p w14:paraId="39D99E33" w14:textId="77777777" w:rsidR="00996AD7" w:rsidRDefault="00996AD7">
            <w:pPr>
              <w:rPr>
                <w:rFonts w:ascii="宋体"/>
                <w:vanish/>
              </w:rPr>
            </w:pPr>
          </w:p>
        </w:tc>
      </w:tr>
      <w:tr w:rsidR="00996AD7" w14:paraId="39D99E3E" w14:textId="77777777">
        <w:trPr>
          <w:hidden/>
        </w:trPr>
        <w:tc>
          <w:tcPr>
            <w:tcW w:w="0" w:type="auto"/>
            <w:gridSpan w:val="3"/>
            <w:shd w:val="clear" w:color="auto" w:fill="auto"/>
            <w:vAlign w:val="bottom"/>
          </w:tcPr>
          <w:p w14:paraId="39D99E35" w14:textId="77777777" w:rsidR="00996AD7" w:rsidRDefault="00996AD7">
            <w:pPr>
              <w:rPr>
                <w:rFonts w:ascii="宋体"/>
                <w:vanish/>
              </w:rPr>
            </w:pPr>
          </w:p>
        </w:tc>
        <w:tc>
          <w:tcPr>
            <w:tcW w:w="0" w:type="auto"/>
            <w:gridSpan w:val="3"/>
            <w:shd w:val="clear" w:color="auto" w:fill="auto"/>
            <w:vAlign w:val="bottom"/>
          </w:tcPr>
          <w:p w14:paraId="39D99E36" w14:textId="77777777" w:rsidR="00996AD7" w:rsidRDefault="00996AD7">
            <w:pPr>
              <w:rPr>
                <w:rFonts w:ascii="宋体"/>
                <w:vanish/>
              </w:rPr>
            </w:pPr>
          </w:p>
        </w:tc>
        <w:tc>
          <w:tcPr>
            <w:tcW w:w="0" w:type="auto"/>
            <w:gridSpan w:val="3"/>
            <w:shd w:val="clear" w:color="auto" w:fill="auto"/>
            <w:vAlign w:val="bottom"/>
          </w:tcPr>
          <w:p w14:paraId="39D99E37" w14:textId="77777777" w:rsidR="00996AD7" w:rsidRDefault="00996AD7">
            <w:pPr>
              <w:rPr>
                <w:rFonts w:ascii="宋体"/>
                <w:vanish/>
              </w:rPr>
            </w:pPr>
          </w:p>
        </w:tc>
        <w:tc>
          <w:tcPr>
            <w:tcW w:w="0" w:type="auto"/>
            <w:gridSpan w:val="3"/>
            <w:shd w:val="clear" w:color="auto" w:fill="auto"/>
            <w:vAlign w:val="bottom"/>
          </w:tcPr>
          <w:p w14:paraId="39D99E38" w14:textId="77777777" w:rsidR="00996AD7" w:rsidRDefault="00996AD7">
            <w:pPr>
              <w:rPr>
                <w:rFonts w:ascii="宋体"/>
                <w:vanish/>
              </w:rPr>
            </w:pPr>
          </w:p>
        </w:tc>
        <w:tc>
          <w:tcPr>
            <w:tcW w:w="0" w:type="auto"/>
            <w:gridSpan w:val="3"/>
            <w:shd w:val="clear" w:color="auto" w:fill="auto"/>
            <w:vAlign w:val="bottom"/>
          </w:tcPr>
          <w:p w14:paraId="39D99E39" w14:textId="77777777" w:rsidR="00996AD7" w:rsidRDefault="00996AD7">
            <w:pPr>
              <w:rPr>
                <w:rFonts w:ascii="宋体"/>
                <w:vanish/>
              </w:rPr>
            </w:pPr>
          </w:p>
        </w:tc>
        <w:tc>
          <w:tcPr>
            <w:tcW w:w="0" w:type="auto"/>
            <w:shd w:val="clear" w:color="auto" w:fill="auto"/>
            <w:vAlign w:val="bottom"/>
          </w:tcPr>
          <w:p w14:paraId="39D99E3A" w14:textId="77777777" w:rsidR="00996AD7" w:rsidRDefault="00996AD7">
            <w:pPr>
              <w:rPr>
                <w:rFonts w:ascii="宋体"/>
                <w:vanish/>
              </w:rPr>
            </w:pPr>
          </w:p>
        </w:tc>
        <w:tc>
          <w:tcPr>
            <w:tcW w:w="0" w:type="auto"/>
            <w:shd w:val="clear" w:color="auto" w:fill="auto"/>
            <w:vAlign w:val="bottom"/>
          </w:tcPr>
          <w:p w14:paraId="39D99E3B" w14:textId="77777777" w:rsidR="00996AD7" w:rsidRDefault="00996AD7">
            <w:pPr>
              <w:rPr>
                <w:rFonts w:ascii="宋体"/>
                <w:vanish/>
              </w:rPr>
            </w:pPr>
          </w:p>
        </w:tc>
        <w:tc>
          <w:tcPr>
            <w:tcW w:w="0" w:type="auto"/>
            <w:gridSpan w:val="3"/>
            <w:shd w:val="clear" w:color="auto" w:fill="auto"/>
            <w:vAlign w:val="bottom"/>
          </w:tcPr>
          <w:p w14:paraId="39D99E3C" w14:textId="77777777" w:rsidR="00996AD7" w:rsidRDefault="00996AD7">
            <w:pPr>
              <w:rPr>
                <w:rFonts w:ascii="宋体"/>
                <w:vanish/>
              </w:rPr>
            </w:pPr>
          </w:p>
        </w:tc>
        <w:tc>
          <w:tcPr>
            <w:tcW w:w="0" w:type="auto"/>
            <w:gridSpan w:val="3"/>
            <w:shd w:val="clear" w:color="auto" w:fill="auto"/>
            <w:vAlign w:val="bottom"/>
          </w:tcPr>
          <w:p w14:paraId="39D99E3D" w14:textId="77777777" w:rsidR="00996AD7" w:rsidRDefault="00996AD7">
            <w:pPr>
              <w:rPr>
                <w:rFonts w:ascii="宋体"/>
                <w:vanish/>
              </w:rPr>
            </w:pPr>
          </w:p>
        </w:tc>
      </w:tr>
      <w:tr w:rsidR="00996AD7" w14:paraId="39D99E48" w14:textId="77777777">
        <w:trPr>
          <w:hidden/>
        </w:trPr>
        <w:tc>
          <w:tcPr>
            <w:tcW w:w="0" w:type="auto"/>
            <w:gridSpan w:val="3"/>
            <w:shd w:val="clear" w:color="auto" w:fill="auto"/>
            <w:vAlign w:val="bottom"/>
          </w:tcPr>
          <w:p w14:paraId="39D99E3F" w14:textId="77777777" w:rsidR="00996AD7" w:rsidRDefault="00996AD7">
            <w:pPr>
              <w:rPr>
                <w:rFonts w:ascii="宋体"/>
                <w:vanish/>
              </w:rPr>
            </w:pPr>
          </w:p>
        </w:tc>
        <w:tc>
          <w:tcPr>
            <w:tcW w:w="0" w:type="auto"/>
            <w:gridSpan w:val="3"/>
            <w:shd w:val="clear" w:color="auto" w:fill="auto"/>
            <w:vAlign w:val="bottom"/>
          </w:tcPr>
          <w:p w14:paraId="39D99E40" w14:textId="77777777" w:rsidR="00996AD7" w:rsidRDefault="00996AD7">
            <w:pPr>
              <w:rPr>
                <w:rFonts w:ascii="宋体"/>
                <w:vanish/>
              </w:rPr>
            </w:pPr>
          </w:p>
        </w:tc>
        <w:tc>
          <w:tcPr>
            <w:tcW w:w="0" w:type="auto"/>
            <w:gridSpan w:val="3"/>
            <w:shd w:val="clear" w:color="auto" w:fill="auto"/>
            <w:vAlign w:val="bottom"/>
          </w:tcPr>
          <w:p w14:paraId="39D99E41" w14:textId="77777777" w:rsidR="00996AD7" w:rsidRDefault="00996AD7">
            <w:pPr>
              <w:rPr>
                <w:rFonts w:ascii="宋体"/>
                <w:vanish/>
              </w:rPr>
            </w:pPr>
          </w:p>
        </w:tc>
        <w:tc>
          <w:tcPr>
            <w:tcW w:w="0" w:type="auto"/>
            <w:gridSpan w:val="3"/>
            <w:shd w:val="clear" w:color="auto" w:fill="auto"/>
            <w:vAlign w:val="bottom"/>
          </w:tcPr>
          <w:p w14:paraId="39D99E42" w14:textId="77777777" w:rsidR="00996AD7" w:rsidRDefault="00996AD7">
            <w:pPr>
              <w:rPr>
                <w:rFonts w:ascii="宋体"/>
                <w:vanish/>
              </w:rPr>
            </w:pPr>
          </w:p>
        </w:tc>
        <w:tc>
          <w:tcPr>
            <w:tcW w:w="0" w:type="auto"/>
            <w:gridSpan w:val="3"/>
            <w:shd w:val="clear" w:color="auto" w:fill="auto"/>
            <w:vAlign w:val="bottom"/>
          </w:tcPr>
          <w:p w14:paraId="39D99E43" w14:textId="77777777" w:rsidR="00996AD7" w:rsidRDefault="00996AD7">
            <w:pPr>
              <w:rPr>
                <w:rFonts w:ascii="宋体"/>
                <w:vanish/>
              </w:rPr>
            </w:pPr>
          </w:p>
        </w:tc>
        <w:tc>
          <w:tcPr>
            <w:tcW w:w="0" w:type="auto"/>
            <w:shd w:val="clear" w:color="auto" w:fill="auto"/>
            <w:vAlign w:val="bottom"/>
          </w:tcPr>
          <w:p w14:paraId="39D99E44" w14:textId="77777777" w:rsidR="00996AD7" w:rsidRDefault="00996AD7">
            <w:pPr>
              <w:rPr>
                <w:rFonts w:ascii="宋体"/>
                <w:vanish/>
              </w:rPr>
            </w:pPr>
          </w:p>
        </w:tc>
        <w:tc>
          <w:tcPr>
            <w:tcW w:w="0" w:type="auto"/>
            <w:shd w:val="clear" w:color="auto" w:fill="auto"/>
            <w:vAlign w:val="bottom"/>
          </w:tcPr>
          <w:p w14:paraId="39D99E45" w14:textId="77777777" w:rsidR="00996AD7" w:rsidRDefault="00996AD7">
            <w:pPr>
              <w:rPr>
                <w:rFonts w:ascii="宋体"/>
                <w:vanish/>
              </w:rPr>
            </w:pPr>
          </w:p>
        </w:tc>
        <w:tc>
          <w:tcPr>
            <w:tcW w:w="0" w:type="auto"/>
            <w:gridSpan w:val="3"/>
            <w:shd w:val="clear" w:color="auto" w:fill="auto"/>
            <w:vAlign w:val="bottom"/>
          </w:tcPr>
          <w:p w14:paraId="39D99E46" w14:textId="77777777" w:rsidR="00996AD7" w:rsidRDefault="00996AD7">
            <w:pPr>
              <w:rPr>
                <w:rFonts w:ascii="宋体"/>
                <w:vanish/>
              </w:rPr>
            </w:pPr>
          </w:p>
        </w:tc>
        <w:tc>
          <w:tcPr>
            <w:tcW w:w="0" w:type="auto"/>
            <w:gridSpan w:val="3"/>
            <w:shd w:val="clear" w:color="auto" w:fill="auto"/>
            <w:vAlign w:val="bottom"/>
          </w:tcPr>
          <w:p w14:paraId="39D99E47" w14:textId="77777777" w:rsidR="00996AD7" w:rsidRDefault="00996AD7">
            <w:pPr>
              <w:rPr>
                <w:rFonts w:ascii="宋体"/>
                <w:vanish/>
              </w:rPr>
            </w:pPr>
          </w:p>
        </w:tc>
      </w:tr>
      <w:tr w:rsidR="00996AD7" w14:paraId="39D99E52" w14:textId="77777777">
        <w:trPr>
          <w:hidden/>
        </w:trPr>
        <w:tc>
          <w:tcPr>
            <w:tcW w:w="0" w:type="auto"/>
            <w:gridSpan w:val="3"/>
            <w:shd w:val="clear" w:color="auto" w:fill="auto"/>
            <w:vAlign w:val="bottom"/>
          </w:tcPr>
          <w:p w14:paraId="39D99E49" w14:textId="77777777" w:rsidR="00996AD7" w:rsidRDefault="00996AD7">
            <w:pPr>
              <w:rPr>
                <w:rFonts w:ascii="宋体"/>
                <w:vanish/>
              </w:rPr>
            </w:pPr>
          </w:p>
        </w:tc>
        <w:tc>
          <w:tcPr>
            <w:tcW w:w="0" w:type="auto"/>
            <w:gridSpan w:val="3"/>
            <w:shd w:val="clear" w:color="auto" w:fill="auto"/>
            <w:vAlign w:val="bottom"/>
          </w:tcPr>
          <w:p w14:paraId="39D99E4A" w14:textId="77777777" w:rsidR="00996AD7" w:rsidRDefault="00996AD7">
            <w:pPr>
              <w:rPr>
                <w:rFonts w:ascii="宋体"/>
                <w:vanish/>
              </w:rPr>
            </w:pPr>
          </w:p>
        </w:tc>
        <w:tc>
          <w:tcPr>
            <w:tcW w:w="0" w:type="auto"/>
            <w:gridSpan w:val="3"/>
            <w:shd w:val="clear" w:color="auto" w:fill="auto"/>
            <w:vAlign w:val="bottom"/>
          </w:tcPr>
          <w:p w14:paraId="39D99E4B" w14:textId="77777777" w:rsidR="00996AD7" w:rsidRDefault="00996AD7">
            <w:pPr>
              <w:rPr>
                <w:rFonts w:ascii="宋体"/>
                <w:vanish/>
              </w:rPr>
            </w:pPr>
          </w:p>
        </w:tc>
        <w:tc>
          <w:tcPr>
            <w:tcW w:w="0" w:type="auto"/>
            <w:gridSpan w:val="3"/>
            <w:shd w:val="clear" w:color="auto" w:fill="auto"/>
            <w:vAlign w:val="bottom"/>
          </w:tcPr>
          <w:p w14:paraId="39D99E4C" w14:textId="77777777" w:rsidR="00996AD7" w:rsidRDefault="00996AD7">
            <w:pPr>
              <w:rPr>
                <w:rFonts w:ascii="宋体"/>
                <w:vanish/>
              </w:rPr>
            </w:pPr>
          </w:p>
        </w:tc>
        <w:tc>
          <w:tcPr>
            <w:tcW w:w="0" w:type="auto"/>
            <w:gridSpan w:val="3"/>
            <w:shd w:val="clear" w:color="auto" w:fill="auto"/>
            <w:vAlign w:val="bottom"/>
          </w:tcPr>
          <w:p w14:paraId="39D99E4D" w14:textId="77777777" w:rsidR="00996AD7" w:rsidRDefault="00996AD7">
            <w:pPr>
              <w:rPr>
                <w:rFonts w:ascii="宋体"/>
                <w:vanish/>
              </w:rPr>
            </w:pPr>
          </w:p>
        </w:tc>
        <w:tc>
          <w:tcPr>
            <w:tcW w:w="0" w:type="auto"/>
            <w:shd w:val="clear" w:color="auto" w:fill="auto"/>
            <w:vAlign w:val="bottom"/>
          </w:tcPr>
          <w:p w14:paraId="39D99E4E" w14:textId="77777777" w:rsidR="00996AD7" w:rsidRDefault="00996AD7">
            <w:pPr>
              <w:rPr>
                <w:rFonts w:ascii="宋体"/>
                <w:vanish/>
              </w:rPr>
            </w:pPr>
          </w:p>
        </w:tc>
        <w:tc>
          <w:tcPr>
            <w:tcW w:w="0" w:type="auto"/>
            <w:shd w:val="clear" w:color="auto" w:fill="auto"/>
            <w:vAlign w:val="bottom"/>
          </w:tcPr>
          <w:p w14:paraId="39D99E4F" w14:textId="77777777" w:rsidR="00996AD7" w:rsidRDefault="00996AD7">
            <w:pPr>
              <w:rPr>
                <w:rFonts w:ascii="宋体"/>
                <w:vanish/>
              </w:rPr>
            </w:pPr>
          </w:p>
        </w:tc>
        <w:tc>
          <w:tcPr>
            <w:tcW w:w="0" w:type="auto"/>
            <w:gridSpan w:val="3"/>
            <w:shd w:val="clear" w:color="auto" w:fill="auto"/>
            <w:vAlign w:val="bottom"/>
          </w:tcPr>
          <w:p w14:paraId="39D99E50" w14:textId="77777777" w:rsidR="00996AD7" w:rsidRDefault="00996AD7">
            <w:pPr>
              <w:rPr>
                <w:rFonts w:ascii="宋体"/>
                <w:vanish/>
              </w:rPr>
            </w:pPr>
          </w:p>
        </w:tc>
        <w:tc>
          <w:tcPr>
            <w:tcW w:w="0" w:type="auto"/>
            <w:gridSpan w:val="3"/>
            <w:shd w:val="clear" w:color="auto" w:fill="auto"/>
            <w:vAlign w:val="bottom"/>
          </w:tcPr>
          <w:p w14:paraId="39D99E51" w14:textId="77777777" w:rsidR="00996AD7" w:rsidRDefault="00996AD7">
            <w:pPr>
              <w:rPr>
                <w:rFonts w:ascii="宋体"/>
                <w:vanish/>
              </w:rPr>
            </w:pPr>
          </w:p>
        </w:tc>
      </w:tr>
      <w:tr w:rsidR="00996AD7" w14:paraId="39D99E5C" w14:textId="77777777">
        <w:trPr>
          <w:hidden/>
        </w:trPr>
        <w:tc>
          <w:tcPr>
            <w:tcW w:w="0" w:type="auto"/>
            <w:gridSpan w:val="3"/>
            <w:shd w:val="clear" w:color="auto" w:fill="auto"/>
            <w:vAlign w:val="bottom"/>
          </w:tcPr>
          <w:p w14:paraId="39D99E53" w14:textId="77777777" w:rsidR="00996AD7" w:rsidRDefault="00996AD7">
            <w:pPr>
              <w:rPr>
                <w:rFonts w:ascii="宋体"/>
                <w:vanish/>
              </w:rPr>
            </w:pPr>
          </w:p>
        </w:tc>
        <w:tc>
          <w:tcPr>
            <w:tcW w:w="0" w:type="auto"/>
            <w:gridSpan w:val="3"/>
            <w:shd w:val="clear" w:color="auto" w:fill="auto"/>
            <w:vAlign w:val="bottom"/>
          </w:tcPr>
          <w:p w14:paraId="39D99E54" w14:textId="77777777" w:rsidR="00996AD7" w:rsidRDefault="00996AD7">
            <w:pPr>
              <w:rPr>
                <w:rFonts w:ascii="宋体"/>
                <w:vanish/>
              </w:rPr>
            </w:pPr>
          </w:p>
        </w:tc>
        <w:tc>
          <w:tcPr>
            <w:tcW w:w="0" w:type="auto"/>
            <w:gridSpan w:val="3"/>
            <w:shd w:val="clear" w:color="auto" w:fill="auto"/>
            <w:vAlign w:val="bottom"/>
          </w:tcPr>
          <w:p w14:paraId="39D99E55" w14:textId="77777777" w:rsidR="00996AD7" w:rsidRDefault="00996AD7">
            <w:pPr>
              <w:rPr>
                <w:rFonts w:ascii="宋体"/>
                <w:vanish/>
              </w:rPr>
            </w:pPr>
          </w:p>
        </w:tc>
        <w:tc>
          <w:tcPr>
            <w:tcW w:w="0" w:type="auto"/>
            <w:gridSpan w:val="3"/>
            <w:shd w:val="clear" w:color="auto" w:fill="auto"/>
            <w:vAlign w:val="bottom"/>
          </w:tcPr>
          <w:p w14:paraId="39D99E56" w14:textId="77777777" w:rsidR="00996AD7" w:rsidRDefault="00996AD7">
            <w:pPr>
              <w:rPr>
                <w:rFonts w:ascii="宋体"/>
                <w:vanish/>
              </w:rPr>
            </w:pPr>
          </w:p>
        </w:tc>
        <w:tc>
          <w:tcPr>
            <w:tcW w:w="0" w:type="auto"/>
            <w:gridSpan w:val="3"/>
            <w:shd w:val="clear" w:color="auto" w:fill="auto"/>
            <w:vAlign w:val="bottom"/>
          </w:tcPr>
          <w:p w14:paraId="39D99E57" w14:textId="77777777" w:rsidR="00996AD7" w:rsidRDefault="00996AD7">
            <w:pPr>
              <w:rPr>
                <w:rFonts w:ascii="宋体"/>
                <w:vanish/>
              </w:rPr>
            </w:pPr>
          </w:p>
        </w:tc>
        <w:tc>
          <w:tcPr>
            <w:tcW w:w="0" w:type="auto"/>
            <w:shd w:val="clear" w:color="auto" w:fill="auto"/>
            <w:vAlign w:val="bottom"/>
          </w:tcPr>
          <w:p w14:paraId="39D99E58" w14:textId="77777777" w:rsidR="00996AD7" w:rsidRDefault="00996AD7">
            <w:pPr>
              <w:rPr>
                <w:rFonts w:ascii="宋体"/>
                <w:vanish/>
              </w:rPr>
            </w:pPr>
          </w:p>
        </w:tc>
        <w:tc>
          <w:tcPr>
            <w:tcW w:w="0" w:type="auto"/>
            <w:shd w:val="clear" w:color="auto" w:fill="auto"/>
            <w:vAlign w:val="bottom"/>
          </w:tcPr>
          <w:p w14:paraId="39D99E59" w14:textId="77777777" w:rsidR="00996AD7" w:rsidRDefault="00996AD7">
            <w:pPr>
              <w:rPr>
                <w:rFonts w:ascii="宋体"/>
                <w:vanish/>
              </w:rPr>
            </w:pPr>
          </w:p>
        </w:tc>
        <w:tc>
          <w:tcPr>
            <w:tcW w:w="0" w:type="auto"/>
            <w:gridSpan w:val="3"/>
            <w:shd w:val="clear" w:color="auto" w:fill="auto"/>
            <w:vAlign w:val="bottom"/>
          </w:tcPr>
          <w:p w14:paraId="39D99E5A" w14:textId="77777777" w:rsidR="00996AD7" w:rsidRDefault="00996AD7">
            <w:pPr>
              <w:rPr>
                <w:rFonts w:ascii="宋体"/>
                <w:vanish/>
              </w:rPr>
            </w:pPr>
          </w:p>
        </w:tc>
        <w:tc>
          <w:tcPr>
            <w:tcW w:w="0" w:type="auto"/>
            <w:gridSpan w:val="3"/>
            <w:shd w:val="clear" w:color="auto" w:fill="auto"/>
            <w:vAlign w:val="bottom"/>
          </w:tcPr>
          <w:p w14:paraId="39D99E5B" w14:textId="77777777" w:rsidR="00996AD7" w:rsidRDefault="00996AD7">
            <w:pPr>
              <w:rPr>
                <w:rFonts w:ascii="宋体"/>
                <w:vanish/>
              </w:rPr>
            </w:pPr>
          </w:p>
        </w:tc>
      </w:tr>
      <w:tr w:rsidR="00996AD7" w14:paraId="39D99E66" w14:textId="77777777">
        <w:trPr>
          <w:hidden/>
        </w:trPr>
        <w:tc>
          <w:tcPr>
            <w:tcW w:w="0" w:type="auto"/>
            <w:gridSpan w:val="3"/>
            <w:shd w:val="clear" w:color="auto" w:fill="auto"/>
            <w:vAlign w:val="bottom"/>
          </w:tcPr>
          <w:p w14:paraId="39D99E5D" w14:textId="77777777" w:rsidR="00996AD7" w:rsidRDefault="00996AD7">
            <w:pPr>
              <w:rPr>
                <w:rFonts w:ascii="宋体"/>
                <w:vanish/>
              </w:rPr>
            </w:pPr>
          </w:p>
        </w:tc>
        <w:tc>
          <w:tcPr>
            <w:tcW w:w="0" w:type="auto"/>
            <w:gridSpan w:val="3"/>
            <w:shd w:val="clear" w:color="auto" w:fill="auto"/>
            <w:vAlign w:val="bottom"/>
          </w:tcPr>
          <w:p w14:paraId="39D99E5E" w14:textId="77777777" w:rsidR="00996AD7" w:rsidRDefault="00996AD7">
            <w:pPr>
              <w:rPr>
                <w:rFonts w:ascii="宋体"/>
                <w:vanish/>
              </w:rPr>
            </w:pPr>
          </w:p>
        </w:tc>
        <w:tc>
          <w:tcPr>
            <w:tcW w:w="0" w:type="auto"/>
            <w:gridSpan w:val="3"/>
            <w:shd w:val="clear" w:color="auto" w:fill="auto"/>
            <w:vAlign w:val="bottom"/>
          </w:tcPr>
          <w:p w14:paraId="39D99E5F" w14:textId="77777777" w:rsidR="00996AD7" w:rsidRDefault="00996AD7">
            <w:pPr>
              <w:rPr>
                <w:rFonts w:ascii="宋体"/>
                <w:vanish/>
              </w:rPr>
            </w:pPr>
          </w:p>
        </w:tc>
        <w:tc>
          <w:tcPr>
            <w:tcW w:w="0" w:type="auto"/>
            <w:gridSpan w:val="3"/>
            <w:shd w:val="clear" w:color="auto" w:fill="auto"/>
            <w:vAlign w:val="bottom"/>
          </w:tcPr>
          <w:p w14:paraId="39D99E60" w14:textId="77777777" w:rsidR="00996AD7" w:rsidRDefault="00996AD7">
            <w:pPr>
              <w:rPr>
                <w:rFonts w:ascii="宋体"/>
                <w:vanish/>
              </w:rPr>
            </w:pPr>
          </w:p>
        </w:tc>
        <w:tc>
          <w:tcPr>
            <w:tcW w:w="0" w:type="auto"/>
            <w:gridSpan w:val="3"/>
            <w:shd w:val="clear" w:color="auto" w:fill="auto"/>
            <w:vAlign w:val="bottom"/>
          </w:tcPr>
          <w:p w14:paraId="39D99E61" w14:textId="77777777" w:rsidR="00996AD7" w:rsidRDefault="00996AD7">
            <w:pPr>
              <w:rPr>
                <w:rFonts w:ascii="宋体"/>
                <w:vanish/>
              </w:rPr>
            </w:pPr>
          </w:p>
        </w:tc>
        <w:tc>
          <w:tcPr>
            <w:tcW w:w="0" w:type="auto"/>
            <w:shd w:val="clear" w:color="auto" w:fill="auto"/>
            <w:vAlign w:val="bottom"/>
          </w:tcPr>
          <w:p w14:paraId="39D99E62" w14:textId="77777777" w:rsidR="00996AD7" w:rsidRDefault="00996AD7">
            <w:pPr>
              <w:rPr>
                <w:rFonts w:ascii="宋体"/>
                <w:vanish/>
              </w:rPr>
            </w:pPr>
          </w:p>
        </w:tc>
        <w:tc>
          <w:tcPr>
            <w:tcW w:w="0" w:type="auto"/>
            <w:shd w:val="clear" w:color="auto" w:fill="auto"/>
            <w:vAlign w:val="bottom"/>
          </w:tcPr>
          <w:p w14:paraId="39D99E63" w14:textId="77777777" w:rsidR="00996AD7" w:rsidRDefault="00996AD7">
            <w:pPr>
              <w:rPr>
                <w:rFonts w:ascii="宋体"/>
                <w:vanish/>
              </w:rPr>
            </w:pPr>
          </w:p>
        </w:tc>
        <w:tc>
          <w:tcPr>
            <w:tcW w:w="0" w:type="auto"/>
            <w:gridSpan w:val="3"/>
            <w:shd w:val="clear" w:color="auto" w:fill="auto"/>
            <w:vAlign w:val="bottom"/>
          </w:tcPr>
          <w:p w14:paraId="39D99E64" w14:textId="77777777" w:rsidR="00996AD7" w:rsidRDefault="00996AD7">
            <w:pPr>
              <w:rPr>
                <w:rFonts w:ascii="宋体"/>
                <w:vanish/>
              </w:rPr>
            </w:pPr>
          </w:p>
        </w:tc>
        <w:tc>
          <w:tcPr>
            <w:tcW w:w="0" w:type="auto"/>
            <w:gridSpan w:val="3"/>
            <w:shd w:val="clear" w:color="auto" w:fill="auto"/>
            <w:vAlign w:val="bottom"/>
          </w:tcPr>
          <w:p w14:paraId="39D99E65" w14:textId="77777777" w:rsidR="00996AD7" w:rsidRDefault="00996AD7">
            <w:pPr>
              <w:rPr>
                <w:rFonts w:ascii="宋体"/>
                <w:vanish/>
              </w:rPr>
            </w:pPr>
          </w:p>
        </w:tc>
      </w:tr>
      <w:tr w:rsidR="00996AD7" w14:paraId="39D99E7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9E67" w14:textId="77777777" w:rsidR="00996AD7" w:rsidRDefault="00D96458">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39D99E68"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E69"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E6A" w14:textId="77777777" w:rsidR="00996AD7" w:rsidRDefault="00D96458">
            <w:pPr>
              <w:jc w:val="right"/>
              <w:textAlignment w:val="bottom"/>
            </w:pPr>
            <w:r>
              <w:rPr>
                <w:rFonts w:ascii="Arial" w:eastAsia="宋体" w:hAnsi="Arial" w:cs="Arial"/>
                <w:b/>
                <w:bCs/>
                <w:color w:val="0068B5"/>
                <w:sz w:val="18"/>
                <w:szCs w:val="18"/>
              </w:rPr>
              <w:t>19,192</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E6B"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E6C"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9E6D"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9E6E" w14:textId="77777777" w:rsidR="00996AD7" w:rsidRDefault="00D96458">
            <w:pPr>
              <w:jc w:val="right"/>
              <w:textAlignment w:val="bottom"/>
            </w:pPr>
            <w:r>
              <w:rPr>
                <w:rFonts w:ascii="Arial" w:eastAsia="宋体" w:hAnsi="Arial" w:cs="Arial"/>
                <w:b/>
                <w:bCs/>
                <w:color w:val="262626"/>
                <w:sz w:val="18"/>
                <w:szCs w:val="18"/>
              </w:rPr>
              <w:t>18,333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9E6F" w14:textId="77777777" w:rsidR="00996AD7" w:rsidRDefault="00996AD7">
            <w:pPr>
              <w:jc w:val="right"/>
              <w:rPr>
                <w:rFonts w:ascii="宋体"/>
              </w:rPr>
            </w:pPr>
          </w:p>
        </w:tc>
        <w:tc>
          <w:tcPr>
            <w:tcW w:w="0" w:type="auto"/>
            <w:shd w:val="clear" w:color="auto" w:fill="auto"/>
            <w:vAlign w:val="bottom"/>
          </w:tcPr>
          <w:p w14:paraId="39D99E70" w14:textId="77777777" w:rsidR="00996AD7" w:rsidRDefault="00996AD7">
            <w:pPr>
              <w:rPr>
                <w:rFonts w:ascii="宋体"/>
                <w:vanish/>
              </w:rPr>
            </w:pPr>
          </w:p>
        </w:tc>
        <w:tc>
          <w:tcPr>
            <w:tcW w:w="0" w:type="auto"/>
            <w:shd w:val="clear" w:color="auto" w:fill="auto"/>
            <w:vAlign w:val="bottom"/>
          </w:tcPr>
          <w:p w14:paraId="39D99E71" w14:textId="77777777" w:rsidR="00996AD7" w:rsidRDefault="00996AD7">
            <w:pPr>
              <w:rPr>
                <w:rFonts w:ascii="宋体"/>
                <w:vanish/>
              </w:rPr>
            </w:pPr>
          </w:p>
        </w:tc>
        <w:tc>
          <w:tcPr>
            <w:tcW w:w="0" w:type="auto"/>
            <w:gridSpan w:val="3"/>
            <w:shd w:val="clear" w:color="auto" w:fill="auto"/>
            <w:vAlign w:val="bottom"/>
          </w:tcPr>
          <w:p w14:paraId="39D99E72" w14:textId="77777777" w:rsidR="00996AD7" w:rsidRDefault="00996AD7">
            <w:pPr>
              <w:rPr>
                <w:rFonts w:ascii="宋体"/>
                <w:vanish/>
              </w:rPr>
            </w:pPr>
          </w:p>
        </w:tc>
        <w:tc>
          <w:tcPr>
            <w:tcW w:w="0" w:type="auto"/>
            <w:gridSpan w:val="3"/>
            <w:shd w:val="clear" w:color="auto" w:fill="auto"/>
            <w:vAlign w:val="bottom"/>
          </w:tcPr>
          <w:p w14:paraId="39D99E73" w14:textId="77777777" w:rsidR="00996AD7" w:rsidRDefault="00996AD7">
            <w:pPr>
              <w:rPr>
                <w:rFonts w:ascii="宋体"/>
                <w:vanish/>
              </w:rPr>
            </w:pPr>
          </w:p>
        </w:tc>
      </w:tr>
      <w:tr w:rsidR="00996AD7" w14:paraId="39D99E80" w14:textId="77777777">
        <w:tc>
          <w:tcPr>
            <w:tcW w:w="0" w:type="auto"/>
            <w:gridSpan w:val="3"/>
            <w:shd w:val="clear" w:color="auto" w:fill="auto"/>
            <w:tcMar>
              <w:top w:w="40" w:type="dxa"/>
              <w:left w:w="245" w:type="dxa"/>
              <w:bottom w:w="40" w:type="dxa"/>
              <w:right w:w="20" w:type="dxa"/>
            </w:tcMar>
            <w:vAlign w:val="bottom"/>
          </w:tcPr>
          <w:p w14:paraId="39D99E75" w14:textId="77777777" w:rsidR="00996AD7" w:rsidRDefault="00D96458">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39D99E7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E77" w14:textId="77777777" w:rsidR="00996AD7" w:rsidRDefault="00D96458">
            <w:pPr>
              <w:jc w:val="right"/>
              <w:textAlignment w:val="bottom"/>
            </w:pPr>
            <w:r>
              <w:rPr>
                <w:rFonts w:ascii="Arial" w:eastAsia="宋体" w:hAnsi="Arial" w:cs="Arial"/>
                <w:color w:val="0068B5"/>
                <w:sz w:val="18"/>
                <w:szCs w:val="18"/>
              </w:rPr>
              <w:t>(1,105)</w:t>
            </w:r>
          </w:p>
        </w:tc>
        <w:tc>
          <w:tcPr>
            <w:tcW w:w="0" w:type="auto"/>
            <w:shd w:val="clear" w:color="auto" w:fill="auto"/>
            <w:tcMar>
              <w:top w:w="40" w:type="dxa"/>
              <w:left w:w="0" w:type="dxa"/>
              <w:bottom w:w="40" w:type="dxa"/>
              <w:right w:w="20" w:type="dxa"/>
            </w:tcMar>
            <w:vAlign w:val="bottom"/>
          </w:tcPr>
          <w:p w14:paraId="39D99E7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E7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E7A" w14:textId="77777777" w:rsidR="00996AD7" w:rsidRDefault="00D96458">
            <w:pPr>
              <w:jc w:val="right"/>
              <w:textAlignment w:val="bottom"/>
            </w:pPr>
            <w:r>
              <w:rPr>
                <w:rFonts w:ascii="Arial" w:eastAsia="宋体" w:hAnsi="Arial" w:cs="Arial"/>
                <w:color w:val="262626"/>
                <w:sz w:val="18"/>
                <w:szCs w:val="18"/>
              </w:rPr>
              <w:t>(1,067)</w:t>
            </w:r>
          </w:p>
        </w:tc>
        <w:tc>
          <w:tcPr>
            <w:tcW w:w="0" w:type="auto"/>
            <w:shd w:val="clear" w:color="auto" w:fill="auto"/>
            <w:tcMar>
              <w:top w:w="40" w:type="dxa"/>
              <w:left w:w="0" w:type="dxa"/>
              <w:bottom w:w="40" w:type="dxa"/>
              <w:right w:w="20" w:type="dxa"/>
            </w:tcMar>
            <w:vAlign w:val="bottom"/>
          </w:tcPr>
          <w:p w14:paraId="39D99E7B" w14:textId="77777777" w:rsidR="00996AD7" w:rsidRDefault="00996AD7">
            <w:pPr>
              <w:jc w:val="right"/>
              <w:rPr>
                <w:rFonts w:ascii="宋体"/>
              </w:rPr>
            </w:pPr>
          </w:p>
        </w:tc>
        <w:tc>
          <w:tcPr>
            <w:tcW w:w="0" w:type="auto"/>
            <w:shd w:val="clear" w:color="auto" w:fill="auto"/>
            <w:vAlign w:val="bottom"/>
          </w:tcPr>
          <w:p w14:paraId="39D99E7C" w14:textId="77777777" w:rsidR="00996AD7" w:rsidRDefault="00996AD7">
            <w:pPr>
              <w:rPr>
                <w:rFonts w:ascii="宋体"/>
                <w:vanish/>
              </w:rPr>
            </w:pPr>
          </w:p>
        </w:tc>
        <w:tc>
          <w:tcPr>
            <w:tcW w:w="0" w:type="auto"/>
            <w:shd w:val="clear" w:color="auto" w:fill="auto"/>
            <w:vAlign w:val="bottom"/>
          </w:tcPr>
          <w:p w14:paraId="39D99E7D" w14:textId="77777777" w:rsidR="00996AD7" w:rsidRDefault="00996AD7">
            <w:pPr>
              <w:rPr>
                <w:rFonts w:ascii="宋体"/>
                <w:vanish/>
              </w:rPr>
            </w:pPr>
          </w:p>
        </w:tc>
        <w:tc>
          <w:tcPr>
            <w:tcW w:w="0" w:type="auto"/>
            <w:gridSpan w:val="3"/>
            <w:shd w:val="clear" w:color="auto" w:fill="auto"/>
            <w:vAlign w:val="bottom"/>
          </w:tcPr>
          <w:p w14:paraId="39D99E7E" w14:textId="77777777" w:rsidR="00996AD7" w:rsidRDefault="00996AD7">
            <w:pPr>
              <w:rPr>
                <w:rFonts w:ascii="宋体"/>
                <w:vanish/>
              </w:rPr>
            </w:pPr>
          </w:p>
        </w:tc>
        <w:tc>
          <w:tcPr>
            <w:tcW w:w="0" w:type="auto"/>
            <w:gridSpan w:val="3"/>
            <w:shd w:val="clear" w:color="auto" w:fill="auto"/>
            <w:vAlign w:val="bottom"/>
          </w:tcPr>
          <w:p w14:paraId="39D99E7F" w14:textId="77777777" w:rsidR="00996AD7" w:rsidRDefault="00996AD7">
            <w:pPr>
              <w:rPr>
                <w:rFonts w:ascii="宋体"/>
                <w:vanish/>
              </w:rPr>
            </w:pPr>
          </w:p>
        </w:tc>
      </w:tr>
      <w:tr w:rsidR="00996AD7" w14:paraId="39D99E8E" w14:textId="77777777">
        <w:tc>
          <w:tcPr>
            <w:tcW w:w="0" w:type="auto"/>
            <w:gridSpan w:val="3"/>
            <w:shd w:val="clear" w:color="auto" w:fill="auto"/>
            <w:tcMar>
              <w:top w:w="40" w:type="dxa"/>
              <w:left w:w="20" w:type="dxa"/>
              <w:bottom w:w="40" w:type="dxa"/>
              <w:right w:w="20" w:type="dxa"/>
            </w:tcMar>
            <w:vAlign w:val="bottom"/>
          </w:tcPr>
          <w:p w14:paraId="39D99E81" w14:textId="77777777" w:rsidR="00996AD7" w:rsidRDefault="00D96458">
            <w:pPr>
              <w:textAlignment w:val="bottom"/>
            </w:pPr>
            <w:r>
              <w:rPr>
                <w:rFonts w:ascii="Arial" w:eastAsia="宋体" w:hAnsi="Arial" w:cs="Arial"/>
                <w:b/>
                <w:bCs/>
                <w:color w:val="262626"/>
                <w:sz w:val="18"/>
                <w:szCs w:val="18"/>
              </w:rPr>
              <w:t>Non-GAAP net revenue</w:t>
            </w:r>
          </w:p>
        </w:tc>
        <w:tc>
          <w:tcPr>
            <w:tcW w:w="0" w:type="auto"/>
            <w:gridSpan w:val="3"/>
            <w:shd w:val="clear" w:color="auto" w:fill="auto"/>
            <w:tcMar>
              <w:top w:w="0" w:type="dxa"/>
              <w:left w:w="20" w:type="dxa"/>
              <w:bottom w:w="0" w:type="dxa"/>
              <w:right w:w="20" w:type="dxa"/>
            </w:tcMar>
            <w:vAlign w:val="bottom"/>
          </w:tcPr>
          <w:p w14:paraId="39D99E82"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E83"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E84" w14:textId="77777777" w:rsidR="00996AD7" w:rsidRDefault="00D96458">
            <w:pPr>
              <w:jc w:val="right"/>
              <w:textAlignment w:val="bottom"/>
            </w:pPr>
            <w:r>
              <w:rPr>
                <w:rFonts w:ascii="Arial" w:eastAsia="宋体" w:hAnsi="Arial" w:cs="Arial"/>
                <w:b/>
                <w:bCs/>
                <w:color w:val="0068B5"/>
                <w:sz w:val="18"/>
                <w:szCs w:val="18"/>
              </w:rPr>
              <w:t>18,087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E85"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E86"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E87"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E88" w14:textId="77777777" w:rsidR="00996AD7" w:rsidRDefault="00D96458">
            <w:pPr>
              <w:jc w:val="right"/>
              <w:textAlignment w:val="bottom"/>
            </w:pPr>
            <w:r>
              <w:rPr>
                <w:rFonts w:ascii="Arial" w:eastAsia="宋体" w:hAnsi="Arial" w:cs="Arial"/>
                <w:b/>
                <w:bCs/>
                <w:color w:val="262626"/>
                <w:sz w:val="18"/>
                <w:szCs w:val="18"/>
              </w:rPr>
              <w:t>17,266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E89" w14:textId="77777777" w:rsidR="00996AD7" w:rsidRDefault="00996AD7">
            <w:pPr>
              <w:jc w:val="right"/>
              <w:rPr>
                <w:rFonts w:ascii="宋体"/>
              </w:rPr>
            </w:pPr>
          </w:p>
        </w:tc>
        <w:tc>
          <w:tcPr>
            <w:tcW w:w="0" w:type="auto"/>
            <w:shd w:val="clear" w:color="auto" w:fill="auto"/>
            <w:vAlign w:val="bottom"/>
          </w:tcPr>
          <w:p w14:paraId="39D99E8A" w14:textId="77777777" w:rsidR="00996AD7" w:rsidRDefault="00996AD7">
            <w:pPr>
              <w:rPr>
                <w:rFonts w:ascii="宋体"/>
                <w:vanish/>
              </w:rPr>
            </w:pPr>
          </w:p>
        </w:tc>
        <w:tc>
          <w:tcPr>
            <w:tcW w:w="0" w:type="auto"/>
            <w:shd w:val="clear" w:color="auto" w:fill="auto"/>
            <w:vAlign w:val="bottom"/>
          </w:tcPr>
          <w:p w14:paraId="39D99E8B" w14:textId="77777777" w:rsidR="00996AD7" w:rsidRDefault="00996AD7">
            <w:pPr>
              <w:rPr>
                <w:rFonts w:ascii="宋体"/>
                <w:vanish/>
              </w:rPr>
            </w:pPr>
          </w:p>
        </w:tc>
        <w:tc>
          <w:tcPr>
            <w:tcW w:w="0" w:type="auto"/>
            <w:gridSpan w:val="3"/>
            <w:shd w:val="clear" w:color="auto" w:fill="auto"/>
            <w:vAlign w:val="bottom"/>
          </w:tcPr>
          <w:p w14:paraId="39D99E8C" w14:textId="77777777" w:rsidR="00996AD7" w:rsidRDefault="00996AD7">
            <w:pPr>
              <w:rPr>
                <w:rFonts w:ascii="宋体"/>
                <w:vanish/>
              </w:rPr>
            </w:pPr>
          </w:p>
        </w:tc>
        <w:tc>
          <w:tcPr>
            <w:tcW w:w="0" w:type="auto"/>
            <w:gridSpan w:val="3"/>
            <w:shd w:val="clear" w:color="auto" w:fill="auto"/>
            <w:vAlign w:val="bottom"/>
          </w:tcPr>
          <w:p w14:paraId="39D99E8D" w14:textId="77777777" w:rsidR="00996AD7" w:rsidRDefault="00996AD7">
            <w:pPr>
              <w:rPr>
                <w:rFonts w:ascii="宋体"/>
                <w:vanish/>
              </w:rPr>
            </w:pPr>
          </w:p>
        </w:tc>
      </w:tr>
      <w:tr w:rsidR="00996AD7" w14:paraId="39D99E98" w14:textId="77777777">
        <w:trPr>
          <w:trHeight w:val="60"/>
        </w:trPr>
        <w:tc>
          <w:tcPr>
            <w:tcW w:w="0" w:type="auto"/>
            <w:gridSpan w:val="3"/>
            <w:shd w:val="clear" w:color="auto" w:fill="auto"/>
            <w:tcMar>
              <w:top w:w="0" w:type="dxa"/>
              <w:left w:w="20" w:type="dxa"/>
              <w:bottom w:w="0" w:type="dxa"/>
              <w:right w:w="20" w:type="dxa"/>
            </w:tcMar>
            <w:vAlign w:val="bottom"/>
          </w:tcPr>
          <w:p w14:paraId="39D99E8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E90"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9E9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E92"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9E93" w14:textId="77777777" w:rsidR="00996AD7" w:rsidRDefault="00996AD7">
            <w:pPr>
              <w:rPr>
                <w:rFonts w:ascii="宋体"/>
              </w:rPr>
            </w:pPr>
          </w:p>
        </w:tc>
        <w:tc>
          <w:tcPr>
            <w:tcW w:w="0" w:type="auto"/>
            <w:shd w:val="clear" w:color="auto" w:fill="auto"/>
            <w:vAlign w:val="bottom"/>
          </w:tcPr>
          <w:p w14:paraId="39D99E94" w14:textId="77777777" w:rsidR="00996AD7" w:rsidRDefault="00996AD7">
            <w:pPr>
              <w:rPr>
                <w:rFonts w:ascii="宋体"/>
                <w:vanish/>
              </w:rPr>
            </w:pPr>
          </w:p>
        </w:tc>
        <w:tc>
          <w:tcPr>
            <w:tcW w:w="0" w:type="auto"/>
            <w:shd w:val="clear" w:color="auto" w:fill="auto"/>
            <w:vAlign w:val="bottom"/>
          </w:tcPr>
          <w:p w14:paraId="39D99E95" w14:textId="77777777" w:rsidR="00996AD7" w:rsidRDefault="00996AD7">
            <w:pPr>
              <w:rPr>
                <w:rFonts w:ascii="宋体"/>
                <w:vanish/>
              </w:rPr>
            </w:pPr>
          </w:p>
        </w:tc>
        <w:tc>
          <w:tcPr>
            <w:tcW w:w="0" w:type="auto"/>
            <w:gridSpan w:val="3"/>
            <w:shd w:val="clear" w:color="auto" w:fill="auto"/>
            <w:vAlign w:val="bottom"/>
          </w:tcPr>
          <w:p w14:paraId="39D99E96" w14:textId="77777777" w:rsidR="00996AD7" w:rsidRDefault="00996AD7">
            <w:pPr>
              <w:rPr>
                <w:rFonts w:ascii="宋体"/>
                <w:vanish/>
              </w:rPr>
            </w:pPr>
          </w:p>
        </w:tc>
        <w:tc>
          <w:tcPr>
            <w:tcW w:w="0" w:type="auto"/>
            <w:gridSpan w:val="3"/>
            <w:shd w:val="clear" w:color="auto" w:fill="auto"/>
            <w:vAlign w:val="bottom"/>
          </w:tcPr>
          <w:p w14:paraId="39D99E97" w14:textId="77777777" w:rsidR="00996AD7" w:rsidRDefault="00996AD7">
            <w:pPr>
              <w:rPr>
                <w:rFonts w:ascii="宋体"/>
                <w:vanish/>
              </w:rPr>
            </w:pPr>
          </w:p>
        </w:tc>
      </w:tr>
      <w:tr w:rsidR="00996AD7" w14:paraId="39D99EA6" w14:textId="77777777">
        <w:tc>
          <w:tcPr>
            <w:tcW w:w="0" w:type="auto"/>
            <w:gridSpan w:val="3"/>
            <w:shd w:val="clear" w:color="auto" w:fill="auto"/>
            <w:tcMar>
              <w:top w:w="40" w:type="dxa"/>
              <w:left w:w="20" w:type="dxa"/>
              <w:bottom w:w="40" w:type="dxa"/>
              <w:right w:w="20" w:type="dxa"/>
            </w:tcMar>
            <w:vAlign w:val="bottom"/>
          </w:tcPr>
          <w:p w14:paraId="39D99E99" w14:textId="77777777" w:rsidR="00996AD7" w:rsidRDefault="00D96458">
            <w:pPr>
              <w:textAlignment w:val="bottom"/>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vAlign w:val="bottom"/>
          </w:tcPr>
          <w:p w14:paraId="39D99E9A"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9E9B" w14:textId="77777777" w:rsidR="00996AD7" w:rsidRDefault="00D9645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39D99E9C" w14:textId="77777777" w:rsidR="00996AD7" w:rsidRDefault="00D96458">
            <w:pPr>
              <w:jc w:val="right"/>
              <w:textAlignment w:val="bottom"/>
            </w:pPr>
            <w:r>
              <w:rPr>
                <w:rFonts w:ascii="Arial" w:eastAsia="宋体" w:hAnsi="Arial" w:cs="Arial"/>
                <w:b/>
                <w:bCs/>
                <w:color w:val="0068B5"/>
                <w:sz w:val="18"/>
                <w:szCs w:val="18"/>
              </w:rPr>
              <w:t>5,227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9E9D"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E9E"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9E9F"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9EA0" w14:textId="77777777" w:rsidR="00996AD7" w:rsidRDefault="00D96458">
            <w:pPr>
              <w:jc w:val="right"/>
              <w:textAlignment w:val="bottom"/>
            </w:pPr>
            <w:r>
              <w:rPr>
                <w:rFonts w:ascii="Arial" w:eastAsia="宋体" w:hAnsi="Arial" w:cs="Arial"/>
                <w:b/>
                <w:bCs/>
                <w:color w:val="262626"/>
                <w:sz w:val="18"/>
                <w:szCs w:val="18"/>
              </w:rPr>
              <w:t>5,059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9EA1" w14:textId="77777777" w:rsidR="00996AD7" w:rsidRDefault="00996AD7">
            <w:pPr>
              <w:jc w:val="right"/>
              <w:rPr>
                <w:rFonts w:ascii="宋体"/>
              </w:rPr>
            </w:pPr>
          </w:p>
        </w:tc>
        <w:tc>
          <w:tcPr>
            <w:tcW w:w="0" w:type="auto"/>
            <w:shd w:val="clear" w:color="auto" w:fill="auto"/>
            <w:vAlign w:val="bottom"/>
          </w:tcPr>
          <w:p w14:paraId="39D99EA2" w14:textId="77777777" w:rsidR="00996AD7" w:rsidRDefault="00996AD7">
            <w:pPr>
              <w:rPr>
                <w:rFonts w:ascii="宋体"/>
                <w:vanish/>
              </w:rPr>
            </w:pPr>
          </w:p>
        </w:tc>
        <w:tc>
          <w:tcPr>
            <w:tcW w:w="0" w:type="auto"/>
            <w:shd w:val="clear" w:color="auto" w:fill="auto"/>
            <w:vAlign w:val="bottom"/>
          </w:tcPr>
          <w:p w14:paraId="39D99EA3" w14:textId="77777777" w:rsidR="00996AD7" w:rsidRDefault="00996AD7">
            <w:pPr>
              <w:rPr>
                <w:rFonts w:ascii="宋体"/>
                <w:vanish/>
              </w:rPr>
            </w:pPr>
          </w:p>
        </w:tc>
        <w:tc>
          <w:tcPr>
            <w:tcW w:w="0" w:type="auto"/>
            <w:gridSpan w:val="3"/>
            <w:shd w:val="clear" w:color="auto" w:fill="auto"/>
            <w:vAlign w:val="bottom"/>
          </w:tcPr>
          <w:p w14:paraId="39D99EA4" w14:textId="77777777" w:rsidR="00996AD7" w:rsidRDefault="00996AD7">
            <w:pPr>
              <w:rPr>
                <w:rFonts w:ascii="宋体"/>
                <w:vanish/>
              </w:rPr>
            </w:pPr>
          </w:p>
        </w:tc>
        <w:tc>
          <w:tcPr>
            <w:tcW w:w="0" w:type="auto"/>
            <w:gridSpan w:val="3"/>
            <w:shd w:val="clear" w:color="auto" w:fill="auto"/>
            <w:vAlign w:val="bottom"/>
          </w:tcPr>
          <w:p w14:paraId="39D99EA5" w14:textId="77777777" w:rsidR="00996AD7" w:rsidRDefault="00996AD7">
            <w:pPr>
              <w:rPr>
                <w:rFonts w:ascii="宋体"/>
                <w:vanish/>
              </w:rPr>
            </w:pPr>
          </w:p>
        </w:tc>
      </w:tr>
      <w:tr w:rsidR="00996AD7" w14:paraId="39D99EB2" w14:textId="77777777">
        <w:tc>
          <w:tcPr>
            <w:tcW w:w="0" w:type="auto"/>
            <w:gridSpan w:val="3"/>
            <w:shd w:val="clear" w:color="auto" w:fill="auto"/>
            <w:tcMar>
              <w:top w:w="40" w:type="dxa"/>
              <w:left w:w="245" w:type="dxa"/>
              <w:bottom w:w="40" w:type="dxa"/>
              <w:right w:w="20" w:type="dxa"/>
            </w:tcMar>
            <w:vAlign w:val="bottom"/>
          </w:tcPr>
          <w:p w14:paraId="39D99EA7" w14:textId="77777777" w:rsidR="00996AD7" w:rsidRDefault="00D96458">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39D99EA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EA9" w14:textId="77777777" w:rsidR="00996AD7" w:rsidRDefault="00D96458">
            <w:pPr>
              <w:jc w:val="right"/>
              <w:textAlignment w:val="bottom"/>
            </w:pPr>
            <w:r>
              <w:rPr>
                <w:rFonts w:ascii="Arial" w:eastAsia="宋体" w:hAnsi="Arial" w:cs="Arial"/>
                <w:color w:val="0068B5"/>
                <w:sz w:val="18"/>
                <w:szCs w:val="18"/>
              </w:rPr>
              <w:t>375 </w:t>
            </w:r>
          </w:p>
        </w:tc>
        <w:tc>
          <w:tcPr>
            <w:tcW w:w="0" w:type="auto"/>
            <w:shd w:val="clear" w:color="auto" w:fill="auto"/>
            <w:tcMar>
              <w:top w:w="40" w:type="dxa"/>
              <w:left w:w="0" w:type="dxa"/>
              <w:bottom w:w="40" w:type="dxa"/>
              <w:right w:w="20" w:type="dxa"/>
            </w:tcMar>
            <w:vAlign w:val="bottom"/>
          </w:tcPr>
          <w:p w14:paraId="39D99EA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EA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EAC" w14:textId="77777777" w:rsidR="00996AD7" w:rsidRDefault="00D96458">
            <w:pPr>
              <w:jc w:val="right"/>
              <w:textAlignment w:val="bottom"/>
            </w:pPr>
            <w:r>
              <w:rPr>
                <w:rFonts w:ascii="Arial" w:eastAsia="宋体" w:hAnsi="Arial" w:cs="Arial"/>
                <w:color w:val="262626"/>
                <w:sz w:val="18"/>
                <w:szCs w:val="18"/>
              </w:rPr>
              <w:t>362 </w:t>
            </w:r>
          </w:p>
        </w:tc>
        <w:tc>
          <w:tcPr>
            <w:tcW w:w="0" w:type="auto"/>
            <w:shd w:val="clear" w:color="auto" w:fill="auto"/>
            <w:tcMar>
              <w:top w:w="40" w:type="dxa"/>
              <w:left w:w="0" w:type="dxa"/>
              <w:bottom w:w="40" w:type="dxa"/>
              <w:right w:w="20" w:type="dxa"/>
            </w:tcMar>
            <w:vAlign w:val="bottom"/>
          </w:tcPr>
          <w:p w14:paraId="39D99EAD" w14:textId="77777777" w:rsidR="00996AD7" w:rsidRDefault="00996AD7">
            <w:pPr>
              <w:jc w:val="right"/>
              <w:rPr>
                <w:rFonts w:ascii="宋体"/>
              </w:rPr>
            </w:pPr>
          </w:p>
        </w:tc>
        <w:tc>
          <w:tcPr>
            <w:tcW w:w="0" w:type="auto"/>
            <w:shd w:val="clear" w:color="auto" w:fill="auto"/>
            <w:vAlign w:val="bottom"/>
          </w:tcPr>
          <w:p w14:paraId="39D99EAE" w14:textId="77777777" w:rsidR="00996AD7" w:rsidRDefault="00996AD7">
            <w:pPr>
              <w:rPr>
                <w:rFonts w:ascii="宋体"/>
                <w:vanish/>
              </w:rPr>
            </w:pPr>
          </w:p>
        </w:tc>
        <w:tc>
          <w:tcPr>
            <w:tcW w:w="0" w:type="auto"/>
            <w:shd w:val="clear" w:color="auto" w:fill="auto"/>
            <w:vAlign w:val="bottom"/>
          </w:tcPr>
          <w:p w14:paraId="39D99EAF" w14:textId="77777777" w:rsidR="00996AD7" w:rsidRDefault="00996AD7">
            <w:pPr>
              <w:rPr>
                <w:rFonts w:ascii="宋体"/>
                <w:vanish/>
              </w:rPr>
            </w:pPr>
          </w:p>
        </w:tc>
        <w:tc>
          <w:tcPr>
            <w:tcW w:w="0" w:type="auto"/>
            <w:gridSpan w:val="3"/>
            <w:shd w:val="clear" w:color="auto" w:fill="auto"/>
            <w:vAlign w:val="bottom"/>
          </w:tcPr>
          <w:p w14:paraId="39D99EB0" w14:textId="77777777" w:rsidR="00996AD7" w:rsidRDefault="00996AD7">
            <w:pPr>
              <w:rPr>
                <w:rFonts w:ascii="宋体"/>
                <w:vanish/>
              </w:rPr>
            </w:pPr>
          </w:p>
        </w:tc>
        <w:tc>
          <w:tcPr>
            <w:tcW w:w="0" w:type="auto"/>
            <w:gridSpan w:val="3"/>
            <w:shd w:val="clear" w:color="auto" w:fill="auto"/>
            <w:vAlign w:val="bottom"/>
          </w:tcPr>
          <w:p w14:paraId="39D99EB1" w14:textId="77777777" w:rsidR="00996AD7" w:rsidRDefault="00996AD7">
            <w:pPr>
              <w:rPr>
                <w:rFonts w:ascii="宋体"/>
                <w:vanish/>
              </w:rPr>
            </w:pPr>
          </w:p>
        </w:tc>
      </w:tr>
      <w:tr w:rsidR="00996AD7" w14:paraId="39D99EBC" w14:textId="77777777">
        <w:trPr>
          <w:hidden/>
        </w:trPr>
        <w:tc>
          <w:tcPr>
            <w:tcW w:w="0" w:type="auto"/>
            <w:gridSpan w:val="3"/>
            <w:shd w:val="clear" w:color="auto" w:fill="auto"/>
            <w:vAlign w:val="bottom"/>
          </w:tcPr>
          <w:p w14:paraId="39D99EB3" w14:textId="77777777" w:rsidR="00996AD7" w:rsidRDefault="00996AD7">
            <w:pPr>
              <w:rPr>
                <w:rFonts w:ascii="宋体"/>
                <w:vanish/>
              </w:rPr>
            </w:pPr>
          </w:p>
        </w:tc>
        <w:tc>
          <w:tcPr>
            <w:tcW w:w="0" w:type="auto"/>
            <w:gridSpan w:val="3"/>
            <w:shd w:val="clear" w:color="auto" w:fill="auto"/>
            <w:vAlign w:val="bottom"/>
          </w:tcPr>
          <w:p w14:paraId="39D99EB4" w14:textId="77777777" w:rsidR="00996AD7" w:rsidRDefault="00996AD7">
            <w:pPr>
              <w:rPr>
                <w:rFonts w:ascii="宋体"/>
                <w:vanish/>
              </w:rPr>
            </w:pPr>
          </w:p>
        </w:tc>
        <w:tc>
          <w:tcPr>
            <w:tcW w:w="0" w:type="auto"/>
            <w:gridSpan w:val="3"/>
            <w:shd w:val="clear" w:color="auto" w:fill="auto"/>
            <w:vAlign w:val="bottom"/>
          </w:tcPr>
          <w:p w14:paraId="39D99EB5" w14:textId="77777777" w:rsidR="00996AD7" w:rsidRDefault="00996AD7">
            <w:pPr>
              <w:rPr>
                <w:rFonts w:ascii="宋体"/>
                <w:vanish/>
              </w:rPr>
            </w:pPr>
          </w:p>
        </w:tc>
        <w:tc>
          <w:tcPr>
            <w:tcW w:w="0" w:type="auto"/>
            <w:gridSpan w:val="3"/>
            <w:shd w:val="clear" w:color="auto" w:fill="auto"/>
            <w:vAlign w:val="bottom"/>
          </w:tcPr>
          <w:p w14:paraId="39D99EB6" w14:textId="77777777" w:rsidR="00996AD7" w:rsidRDefault="00996AD7">
            <w:pPr>
              <w:rPr>
                <w:rFonts w:ascii="宋体"/>
                <w:vanish/>
              </w:rPr>
            </w:pPr>
          </w:p>
        </w:tc>
        <w:tc>
          <w:tcPr>
            <w:tcW w:w="0" w:type="auto"/>
            <w:gridSpan w:val="3"/>
            <w:shd w:val="clear" w:color="auto" w:fill="auto"/>
            <w:vAlign w:val="bottom"/>
          </w:tcPr>
          <w:p w14:paraId="39D99EB7" w14:textId="77777777" w:rsidR="00996AD7" w:rsidRDefault="00996AD7">
            <w:pPr>
              <w:rPr>
                <w:rFonts w:ascii="宋体"/>
                <w:vanish/>
              </w:rPr>
            </w:pPr>
          </w:p>
        </w:tc>
        <w:tc>
          <w:tcPr>
            <w:tcW w:w="0" w:type="auto"/>
            <w:shd w:val="clear" w:color="auto" w:fill="auto"/>
            <w:vAlign w:val="bottom"/>
          </w:tcPr>
          <w:p w14:paraId="39D99EB8" w14:textId="77777777" w:rsidR="00996AD7" w:rsidRDefault="00996AD7">
            <w:pPr>
              <w:rPr>
                <w:rFonts w:ascii="宋体"/>
                <w:vanish/>
              </w:rPr>
            </w:pPr>
          </w:p>
        </w:tc>
        <w:tc>
          <w:tcPr>
            <w:tcW w:w="0" w:type="auto"/>
            <w:shd w:val="clear" w:color="auto" w:fill="auto"/>
            <w:vAlign w:val="bottom"/>
          </w:tcPr>
          <w:p w14:paraId="39D99EB9" w14:textId="77777777" w:rsidR="00996AD7" w:rsidRDefault="00996AD7">
            <w:pPr>
              <w:rPr>
                <w:rFonts w:ascii="宋体"/>
                <w:vanish/>
              </w:rPr>
            </w:pPr>
          </w:p>
        </w:tc>
        <w:tc>
          <w:tcPr>
            <w:tcW w:w="0" w:type="auto"/>
            <w:gridSpan w:val="3"/>
            <w:shd w:val="clear" w:color="auto" w:fill="auto"/>
            <w:vAlign w:val="bottom"/>
          </w:tcPr>
          <w:p w14:paraId="39D99EBA" w14:textId="77777777" w:rsidR="00996AD7" w:rsidRDefault="00996AD7">
            <w:pPr>
              <w:rPr>
                <w:rFonts w:ascii="宋体"/>
                <w:vanish/>
              </w:rPr>
            </w:pPr>
          </w:p>
        </w:tc>
        <w:tc>
          <w:tcPr>
            <w:tcW w:w="0" w:type="auto"/>
            <w:gridSpan w:val="3"/>
            <w:shd w:val="clear" w:color="auto" w:fill="auto"/>
            <w:vAlign w:val="bottom"/>
          </w:tcPr>
          <w:p w14:paraId="39D99EBB" w14:textId="77777777" w:rsidR="00996AD7" w:rsidRDefault="00996AD7">
            <w:pPr>
              <w:rPr>
                <w:rFonts w:ascii="宋体"/>
                <w:vanish/>
              </w:rPr>
            </w:pPr>
          </w:p>
        </w:tc>
      </w:tr>
      <w:tr w:rsidR="00996AD7" w14:paraId="39D99EC6" w14:textId="77777777">
        <w:trPr>
          <w:hidden/>
        </w:trPr>
        <w:tc>
          <w:tcPr>
            <w:tcW w:w="0" w:type="auto"/>
            <w:gridSpan w:val="3"/>
            <w:shd w:val="clear" w:color="auto" w:fill="auto"/>
            <w:vAlign w:val="bottom"/>
          </w:tcPr>
          <w:p w14:paraId="39D99EBD" w14:textId="77777777" w:rsidR="00996AD7" w:rsidRDefault="00996AD7">
            <w:pPr>
              <w:rPr>
                <w:rFonts w:ascii="宋体"/>
                <w:vanish/>
              </w:rPr>
            </w:pPr>
          </w:p>
        </w:tc>
        <w:tc>
          <w:tcPr>
            <w:tcW w:w="0" w:type="auto"/>
            <w:gridSpan w:val="3"/>
            <w:shd w:val="clear" w:color="auto" w:fill="auto"/>
            <w:vAlign w:val="bottom"/>
          </w:tcPr>
          <w:p w14:paraId="39D99EBE" w14:textId="77777777" w:rsidR="00996AD7" w:rsidRDefault="00996AD7">
            <w:pPr>
              <w:rPr>
                <w:rFonts w:ascii="宋体"/>
                <w:vanish/>
              </w:rPr>
            </w:pPr>
          </w:p>
        </w:tc>
        <w:tc>
          <w:tcPr>
            <w:tcW w:w="0" w:type="auto"/>
            <w:gridSpan w:val="3"/>
            <w:shd w:val="clear" w:color="auto" w:fill="auto"/>
            <w:vAlign w:val="bottom"/>
          </w:tcPr>
          <w:p w14:paraId="39D99EBF" w14:textId="77777777" w:rsidR="00996AD7" w:rsidRDefault="00996AD7">
            <w:pPr>
              <w:rPr>
                <w:rFonts w:ascii="宋体"/>
                <w:vanish/>
              </w:rPr>
            </w:pPr>
          </w:p>
        </w:tc>
        <w:tc>
          <w:tcPr>
            <w:tcW w:w="0" w:type="auto"/>
            <w:gridSpan w:val="3"/>
            <w:shd w:val="clear" w:color="auto" w:fill="auto"/>
            <w:vAlign w:val="bottom"/>
          </w:tcPr>
          <w:p w14:paraId="39D99EC0" w14:textId="77777777" w:rsidR="00996AD7" w:rsidRDefault="00996AD7">
            <w:pPr>
              <w:rPr>
                <w:rFonts w:ascii="宋体"/>
                <w:vanish/>
              </w:rPr>
            </w:pPr>
          </w:p>
        </w:tc>
        <w:tc>
          <w:tcPr>
            <w:tcW w:w="0" w:type="auto"/>
            <w:gridSpan w:val="3"/>
            <w:shd w:val="clear" w:color="auto" w:fill="auto"/>
            <w:vAlign w:val="bottom"/>
          </w:tcPr>
          <w:p w14:paraId="39D99EC1" w14:textId="77777777" w:rsidR="00996AD7" w:rsidRDefault="00996AD7">
            <w:pPr>
              <w:rPr>
                <w:rFonts w:ascii="宋体"/>
                <w:vanish/>
              </w:rPr>
            </w:pPr>
          </w:p>
        </w:tc>
        <w:tc>
          <w:tcPr>
            <w:tcW w:w="0" w:type="auto"/>
            <w:shd w:val="clear" w:color="auto" w:fill="auto"/>
            <w:vAlign w:val="bottom"/>
          </w:tcPr>
          <w:p w14:paraId="39D99EC2" w14:textId="77777777" w:rsidR="00996AD7" w:rsidRDefault="00996AD7">
            <w:pPr>
              <w:rPr>
                <w:rFonts w:ascii="宋体"/>
                <w:vanish/>
              </w:rPr>
            </w:pPr>
          </w:p>
        </w:tc>
        <w:tc>
          <w:tcPr>
            <w:tcW w:w="0" w:type="auto"/>
            <w:shd w:val="clear" w:color="auto" w:fill="auto"/>
            <w:vAlign w:val="bottom"/>
          </w:tcPr>
          <w:p w14:paraId="39D99EC3" w14:textId="77777777" w:rsidR="00996AD7" w:rsidRDefault="00996AD7">
            <w:pPr>
              <w:rPr>
                <w:rFonts w:ascii="宋体"/>
                <w:vanish/>
              </w:rPr>
            </w:pPr>
          </w:p>
        </w:tc>
        <w:tc>
          <w:tcPr>
            <w:tcW w:w="0" w:type="auto"/>
            <w:gridSpan w:val="3"/>
            <w:shd w:val="clear" w:color="auto" w:fill="auto"/>
            <w:vAlign w:val="bottom"/>
          </w:tcPr>
          <w:p w14:paraId="39D99EC4" w14:textId="77777777" w:rsidR="00996AD7" w:rsidRDefault="00996AD7">
            <w:pPr>
              <w:rPr>
                <w:rFonts w:ascii="宋体"/>
                <w:vanish/>
              </w:rPr>
            </w:pPr>
          </w:p>
        </w:tc>
        <w:tc>
          <w:tcPr>
            <w:tcW w:w="0" w:type="auto"/>
            <w:gridSpan w:val="3"/>
            <w:shd w:val="clear" w:color="auto" w:fill="auto"/>
            <w:vAlign w:val="bottom"/>
          </w:tcPr>
          <w:p w14:paraId="39D99EC5" w14:textId="77777777" w:rsidR="00996AD7" w:rsidRDefault="00996AD7">
            <w:pPr>
              <w:rPr>
                <w:rFonts w:ascii="宋体"/>
                <w:vanish/>
              </w:rPr>
            </w:pPr>
          </w:p>
        </w:tc>
      </w:tr>
      <w:tr w:rsidR="00996AD7" w14:paraId="39D99ED0" w14:textId="77777777">
        <w:trPr>
          <w:hidden/>
        </w:trPr>
        <w:tc>
          <w:tcPr>
            <w:tcW w:w="0" w:type="auto"/>
            <w:gridSpan w:val="3"/>
            <w:shd w:val="clear" w:color="auto" w:fill="auto"/>
            <w:vAlign w:val="bottom"/>
          </w:tcPr>
          <w:p w14:paraId="39D99EC7" w14:textId="77777777" w:rsidR="00996AD7" w:rsidRDefault="00996AD7">
            <w:pPr>
              <w:rPr>
                <w:rFonts w:ascii="宋体"/>
                <w:vanish/>
              </w:rPr>
            </w:pPr>
          </w:p>
        </w:tc>
        <w:tc>
          <w:tcPr>
            <w:tcW w:w="0" w:type="auto"/>
            <w:gridSpan w:val="3"/>
            <w:shd w:val="clear" w:color="auto" w:fill="auto"/>
            <w:vAlign w:val="bottom"/>
          </w:tcPr>
          <w:p w14:paraId="39D99EC8" w14:textId="77777777" w:rsidR="00996AD7" w:rsidRDefault="00996AD7">
            <w:pPr>
              <w:rPr>
                <w:rFonts w:ascii="宋体"/>
                <w:vanish/>
              </w:rPr>
            </w:pPr>
          </w:p>
        </w:tc>
        <w:tc>
          <w:tcPr>
            <w:tcW w:w="0" w:type="auto"/>
            <w:gridSpan w:val="3"/>
            <w:shd w:val="clear" w:color="auto" w:fill="auto"/>
            <w:vAlign w:val="bottom"/>
          </w:tcPr>
          <w:p w14:paraId="39D99EC9" w14:textId="77777777" w:rsidR="00996AD7" w:rsidRDefault="00996AD7">
            <w:pPr>
              <w:rPr>
                <w:rFonts w:ascii="宋体"/>
                <w:vanish/>
              </w:rPr>
            </w:pPr>
          </w:p>
        </w:tc>
        <w:tc>
          <w:tcPr>
            <w:tcW w:w="0" w:type="auto"/>
            <w:gridSpan w:val="3"/>
            <w:shd w:val="clear" w:color="auto" w:fill="auto"/>
            <w:vAlign w:val="bottom"/>
          </w:tcPr>
          <w:p w14:paraId="39D99ECA" w14:textId="77777777" w:rsidR="00996AD7" w:rsidRDefault="00996AD7">
            <w:pPr>
              <w:rPr>
                <w:rFonts w:ascii="宋体"/>
                <w:vanish/>
              </w:rPr>
            </w:pPr>
          </w:p>
        </w:tc>
        <w:tc>
          <w:tcPr>
            <w:tcW w:w="0" w:type="auto"/>
            <w:gridSpan w:val="3"/>
            <w:shd w:val="clear" w:color="auto" w:fill="auto"/>
            <w:vAlign w:val="bottom"/>
          </w:tcPr>
          <w:p w14:paraId="39D99ECB" w14:textId="77777777" w:rsidR="00996AD7" w:rsidRDefault="00996AD7">
            <w:pPr>
              <w:rPr>
                <w:rFonts w:ascii="宋体"/>
                <w:vanish/>
              </w:rPr>
            </w:pPr>
          </w:p>
        </w:tc>
        <w:tc>
          <w:tcPr>
            <w:tcW w:w="0" w:type="auto"/>
            <w:shd w:val="clear" w:color="auto" w:fill="auto"/>
            <w:vAlign w:val="bottom"/>
          </w:tcPr>
          <w:p w14:paraId="39D99ECC" w14:textId="77777777" w:rsidR="00996AD7" w:rsidRDefault="00996AD7">
            <w:pPr>
              <w:rPr>
                <w:rFonts w:ascii="宋体"/>
                <w:vanish/>
              </w:rPr>
            </w:pPr>
          </w:p>
        </w:tc>
        <w:tc>
          <w:tcPr>
            <w:tcW w:w="0" w:type="auto"/>
            <w:shd w:val="clear" w:color="auto" w:fill="auto"/>
            <w:vAlign w:val="bottom"/>
          </w:tcPr>
          <w:p w14:paraId="39D99ECD" w14:textId="77777777" w:rsidR="00996AD7" w:rsidRDefault="00996AD7">
            <w:pPr>
              <w:rPr>
                <w:rFonts w:ascii="宋体"/>
                <w:vanish/>
              </w:rPr>
            </w:pPr>
          </w:p>
        </w:tc>
        <w:tc>
          <w:tcPr>
            <w:tcW w:w="0" w:type="auto"/>
            <w:gridSpan w:val="3"/>
            <w:shd w:val="clear" w:color="auto" w:fill="auto"/>
            <w:vAlign w:val="bottom"/>
          </w:tcPr>
          <w:p w14:paraId="39D99ECE" w14:textId="77777777" w:rsidR="00996AD7" w:rsidRDefault="00996AD7">
            <w:pPr>
              <w:rPr>
                <w:rFonts w:ascii="宋体"/>
                <w:vanish/>
              </w:rPr>
            </w:pPr>
          </w:p>
        </w:tc>
        <w:tc>
          <w:tcPr>
            <w:tcW w:w="0" w:type="auto"/>
            <w:gridSpan w:val="3"/>
            <w:shd w:val="clear" w:color="auto" w:fill="auto"/>
            <w:vAlign w:val="bottom"/>
          </w:tcPr>
          <w:p w14:paraId="39D99ECF" w14:textId="77777777" w:rsidR="00996AD7" w:rsidRDefault="00996AD7">
            <w:pPr>
              <w:rPr>
                <w:rFonts w:ascii="宋体"/>
                <w:vanish/>
              </w:rPr>
            </w:pPr>
          </w:p>
        </w:tc>
      </w:tr>
      <w:tr w:rsidR="00996AD7" w14:paraId="39D99EDA" w14:textId="77777777">
        <w:trPr>
          <w:hidden/>
        </w:trPr>
        <w:tc>
          <w:tcPr>
            <w:tcW w:w="0" w:type="auto"/>
            <w:gridSpan w:val="3"/>
            <w:shd w:val="clear" w:color="auto" w:fill="auto"/>
            <w:vAlign w:val="bottom"/>
          </w:tcPr>
          <w:p w14:paraId="39D99ED1" w14:textId="77777777" w:rsidR="00996AD7" w:rsidRDefault="00996AD7">
            <w:pPr>
              <w:rPr>
                <w:rFonts w:ascii="宋体"/>
                <w:vanish/>
              </w:rPr>
            </w:pPr>
          </w:p>
        </w:tc>
        <w:tc>
          <w:tcPr>
            <w:tcW w:w="0" w:type="auto"/>
            <w:gridSpan w:val="3"/>
            <w:shd w:val="clear" w:color="auto" w:fill="auto"/>
            <w:vAlign w:val="bottom"/>
          </w:tcPr>
          <w:p w14:paraId="39D99ED2" w14:textId="77777777" w:rsidR="00996AD7" w:rsidRDefault="00996AD7">
            <w:pPr>
              <w:rPr>
                <w:rFonts w:ascii="宋体"/>
                <w:vanish/>
              </w:rPr>
            </w:pPr>
          </w:p>
        </w:tc>
        <w:tc>
          <w:tcPr>
            <w:tcW w:w="0" w:type="auto"/>
            <w:gridSpan w:val="3"/>
            <w:shd w:val="clear" w:color="auto" w:fill="auto"/>
            <w:vAlign w:val="bottom"/>
          </w:tcPr>
          <w:p w14:paraId="39D99ED3" w14:textId="77777777" w:rsidR="00996AD7" w:rsidRDefault="00996AD7">
            <w:pPr>
              <w:rPr>
                <w:rFonts w:ascii="宋体"/>
                <w:vanish/>
              </w:rPr>
            </w:pPr>
          </w:p>
        </w:tc>
        <w:tc>
          <w:tcPr>
            <w:tcW w:w="0" w:type="auto"/>
            <w:gridSpan w:val="3"/>
            <w:shd w:val="clear" w:color="auto" w:fill="auto"/>
            <w:vAlign w:val="bottom"/>
          </w:tcPr>
          <w:p w14:paraId="39D99ED4" w14:textId="77777777" w:rsidR="00996AD7" w:rsidRDefault="00996AD7">
            <w:pPr>
              <w:rPr>
                <w:rFonts w:ascii="宋体"/>
                <w:vanish/>
              </w:rPr>
            </w:pPr>
          </w:p>
        </w:tc>
        <w:tc>
          <w:tcPr>
            <w:tcW w:w="0" w:type="auto"/>
            <w:gridSpan w:val="3"/>
            <w:shd w:val="clear" w:color="auto" w:fill="auto"/>
            <w:vAlign w:val="bottom"/>
          </w:tcPr>
          <w:p w14:paraId="39D99ED5" w14:textId="77777777" w:rsidR="00996AD7" w:rsidRDefault="00996AD7">
            <w:pPr>
              <w:rPr>
                <w:rFonts w:ascii="宋体"/>
                <w:vanish/>
              </w:rPr>
            </w:pPr>
          </w:p>
        </w:tc>
        <w:tc>
          <w:tcPr>
            <w:tcW w:w="0" w:type="auto"/>
            <w:shd w:val="clear" w:color="auto" w:fill="auto"/>
            <w:vAlign w:val="bottom"/>
          </w:tcPr>
          <w:p w14:paraId="39D99ED6" w14:textId="77777777" w:rsidR="00996AD7" w:rsidRDefault="00996AD7">
            <w:pPr>
              <w:rPr>
                <w:rFonts w:ascii="宋体"/>
                <w:vanish/>
              </w:rPr>
            </w:pPr>
          </w:p>
        </w:tc>
        <w:tc>
          <w:tcPr>
            <w:tcW w:w="0" w:type="auto"/>
            <w:shd w:val="clear" w:color="auto" w:fill="auto"/>
            <w:vAlign w:val="bottom"/>
          </w:tcPr>
          <w:p w14:paraId="39D99ED7" w14:textId="77777777" w:rsidR="00996AD7" w:rsidRDefault="00996AD7">
            <w:pPr>
              <w:rPr>
                <w:rFonts w:ascii="宋体"/>
                <w:vanish/>
              </w:rPr>
            </w:pPr>
          </w:p>
        </w:tc>
        <w:tc>
          <w:tcPr>
            <w:tcW w:w="0" w:type="auto"/>
            <w:gridSpan w:val="3"/>
            <w:shd w:val="clear" w:color="auto" w:fill="auto"/>
            <w:vAlign w:val="bottom"/>
          </w:tcPr>
          <w:p w14:paraId="39D99ED8" w14:textId="77777777" w:rsidR="00996AD7" w:rsidRDefault="00996AD7">
            <w:pPr>
              <w:rPr>
                <w:rFonts w:ascii="宋体"/>
                <w:vanish/>
              </w:rPr>
            </w:pPr>
          </w:p>
        </w:tc>
        <w:tc>
          <w:tcPr>
            <w:tcW w:w="0" w:type="auto"/>
            <w:gridSpan w:val="3"/>
            <w:shd w:val="clear" w:color="auto" w:fill="auto"/>
            <w:vAlign w:val="bottom"/>
          </w:tcPr>
          <w:p w14:paraId="39D99ED9" w14:textId="77777777" w:rsidR="00996AD7" w:rsidRDefault="00996AD7">
            <w:pPr>
              <w:rPr>
                <w:rFonts w:ascii="宋体"/>
                <w:vanish/>
              </w:rPr>
            </w:pPr>
          </w:p>
        </w:tc>
      </w:tr>
      <w:tr w:rsidR="00996AD7" w14:paraId="39D99EE6" w14:textId="77777777">
        <w:tc>
          <w:tcPr>
            <w:tcW w:w="0" w:type="auto"/>
            <w:gridSpan w:val="3"/>
            <w:shd w:val="clear" w:color="auto" w:fill="auto"/>
            <w:tcMar>
              <w:top w:w="40" w:type="dxa"/>
              <w:left w:w="245" w:type="dxa"/>
              <w:bottom w:w="40" w:type="dxa"/>
              <w:right w:w="20" w:type="dxa"/>
            </w:tcMar>
            <w:vAlign w:val="bottom"/>
          </w:tcPr>
          <w:p w14:paraId="39D99EDB" w14:textId="77777777" w:rsidR="00996AD7" w:rsidRDefault="00D96458">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39D99ED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EDD" w14:textId="77777777" w:rsidR="00996AD7" w:rsidRDefault="00D96458">
            <w:pPr>
              <w:jc w:val="right"/>
              <w:textAlignment w:val="bottom"/>
            </w:pPr>
            <w:r>
              <w:rPr>
                <w:rFonts w:ascii="Arial" w:eastAsia="宋体" w:hAnsi="Arial" w:cs="Arial"/>
                <w:color w:val="0068B5"/>
                <w:sz w:val="18"/>
                <w:szCs w:val="18"/>
              </w:rPr>
              <w:t>42 </w:t>
            </w:r>
          </w:p>
        </w:tc>
        <w:tc>
          <w:tcPr>
            <w:tcW w:w="0" w:type="auto"/>
            <w:shd w:val="clear" w:color="auto" w:fill="auto"/>
            <w:tcMar>
              <w:top w:w="40" w:type="dxa"/>
              <w:left w:w="0" w:type="dxa"/>
              <w:bottom w:w="40" w:type="dxa"/>
              <w:right w:w="20" w:type="dxa"/>
            </w:tcMar>
            <w:vAlign w:val="bottom"/>
          </w:tcPr>
          <w:p w14:paraId="39D99EDE"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ED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EE0" w14:textId="77777777" w:rsidR="00996AD7" w:rsidRDefault="00D96458">
            <w:pPr>
              <w:jc w:val="right"/>
              <w:textAlignment w:val="bottom"/>
            </w:pPr>
            <w:r>
              <w:rPr>
                <w:rFonts w:ascii="Arial" w:eastAsia="宋体" w:hAnsi="Arial" w:cs="Arial"/>
                <w:color w:val="262626"/>
                <w:sz w:val="18"/>
                <w:szCs w:val="18"/>
              </w:rPr>
              <w:t>(25)</w:t>
            </w:r>
          </w:p>
        </w:tc>
        <w:tc>
          <w:tcPr>
            <w:tcW w:w="0" w:type="auto"/>
            <w:shd w:val="clear" w:color="auto" w:fill="auto"/>
            <w:tcMar>
              <w:top w:w="40" w:type="dxa"/>
              <w:left w:w="0" w:type="dxa"/>
              <w:bottom w:w="40" w:type="dxa"/>
              <w:right w:w="20" w:type="dxa"/>
            </w:tcMar>
            <w:vAlign w:val="bottom"/>
          </w:tcPr>
          <w:p w14:paraId="39D99EE1" w14:textId="77777777" w:rsidR="00996AD7" w:rsidRDefault="00996AD7">
            <w:pPr>
              <w:jc w:val="right"/>
              <w:rPr>
                <w:rFonts w:ascii="宋体"/>
              </w:rPr>
            </w:pPr>
          </w:p>
        </w:tc>
        <w:tc>
          <w:tcPr>
            <w:tcW w:w="0" w:type="auto"/>
            <w:shd w:val="clear" w:color="auto" w:fill="auto"/>
            <w:vAlign w:val="bottom"/>
          </w:tcPr>
          <w:p w14:paraId="39D99EE2" w14:textId="77777777" w:rsidR="00996AD7" w:rsidRDefault="00996AD7">
            <w:pPr>
              <w:rPr>
                <w:rFonts w:ascii="宋体"/>
                <w:vanish/>
              </w:rPr>
            </w:pPr>
          </w:p>
        </w:tc>
        <w:tc>
          <w:tcPr>
            <w:tcW w:w="0" w:type="auto"/>
            <w:shd w:val="clear" w:color="auto" w:fill="auto"/>
            <w:vAlign w:val="bottom"/>
          </w:tcPr>
          <w:p w14:paraId="39D99EE3" w14:textId="77777777" w:rsidR="00996AD7" w:rsidRDefault="00996AD7">
            <w:pPr>
              <w:rPr>
                <w:rFonts w:ascii="宋体"/>
                <w:vanish/>
              </w:rPr>
            </w:pPr>
          </w:p>
        </w:tc>
        <w:tc>
          <w:tcPr>
            <w:tcW w:w="0" w:type="auto"/>
            <w:gridSpan w:val="3"/>
            <w:shd w:val="clear" w:color="auto" w:fill="auto"/>
            <w:vAlign w:val="bottom"/>
          </w:tcPr>
          <w:p w14:paraId="39D99EE4" w14:textId="77777777" w:rsidR="00996AD7" w:rsidRDefault="00996AD7">
            <w:pPr>
              <w:rPr>
                <w:rFonts w:ascii="宋体"/>
                <w:vanish/>
              </w:rPr>
            </w:pPr>
          </w:p>
        </w:tc>
        <w:tc>
          <w:tcPr>
            <w:tcW w:w="0" w:type="auto"/>
            <w:gridSpan w:val="3"/>
            <w:shd w:val="clear" w:color="auto" w:fill="auto"/>
            <w:vAlign w:val="bottom"/>
          </w:tcPr>
          <w:p w14:paraId="39D99EE5" w14:textId="77777777" w:rsidR="00996AD7" w:rsidRDefault="00996AD7">
            <w:pPr>
              <w:rPr>
                <w:rFonts w:ascii="宋体"/>
                <w:vanish/>
              </w:rPr>
            </w:pPr>
          </w:p>
        </w:tc>
      </w:tr>
      <w:tr w:rsidR="00996AD7" w14:paraId="39D99EF2" w14:textId="77777777">
        <w:tc>
          <w:tcPr>
            <w:tcW w:w="0" w:type="auto"/>
            <w:gridSpan w:val="3"/>
            <w:shd w:val="clear" w:color="auto" w:fill="auto"/>
            <w:tcMar>
              <w:top w:w="40" w:type="dxa"/>
              <w:left w:w="245" w:type="dxa"/>
              <w:bottom w:w="40" w:type="dxa"/>
              <w:right w:w="20" w:type="dxa"/>
            </w:tcMar>
            <w:vAlign w:val="bottom"/>
          </w:tcPr>
          <w:p w14:paraId="39D99EE7" w14:textId="77777777" w:rsidR="00996AD7" w:rsidRDefault="00D96458">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39D99EE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EE9" w14:textId="77777777" w:rsidR="00996AD7" w:rsidRDefault="00D96458">
            <w:pPr>
              <w:jc w:val="right"/>
              <w:textAlignment w:val="bottom"/>
            </w:pPr>
            <w:r>
              <w:rPr>
                <w:rFonts w:ascii="Arial" w:eastAsia="宋体" w:hAnsi="Arial" w:cs="Arial"/>
                <w:color w:val="0068B5"/>
                <w:sz w:val="18"/>
                <w:szCs w:val="18"/>
              </w:rPr>
              <w:t>(442)</w:t>
            </w:r>
          </w:p>
        </w:tc>
        <w:tc>
          <w:tcPr>
            <w:tcW w:w="0" w:type="auto"/>
            <w:shd w:val="clear" w:color="auto" w:fill="auto"/>
            <w:tcMar>
              <w:top w:w="40" w:type="dxa"/>
              <w:left w:w="0" w:type="dxa"/>
              <w:bottom w:w="40" w:type="dxa"/>
              <w:right w:w="20" w:type="dxa"/>
            </w:tcMar>
            <w:vAlign w:val="bottom"/>
          </w:tcPr>
          <w:p w14:paraId="39D99EE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EE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EEC" w14:textId="77777777" w:rsidR="00996AD7" w:rsidRDefault="00D96458">
            <w:pPr>
              <w:jc w:val="right"/>
              <w:textAlignment w:val="bottom"/>
            </w:pPr>
            <w:r>
              <w:rPr>
                <w:rFonts w:ascii="Arial" w:eastAsia="宋体" w:hAnsi="Arial" w:cs="Arial"/>
                <w:color w:val="262626"/>
                <w:sz w:val="18"/>
                <w:szCs w:val="18"/>
              </w:rPr>
              <w:t>(145)</w:t>
            </w:r>
          </w:p>
        </w:tc>
        <w:tc>
          <w:tcPr>
            <w:tcW w:w="0" w:type="auto"/>
            <w:shd w:val="clear" w:color="auto" w:fill="auto"/>
            <w:tcMar>
              <w:top w:w="40" w:type="dxa"/>
              <w:left w:w="0" w:type="dxa"/>
              <w:bottom w:w="40" w:type="dxa"/>
              <w:right w:w="20" w:type="dxa"/>
            </w:tcMar>
            <w:vAlign w:val="bottom"/>
          </w:tcPr>
          <w:p w14:paraId="39D99EED" w14:textId="77777777" w:rsidR="00996AD7" w:rsidRDefault="00996AD7">
            <w:pPr>
              <w:jc w:val="right"/>
              <w:rPr>
                <w:rFonts w:ascii="宋体"/>
              </w:rPr>
            </w:pPr>
          </w:p>
        </w:tc>
        <w:tc>
          <w:tcPr>
            <w:tcW w:w="0" w:type="auto"/>
            <w:shd w:val="clear" w:color="auto" w:fill="auto"/>
            <w:vAlign w:val="bottom"/>
          </w:tcPr>
          <w:p w14:paraId="39D99EEE" w14:textId="77777777" w:rsidR="00996AD7" w:rsidRDefault="00996AD7">
            <w:pPr>
              <w:rPr>
                <w:rFonts w:ascii="宋体"/>
                <w:vanish/>
              </w:rPr>
            </w:pPr>
          </w:p>
        </w:tc>
        <w:tc>
          <w:tcPr>
            <w:tcW w:w="0" w:type="auto"/>
            <w:shd w:val="clear" w:color="auto" w:fill="auto"/>
            <w:vAlign w:val="bottom"/>
          </w:tcPr>
          <w:p w14:paraId="39D99EEF" w14:textId="77777777" w:rsidR="00996AD7" w:rsidRDefault="00996AD7">
            <w:pPr>
              <w:rPr>
                <w:rFonts w:ascii="宋体"/>
                <w:vanish/>
              </w:rPr>
            </w:pPr>
          </w:p>
        </w:tc>
        <w:tc>
          <w:tcPr>
            <w:tcW w:w="0" w:type="auto"/>
            <w:gridSpan w:val="3"/>
            <w:shd w:val="clear" w:color="auto" w:fill="auto"/>
            <w:vAlign w:val="bottom"/>
          </w:tcPr>
          <w:p w14:paraId="39D99EF0" w14:textId="77777777" w:rsidR="00996AD7" w:rsidRDefault="00996AD7">
            <w:pPr>
              <w:rPr>
                <w:rFonts w:ascii="宋体"/>
                <w:vanish/>
              </w:rPr>
            </w:pPr>
          </w:p>
        </w:tc>
        <w:tc>
          <w:tcPr>
            <w:tcW w:w="0" w:type="auto"/>
            <w:gridSpan w:val="3"/>
            <w:shd w:val="clear" w:color="auto" w:fill="auto"/>
            <w:vAlign w:val="bottom"/>
          </w:tcPr>
          <w:p w14:paraId="39D99EF1" w14:textId="77777777" w:rsidR="00996AD7" w:rsidRDefault="00996AD7">
            <w:pPr>
              <w:rPr>
                <w:rFonts w:ascii="宋体"/>
                <w:vanish/>
              </w:rPr>
            </w:pPr>
          </w:p>
        </w:tc>
      </w:tr>
      <w:tr w:rsidR="00996AD7" w14:paraId="39D99F00" w14:textId="77777777">
        <w:tc>
          <w:tcPr>
            <w:tcW w:w="0" w:type="auto"/>
            <w:gridSpan w:val="3"/>
            <w:shd w:val="clear" w:color="auto" w:fill="auto"/>
            <w:tcMar>
              <w:top w:w="40" w:type="dxa"/>
              <w:left w:w="20" w:type="dxa"/>
              <w:bottom w:w="40" w:type="dxa"/>
              <w:right w:w="20" w:type="dxa"/>
            </w:tcMar>
            <w:vAlign w:val="bottom"/>
          </w:tcPr>
          <w:p w14:paraId="39D99EF3" w14:textId="77777777" w:rsidR="00996AD7" w:rsidRDefault="00D96458">
            <w:pPr>
              <w:textAlignment w:val="bottom"/>
            </w:pPr>
            <w:r>
              <w:rPr>
                <w:rFonts w:ascii="Arial" w:eastAsia="宋体" w:hAnsi="Arial" w:cs="Arial"/>
                <w:b/>
                <w:bCs/>
                <w:color w:val="262626"/>
                <w:sz w:val="18"/>
                <w:szCs w:val="18"/>
              </w:rPr>
              <w:t xml:space="preserve">Non-GAAP operating </w:t>
            </w:r>
            <w:r>
              <w:rPr>
                <w:rFonts w:ascii="Arial" w:eastAsia="宋体" w:hAnsi="Arial" w:cs="Arial"/>
                <w:b/>
                <w:bCs/>
                <w:color w:val="262626"/>
                <w:sz w:val="18"/>
                <w:szCs w:val="18"/>
              </w:rPr>
              <w:t>income</w:t>
            </w:r>
          </w:p>
        </w:tc>
        <w:tc>
          <w:tcPr>
            <w:tcW w:w="0" w:type="auto"/>
            <w:gridSpan w:val="3"/>
            <w:shd w:val="clear" w:color="auto" w:fill="auto"/>
            <w:tcMar>
              <w:top w:w="0" w:type="dxa"/>
              <w:left w:w="20" w:type="dxa"/>
              <w:bottom w:w="0" w:type="dxa"/>
              <w:right w:w="20" w:type="dxa"/>
            </w:tcMar>
            <w:vAlign w:val="bottom"/>
          </w:tcPr>
          <w:p w14:paraId="39D99EF4"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EF5"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EF6" w14:textId="77777777" w:rsidR="00996AD7" w:rsidRDefault="00D96458">
            <w:pPr>
              <w:jc w:val="right"/>
              <w:textAlignment w:val="bottom"/>
            </w:pPr>
            <w:r>
              <w:rPr>
                <w:rFonts w:ascii="Arial" w:eastAsia="宋体" w:hAnsi="Arial" w:cs="Arial"/>
                <w:b/>
                <w:bCs/>
                <w:color w:val="0068B5"/>
                <w:sz w:val="18"/>
                <w:szCs w:val="18"/>
              </w:rPr>
              <w:t>5,202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EF7"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9EF8"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9EF9"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9EFA" w14:textId="77777777" w:rsidR="00996AD7" w:rsidRDefault="00D96458">
            <w:pPr>
              <w:jc w:val="right"/>
              <w:textAlignment w:val="bottom"/>
            </w:pPr>
            <w:r>
              <w:rPr>
                <w:rFonts w:ascii="Arial" w:eastAsia="宋体" w:hAnsi="Arial" w:cs="Arial"/>
                <w:b/>
                <w:bCs/>
                <w:color w:val="262626"/>
                <w:sz w:val="18"/>
                <w:szCs w:val="18"/>
              </w:rPr>
              <w:t>5,251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EFB" w14:textId="77777777" w:rsidR="00996AD7" w:rsidRDefault="00996AD7">
            <w:pPr>
              <w:jc w:val="right"/>
              <w:rPr>
                <w:rFonts w:ascii="宋体"/>
              </w:rPr>
            </w:pPr>
          </w:p>
        </w:tc>
        <w:tc>
          <w:tcPr>
            <w:tcW w:w="0" w:type="auto"/>
            <w:shd w:val="clear" w:color="auto" w:fill="auto"/>
            <w:vAlign w:val="bottom"/>
          </w:tcPr>
          <w:p w14:paraId="39D99EFC" w14:textId="77777777" w:rsidR="00996AD7" w:rsidRDefault="00996AD7">
            <w:pPr>
              <w:rPr>
                <w:rFonts w:ascii="宋体"/>
                <w:vanish/>
              </w:rPr>
            </w:pPr>
          </w:p>
        </w:tc>
        <w:tc>
          <w:tcPr>
            <w:tcW w:w="0" w:type="auto"/>
            <w:shd w:val="clear" w:color="auto" w:fill="auto"/>
            <w:vAlign w:val="bottom"/>
          </w:tcPr>
          <w:p w14:paraId="39D99EFD" w14:textId="77777777" w:rsidR="00996AD7" w:rsidRDefault="00996AD7">
            <w:pPr>
              <w:rPr>
                <w:rFonts w:ascii="宋体"/>
                <w:vanish/>
              </w:rPr>
            </w:pPr>
          </w:p>
        </w:tc>
        <w:tc>
          <w:tcPr>
            <w:tcW w:w="0" w:type="auto"/>
            <w:gridSpan w:val="3"/>
            <w:shd w:val="clear" w:color="auto" w:fill="auto"/>
            <w:vAlign w:val="bottom"/>
          </w:tcPr>
          <w:p w14:paraId="39D99EFE" w14:textId="77777777" w:rsidR="00996AD7" w:rsidRDefault="00996AD7">
            <w:pPr>
              <w:rPr>
                <w:rFonts w:ascii="宋体"/>
                <w:vanish/>
              </w:rPr>
            </w:pPr>
          </w:p>
        </w:tc>
        <w:tc>
          <w:tcPr>
            <w:tcW w:w="0" w:type="auto"/>
            <w:gridSpan w:val="3"/>
            <w:shd w:val="clear" w:color="auto" w:fill="auto"/>
            <w:vAlign w:val="bottom"/>
          </w:tcPr>
          <w:p w14:paraId="39D99EFF" w14:textId="77777777" w:rsidR="00996AD7" w:rsidRDefault="00996AD7">
            <w:pPr>
              <w:rPr>
                <w:rFonts w:ascii="宋体"/>
                <w:vanish/>
              </w:rPr>
            </w:pPr>
          </w:p>
        </w:tc>
      </w:tr>
      <w:tr w:rsidR="00996AD7" w14:paraId="39D99F0A" w14:textId="77777777">
        <w:trPr>
          <w:trHeight w:val="60"/>
        </w:trPr>
        <w:tc>
          <w:tcPr>
            <w:tcW w:w="0" w:type="auto"/>
            <w:gridSpan w:val="3"/>
            <w:shd w:val="clear" w:color="auto" w:fill="auto"/>
            <w:tcMar>
              <w:top w:w="0" w:type="dxa"/>
              <w:left w:w="20" w:type="dxa"/>
              <w:bottom w:w="0" w:type="dxa"/>
              <w:right w:w="20" w:type="dxa"/>
            </w:tcMar>
            <w:vAlign w:val="bottom"/>
          </w:tcPr>
          <w:p w14:paraId="39D99F0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F02"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9F0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F04"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9F05" w14:textId="77777777" w:rsidR="00996AD7" w:rsidRDefault="00996AD7">
            <w:pPr>
              <w:rPr>
                <w:rFonts w:ascii="宋体"/>
              </w:rPr>
            </w:pPr>
          </w:p>
        </w:tc>
        <w:tc>
          <w:tcPr>
            <w:tcW w:w="0" w:type="auto"/>
            <w:shd w:val="clear" w:color="auto" w:fill="auto"/>
            <w:vAlign w:val="bottom"/>
          </w:tcPr>
          <w:p w14:paraId="39D99F06" w14:textId="77777777" w:rsidR="00996AD7" w:rsidRDefault="00996AD7">
            <w:pPr>
              <w:rPr>
                <w:rFonts w:ascii="宋体"/>
                <w:vanish/>
              </w:rPr>
            </w:pPr>
          </w:p>
        </w:tc>
        <w:tc>
          <w:tcPr>
            <w:tcW w:w="0" w:type="auto"/>
            <w:shd w:val="clear" w:color="auto" w:fill="auto"/>
            <w:vAlign w:val="bottom"/>
          </w:tcPr>
          <w:p w14:paraId="39D99F07" w14:textId="77777777" w:rsidR="00996AD7" w:rsidRDefault="00996AD7">
            <w:pPr>
              <w:rPr>
                <w:rFonts w:ascii="宋体"/>
                <w:vanish/>
              </w:rPr>
            </w:pPr>
          </w:p>
        </w:tc>
        <w:tc>
          <w:tcPr>
            <w:tcW w:w="0" w:type="auto"/>
            <w:gridSpan w:val="3"/>
            <w:shd w:val="clear" w:color="auto" w:fill="auto"/>
            <w:vAlign w:val="bottom"/>
          </w:tcPr>
          <w:p w14:paraId="39D99F08" w14:textId="77777777" w:rsidR="00996AD7" w:rsidRDefault="00996AD7">
            <w:pPr>
              <w:rPr>
                <w:rFonts w:ascii="宋体"/>
                <w:vanish/>
              </w:rPr>
            </w:pPr>
          </w:p>
        </w:tc>
        <w:tc>
          <w:tcPr>
            <w:tcW w:w="0" w:type="auto"/>
            <w:gridSpan w:val="3"/>
            <w:shd w:val="clear" w:color="auto" w:fill="auto"/>
            <w:vAlign w:val="bottom"/>
          </w:tcPr>
          <w:p w14:paraId="39D99F09" w14:textId="77777777" w:rsidR="00996AD7" w:rsidRDefault="00996AD7">
            <w:pPr>
              <w:rPr>
                <w:rFonts w:ascii="宋体"/>
                <w:vanish/>
              </w:rPr>
            </w:pPr>
          </w:p>
        </w:tc>
      </w:tr>
      <w:tr w:rsidR="00996AD7" w14:paraId="39D99F16" w14:textId="77777777">
        <w:tc>
          <w:tcPr>
            <w:tcW w:w="0" w:type="auto"/>
            <w:gridSpan w:val="3"/>
            <w:shd w:val="clear" w:color="auto" w:fill="auto"/>
            <w:tcMar>
              <w:top w:w="40" w:type="dxa"/>
              <w:left w:w="20" w:type="dxa"/>
              <w:bottom w:w="40" w:type="dxa"/>
              <w:right w:w="20" w:type="dxa"/>
            </w:tcMar>
            <w:vAlign w:val="bottom"/>
          </w:tcPr>
          <w:p w14:paraId="39D99F0B" w14:textId="77777777" w:rsidR="00996AD7" w:rsidRDefault="00D96458">
            <w:pPr>
              <w:textAlignment w:val="bottom"/>
            </w:pPr>
            <w:r>
              <w:rPr>
                <w:rFonts w:ascii="Arial" w:eastAsia="宋体" w:hAnsi="Arial" w:cs="Arial"/>
                <w:b/>
                <w:bCs/>
                <w:color w:val="262626"/>
                <w:sz w:val="18"/>
                <w:szCs w:val="18"/>
              </w:rPr>
              <w:t>Operating margin</w:t>
            </w:r>
          </w:p>
        </w:tc>
        <w:tc>
          <w:tcPr>
            <w:tcW w:w="0" w:type="auto"/>
            <w:gridSpan w:val="3"/>
            <w:shd w:val="clear" w:color="auto" w:fill="auto"/>
            <w:tcMar>
              <w:top w:w="0" w:type="dxa"/>
              <w:left w:w="20" w:type="dxa"/>
              <w:bottom w:w="0" w:type="dxa"/>
              <w:right w:w="20" w:type="dxa"/>
            </w:tcMar>
            <w:vAlign w:val="bottom"/>
          </w:tcPr>
          <w:p w14:paraId="39D99F0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F0D" w14:textId="77777777" w:rsidR="00996AD7" w:rsidRDefault="00D96458">
            <w:pPr>
              <w:jc w:val="right"/>
              <w:textAlignment w:val="bottom"/>
            </w:pPr>
            <w:r>
              <w:rPr>
                <w:rFonts w:ascii="Arial" w:eastAsia="宋体" w:hAnsi="Arial" w:cs="Arial"/>
                <w:b/>
                <w:bCs/>
                <w:color w:val="0068B5"/>
                <w:sz w:val="18"/>
                <w:szCs w:val="18"/>
              </w:rPr>
              <w:t>27.2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9F0E" w14:textId="77777777" w:rsidR="00996AD7" w:rsidRDefault="00D964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F0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F10" w14:textId="77777777" w:rsidR="00996AD7" w:rsidRDefault="00D96458">
            <w:pPr>
              <w:jc w:val="right"/>
              <w:textAlignment w:val="bottom"/>
            </w:pPr>
            <w:r>
              <w:rPr>
                <w:rFonts w:ascii="Arial" w:eastAsia="宋体" w:hAnsi="Arial" w:cs="Arial"/>
                <w:b/>
                <w:bCs/>
                <w:color w:val="262626"/>
                <w:sz w:val="18"/>
                <w:szCs w:val="18"/>
              </w:rPr>
              <w:t>27.6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9F11" w14:textId="77777777" w:rsidR="00996AD7" w:rsidRDefault="00D96458">
            <w:pPr>
              <w:jc w:val="right"/>
              <w:textAlignment w:val="bottom"/>
            </w:pPr>
            <w:r>
              <w:rPr>
                <w:rFonts w:ascii="Arial" w:eastAsia="宋体" w:hAnsi="Arial" w:cs="Arial"/>
                <w:b/>
                <w:bCs/>
                <w:color w:val="262626"/>
                <w:sz w:val="18"/>
                <w:szCs w:val="18"/>
              </w:rPr>
              <w:t>%</w:t>
            </w:r>
          </w:p>
        </w:tc>
        <w:tc>
          <w:tcPr>
            <w:tcW w:w="0" w:type="auto"/>
            <w:shd w:val="clear" w:color="auto" w:fill="auto"/>
            <w:vAlign w:val="bottom"/>
          </w:tcPr>
          <w:p w14:paraId="39D99F12" w14:textId="77777777" w:rsidR="00996AD7" w:rsidRDefault="00996AD7">
            <w:pPr>
              <w:rPr>
                <w:rFonts w:ascii="宋体"/>
                <w:vanish/>
              </w:rPr>
            </w:pPr>
          </w:p>
        </w:tc>
        <w:tc>
          <w:tcPr>
            <w:tcW w:w="0" w:type="auto"/>
            <w:shd w:val="clear" w:color="auto" w:fill="auto"/>
            <w:vAlign w:val="bottom"/>
          </w:tcPr>
          <w:p w14:paraId="39D99F13" w14:textId="77777777" w:rsidR="00996AD7" w:rsidRDefault="00996AD7">
            <w:pPr>
              <w:rPr>
                <w:rFonts w:ascii="宋体"/>
                <w:vanish/>
              </w:rPr>
            </w:pPr>
          </w:p>
        </w:tc>
        <w:tc>
          <w:tcPr>
            <w:tcW w:w="0" w:type="auto"/>
            <w:gridSpan w:val="3"/>
            <w:shd w:val="clear" w:color="auto" w:fill="auto"/>
            <w:vAlign w:val="bottom"/>
          </w:tcPr>
          <w:p w14:paraId="39D99F14" w14:textId="77777777" w:rsidR="00996AD7" w:rsidRDefault="00996AD7">
            <w:pPr>
              <w:rPr>
                <w:rFonts w:ascii="宋体"/>
                <w:vanish/>
              </w:rPr>
            </w:pPr>
          </w:p>
        </w:tc>
        <w:tc>
          <w:tcPr>
            <w:tcW w:w="0" w:type="auto"/>
            <w:gridSpan w:val="3"/>
            <w:shd w:val="clear" w:color="auto" w:fill="auto"/>
            <w:vAlign w:val="bottom"/>
          </w:tcPr>
          <w:p w14:paraId="39D99F15" w14:textId="77777777" w:rsidR="00996AD7" w:rsidRDefault="00996AD7">
            <w:pPr>
              <w:rPr>
                <w:rFonts w:ascii="宋体"/>
                <w:vanish/>
              </w:rPr>
            </w:pPr>
          </w:p>
        </w:tc>
      </w:tr>
      <w:tr w:rsidR="00996AD7" w14:paraId="39D99F22" w14:textId="77777777">
        <w:tc>
          <w:tcPr>
            <w:tcW w:w="0" w:type="auto"/>
            <w:gridSpan w:val="3"/>
            <w:shd w:val="clear" w:color="auto" w:fill="auto"/>
            <w:tcMar>
              <w:top w:w="40" w:type="dxa"/>
              <w:left w:w="245" w:type="dxa"/>
              <w:bottom w:w="40" w:type="dxa"/>
              <w:right w:w="20" w:type="dxa"/>
            </w:tcMar>
            <w:vAlign w:val="bottom"/>
          </w:tcPr>
          <w:p w14:paraId="39D99F17" w14:textId="77777777" w:rsidR="00996AD7" w:rsidRDefault="00D96458">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39D99F1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F19" w14:textId="77777777" w:rsidR="00996AD7" w:rsidRDefault="00D96458">
            <w:pPr>
              <w:jc w:val="right"/>
              <w:textAlignment w:val="bottom"/>
            </w:pPr>
            <w:r>
              <w:rPr>
                <w:rFonts w:ascii="Arial" w:eastAsia="宋体" w:hAnsi="Arial" w:cs="Arial"/>
                <w:color w:val="0068B5"/>
                <w:sz w:val="18"/>
                <w:szCs w:val="18"/>
              </w:rPr>
              <w:t>2.0 </w:t>
            </w:r>
          </w:p>
        </w:tc>
        <w:tc>
          <w:tcPr>
            <w:tcW w:w="0" w:type="auto"/>
            <w:shd w:val="clear" w:color="auto" w:fill="auto"/>
            <w:tcMar>
              <w:top w:w="40" w:type="dxa"/>
              <w:left w:w="0" w:type="dxa"/>
              <w:bottom w:w="40" w:type="dxa"/>
              <w:right w:w="20" w:type="dxa"/>
            </w:tcMar>
            <w:vAlign w:val="bottom"/>
          </w:tcPr>
          <w:p w14:paraId="39D99F1A"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F1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F1C" w14:textId="77777777" w:rsidR="00996AD7" w:rsidRDefault="00D96458">
            <w:pPr>
              <w:jc w:val="right"/>
              <w:textAlignment w:val="bottom"/>
            </w:pPr>
            <w:r>
              <w:rPr>
                <w:rFonts w:ascii="Arial" w:eastAsia="宋体" w:hAnsi="Arial" w:cs="Arial"/>
                <w:color w:val="262626"/>
                <w:sz w:val="18"/>
                <w:szCs w:val="18"/>
              </w:rPr>
              <w:t>2.0 </w:t>
            </w:r>
          </w:p>
        </w:tc>
        <w:tc>
          <w:tcPr>
            <w:tcW w:w="0" w:type="auto"/>
            <w:shd w:val="clear" w:color="auto" w:fill="auto"/>
            <w:tcMar>
              <w:top w:w="40" w:type="dxa"/>
              <w:left w:w="0" w:type="dxa"/>
              <w:bottom w:w="40" w:type="dxa"/>
              <w:right w:w="20" w:type="dxa"/>
            </w:tcMar>
            <w:vAlign w:val="bottom"/>
          </w:tcPr>
          <w:p w14:paraId="39D99F1D" w14:textId="77777777" w:rsidR="00996AD7" w:rsidRDefault="00D96458">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39D99F1E" w14:textId="77777777" w:rsidR="00996AD7" w:rsidRDefault="00996AD7">
            <w:pPr>
              <w:rPr>
                <w:rFonts w:ascii="宋体"/>
                <w:vanish/>
              </w:rPr>
            </w:pPr>
          </w:p>
        </w:tc>
        <w:tc>
          <w:tcPr>
            <w:tcW w:w="0" w:type="auto"/>
            <w:shd w:val="clear" w:color="auto" w:fill="auto"/>
            <w:vAlign w:val="bottom"/>
          </w:tcPr>
          <w:p w14:paraId="39D99F1F" w14:textId="77777777" w:rsidR="00996AD7" w:rsidRDefault="00996AD7">
            <w:pPr>
              <w:rPr>
                <w:rFonts w:ascii="宋体"/>
                <w:vanish/>
              </w:rPr>
            </w:pPr>
          </w:p>
        </w:tc>
        <w:tc>
          <w:tcPr>
            <w:tcW w:w="0" w:type="auto"/>
            <w:gridSpan w:val="3"/>
            <w:shd w:val="clear" w:color="auto" w:fill="auto"/>
            <w:vAlign w:val="bottom"/>
          </w:tcPr>
          <w:p w14:paraId="39D99F20" w14:textId="77777777" w:rsidR="00996AD7" w:rsidRDefault="00996AD7">
            <w:pPr>
              <w:rPr>
                <w:rFonts w:ascii="宋体"/>
                <w:vanish/>
              </w:rPr>
            </w:pPr>
          </w:p>
        </w:tc>
        <w:tc>
          <w:tcPr>
            <w:tcW w:w="0" w:type="auto"/>
            <w:gridSpan w:val="3"/>
            <w:shd w:val="clear" w:color="auto" w:fill="auto"/>
            <w:vAlign w:val="bottom"/>
          </w:tcPr>
          <w:p w14:paraId="39D99F21" w14:textId="77777777" w:rsidR="00996AD7" w:rsidRDefault="00996AD7">
            <w:pPr>
              <w:rPr>
                <w:rFonts w:ascii="宋体"/>
                <w:vanish/>
              </w:rPr>
            </w:pPr>
          </w:p>
        </w:tc>
      </w:tr>
      <w:tr w:rsidR="00996AD7" w14:paraId="39D99F2C" w14:textId="77777777">
        <w:trPr>
          <w:hidden/>
        </w:trPr>
        <w:tc>
          <w:tcPr>
            <w:tcW w:w="0" w:type="auto"/>
            <w:gridSpan w:val="3"/>
            <w:shd w:val="clear" w:color="auto" w:fill="auto"/>
            <w:vAlign w:val="bottom"/>
          </w:tcPr>
          <w:p w14:paraId="39D99F23" w14:textId="77777777" w:rsidR="00996AD7" w:rsidRDefault="00996AD7">
            <w:pPr>
              <w:rPr>
                <w:rFonts w:ascii="宋体"/>
                <w:vanish/>
              </w:rPr>
            </w:pPr>
          </w:p>
        </w:tc>
        <w:tc>
          <w:tcPr>
            <w:tcW w:w="0" w:type="auto"/>
            <w:gridSpan w:val="3"/>
            <w:shd w:val="clear" w:color="auto" w:fill="auto"/>
            <w:vAlign w:val="bottom"/>
          </w:tcPr>
          <w:p w14:paraId="39D99F24" w14:textId="77777777" w:rsidR="00996AD7" w:rsidRDefault="00996AD7">
            <w:pPr>
              <w:rPr>
                <w:rFonts w:ascii="宋体"/>
                <w:vanish/>
              </w:rPr>
            </w:pPr>
          </w:p>
        </w:tc>
        <w:tc>
          <w:tcPr>
            <w:tcW w:w="0" w:type="auto"/>
            <w:gridSpan w:val="3"/>
            <w:shd w:val="clear" w:color="auto" w:fill="auto"/>
            <w:vAlign w:val="bottom"/>
          </w:tcPr>
          <w:p w14:paraId="39D99F25" w14:textId="77777777" w:rsidR="00996AD7" w:rsidRDefault="00996AD7">
            <w:pPr>
              <w:rPr>
                <w:rFonts w:ascii="宋体"/>
                <w:vanish/>
              </w:rPr>
            </w:pPr>
          </w:p>
        </w:tc>
        <w:tc>
          <w:tcPr>
            <w:tcW w:w="0" w:type="auto"/>
            <w:gridSpan w:val="3"/>
            <w:shd w:val="clear" w:color="auto" w:fill="auto"/>
            <w:vAlign w:val="bottom"/>
          </w:tcPr>
          <w:p w14:paraId="39D99F26" w14:textId="77777777" w:rsidR="00996AD7" w:rsidRDefault="00996AD7">
            <w:pPr>
              <w:rPr>
                <w:rFonts w:ascii="宋体"/>
                <w:vanish/>
              </w:rPr>
            </w:pPr>
          </w:p>
        </w:tc>
        <w:tc>
          <w:tcPr>
            <w:tcW w:w="0" w:type="auto"/>
            <w:gridSpan w:val="3"/>
            <w:shd w:val="clear" w:color="auto" w:fill="auto"/>
            <w:vAlign w:val="bottom"/>
          </w:tcPr>
          <w:p w14:paraId="39D99F27" w14:textId="77777777" w:rsidR="00996AD7" w:rsidRDefault="00996AD7">
            <w:pPr>
              <w:rPr>
                <w:rFonts w:ascii="宋体"/>
                <w:vanish/>
              </w:rPr>
            </w:pPr>
          </w:p>
        </w:tc>
        <w:tc>
          <w:tcPr>
            <w:tcW w:w="0" w:type="auto"/>
            <w:shd w:val="clear" w:color="auto" w:fill="auto"/>
            <w:vAlign w:val="bottom"/>
          </w:tcPr>
          <w:p w14:paraId="39D99F28" w14:textId="77777777" w:rsidR="00996AD7" w:rsidRDefault="00996AD7">
            <w:pPr>
              <w:rPr>
                <w:rFonts w:ascii="宋体"/>
                <w:vanish/>
              </w:rPr>
            </w:pPr>
          </w:p>
        </w:tc>
        <w:tc>
          <w:tcPr>
            <w:tcW w:w="0" w:type="auto"/>
            <w:shd w:val="clear" w:color="auto" w:fill="auto"/>
            <w:vAlign w:val="bottom"/>
          </w:tcPr>
          <w:p w14:paraId="39D99F29" w14:textId="77777777" w:rsidR="00996AD7" w:rsidRDefault="00996AD7">
            <w:pPr>
              <w:rPr>
                <w:rFonts w:ascii="宋体"/>
                <w:vanish/>
              </w:rPr>
            </w:pPr>
          </w:p>
        </w:tc>
        <w:tc>
          <w:tcPr>
            <w:tcW w:w="0" w:type="auto"/>
            <w:gridSpan w:val="3"/>
            <w:shd w:val="clear" w:color="auto" w:fill="auto"/>
            <w:vAlign w:val="bottom"/>
          </w:tcPr>
          <w:p w14:paraId="39D99F2A" w14:textId="77777777" w:rsidR="00996AD7" w:rsidRDefault="00996AD7">
            <w:pPr>
              <w:rPr>
                <w:rFonts w:ascii="宋体"/>
                <w:vanish/>
              </w:rPr>
            </w:pPr>
          </w:p>
        </w:tc>
        <w:tc>
          <w:tcPr>
            <w:tcW w:w="0" w:type="auto"/>
            <w:gridSpan w:val="3"/>
            <w:shd w:val="clear" w:color="auto" w:fill="auto"/>
            <w:vAlign w:val="bottom"/>
          </w:tcPr>
          <w:p w14:paraId="39D99F2B" w14:textId="77777777" w:rsidR="00996AD7" w:rsidRDefault="00996AD7">
            <w:pPr>
              <w:rPr>
                <w:rFonts w:ascii="宋体"/>
                <w:vanish/>
              </w:rPr>
            </w:pPr>
          </w:p>
        </w:tc>
      </w:tr>
      <w:tr w:rsidR="00996AD7" w14:paraId="39D99F36" w14:textId="77777777">
        <w:trPr>
          <w:hidden/>
        </w:trPr>
        <w:tc>
          <w:tcPr>
            <w:tcW w:w="0" w:type="auto"/>
            <w:gridSpan w:val="3"/>
            <w:shd w:val="clear" w:color="auto" w:fill="auto"/>
            <w:vAlign w:val="bottom"/>
          </w:tcPr>
          <w:p w14:paraId="39D99F2D" w14:textId="77777777" w:rsidR="00996AD7" w:rsidRDefault="00996AD7">
            <w:pPr>
              <w:rPr>
                <w:rFonts w:ascii="宋体"/>
                <w:vanish/>
              </w:rPr>
            </w:pPr>
          </w:p>
        </w:tc>
        <w:tc>
          <w:tcPr>
            <w:tcW w:w="0" w:type="auto"/>
            <w:gridSpan w:val="3"/>
            <w:shd w:val="clear" w:color="auto" w:fill="auto"/>
            <w:vAlign w:val="bottom"/>
          </w:tcPr>
          <w:p w14:paraId="39D99F2E" w14:textId="77777777" w:rsidR="00996AD7" w:rsidRDefault="00996AD7">
            <w:pPr>
              <w:rPr>
                <w:rFonts w:ascii="宋体"/>
                <w:vanish/>
              </w:rPr>
            </w:pPr>
          </w:p>
        </w:tc>
        <w:tc>
          <w:tcPr>
            <w:tcW w:w="0" w:type="auto"/>
            <w:gridSpan w:val="3"/>
            <w:shd w:val="clear" w:color="auto" w:fill="auto"/>
            <w:vAlign w:val="bottom"/>
          </w:tcPr>
          <w:p w14:paraId="39D99F2F" w14:textId="77777777" w:rsidR="00996AD7" w:rsidRDefault="00996AD7">
            <w:pPr>
              <w:rPr>
                <w:rFonts w:ascii="宋体"/>
                <w:vanish/>
              </w:rPr>
            </w:pPr>
          </w:p>
        </w:tc>
        <w:tc>
          <w:tcPr>
            <w:tcW w:w="0" w:type="auto"/>
            <w:gridSpan w:val="3"/>
            <w:shd w:val="clear" w:color="auto" w:fill="auto"/>
            <w:vAlign w:val="bottom"/>
          </w:tcPr>
          <w:p w14:paraId="39D99F30" w14:textId="77777777" w:rsidR="00996AD7" w:rsidRDefault="00996AD7">
            <w:pPr>
              <w:rPr>
                <w:rFonts w:ascii="宋体"/>
                <w:vanish/>
              </w:rPr>
            </w:pPr>
          </w:p>
        </w:tc>
        <w:tc>
          <w:tcPr>
            <w:tcW w:w="0" w:type="auto"/>
            <w:gridSpan w:val="3"/>
            <w:shd w:val="clear" w:color="auto" w:fill="auto"/>
            <w:vAlign w:val="bottom"/>
          </w:tcPr>
          <w:p w14:paraId="39D99F31" w14:textId="77777777" w:rsidR="00996AD7" w:rsidRDefault="00996AD7">
            <w:pPr>
              <w:rPr>
                <w:rFonts w:ascii="宋体"/>
                <w:vanish/>
              </w:rPr>
            </w:pPr>
          </w:p>
        </w:tc>
        <w:tc>
          <w:tcPr>
            <w:tcW w:w="0" w:type="auto"/>
            <w:shd w:val="clear" w:color="auto" w:fill="auto"/>
            <w:vAlign w:val="bottom"/>
          </w:tcPr>
          <w:p w14:paraId="39D99F32" w14:textId="77777777" w:rsidR="00996AD7" w:rsidRDefault="00996AD7">
            <w:pPr>
              <w:rPr>
                <w:rFonts w:ascii="宋体"/>
                <w:vanish/>
              </w:rPr>
            </w:pPr>
          </w:p>
        </w:tc>
        <w:tc>
          <w:tcPr>
            <w:tcW w:w="0" w:type="auto"/>
            <w:shd w:val="clear" w:color="auto" w:fill="auto"/>
            <w:vAlign w:val="bottom"/>
          </w:tcPr>
          <w:p w14:paraId="39D99F33" w14:textId="77777777" w:rsidR="00996AD7" w:rsidRDefault="00996AD7">
            <w:pPr>
              <w:rPr>
                <w:rFonts w:ascii="宋体"/>
                <w:vanish/>
              </w:rPr>
            </w:pPr>
          </w:p>
        </w:tc>
        <w:tc>
          <w:tcPr>
            <w:tcW w:w="0" w:type="auto"/>
            <w:gridSpan w:val="3"/>
            <w:shd w:val="clear" w:color="auto" w:fill="auto"/>
            <w:vAlign w:val="bottom"/>
          </w:tcPr>
          <w:p w14:paraId="39D99F34" w14:textId="77777777" w:rsidR="00996AD7" w:rsidRDefault="00996AD7">
            <w:pPr>
              <w:rPr>
                <w:rFonts w:ascii="宋体"/>
                <w:vanish/>
              </w:rPr>
            </w:pPr>
          </w:p>
        </w:tc>
        <w:tc>
          <w:tcPr>
            <w:tcW w:w="0" w:type="auto"/>
            <w:gridSpan w:val="3"/>
            <w:shd w:val="clear" w:color="auto" w:fill="auto"/>
            <w:vAlign w:val="bottom"/>
          </w:tcPr>
          <w:p w14:paraId="39D99F35" w14:textId="77777777" w:rsidR="00996AD7" w:rsidRDefault="00996AD7">
            <w:pPr>
              <w:rPr>
                <w:rFonts w:ascii="宋体"/>
                <w:vanish/>
              </w:rPr>
            </w:pPr>
          </w:p>
        </w:tc>
      </w:tr>
      <w:tr w:rsidR="00996AD7" w14:paraId="39D99F40" w14:textId="77777777">
        <w:trPr>
          <w:hidden/>
        </w:trPr>
        <w:tc>
          <w:tcPr>
            <w:tcW w:w="0" w:type="auto"/>
            <w:gridSpan w:val="3"/>
            <w:shd w:val="clear" w:color="auto" w:fill="auto"/>
            <w:vAlign w:val="bottom"/>
          </w:tcPr>
          <w:p w14:paraId="39D99F37" w14:textId="77777777" w:rsidR="00996AD7" w:rsidRDefault="00996AD7">
            <w:pPr>
              <w:rPr>
                <w:rFonts w:ascii="宋体"/>
                <w:vanish/>
              </w:rPr>
            </w:pPr>
          </w:p>
        </w:tc>
        <w:tc>
          <w:tcPr>
            <w:tcW w:w="0" w:type="auto"/>
            <w:gridSpan w:val="3"/>
            <w:shd w:val="clear" w:color="auto" w:fill="auto"/>
            <w:vAlign w:val="bottom"/>
          </w:tcPr>
          <w:p w14:paraId="39D99F38" w14:textId="77777777" w:rsidR="00996AD7" w:rsidRDefault="00996AD7">
            <w:pPr>
              <w:rPr>
                <w:rFonts w:ascii="宋体"/>
                <w:vanish/>
              </w:rPr>
            </w:pPr>
          </w:p>
        </w:tc>
        <w:tc>
          <w:tcPr>
            <w:tcW w:w="0" w:type="auto"/>
            <w:gridSpan w:val="3"/>
            <w:shd w:val="clear" w:color="auto" w:fill="auto"/>
            <w:vAlign w:val="bottom"/>
          </w:tcPr>
          <w:p w14:paraId="39D99F39" w14:textId="77777777" w:rsidR="00996AD7" w:rsidRDefault="00996AD7">
            <w:pPr>
              <w:rPr>
                <w:rFonts w:ascii="宋体"/>
                <w:vanish/>
              </w:rPr>
            </w:pPr>
          </w:p>
        </w:tc>
        <w:tc>
          <w:tcPr>
            <w:tcW w:w="0" w:type="auto"/>
            <w:gridSpan w:val="3"/>
            <w:shd w:val="clear" w:color="auto" w:fill="auto"/>
            <w:vAlign w:val="bottom"/>
          </w:tcPr>
          <w:p w14:paraId="39D99F3A" w14:textId="77777777" w:rsidR="00996AD7" w:rsidRDefault="00996AD7">
            <w:pPr>
              <w:rPr>
                <w:rFonts w:ascii="宋体"/>
                <w:vanish/>
              </w:rPr>
            </w:pPr>
          </w:p>
        </w:tc>
        <w:tc>
          <w:tcPr>
            <w:tcW w:w="0" w:type="auto"/>
            <w:gridSpan w:val="3"/>
            <w:shd w:val="clear" w:color="auto" w:fill="auto"/>
            <w:vAlign w:val="bottom"/>
          </w:tcPr>
          <w:p w14:paraId="39D99F3B" w14:textId="77777777" w:rsidR="00996AD7" w:rsidRDefault="00996AD7">
            <w:pPr>
              <w:rPr>
                <w:rFonts w:ascii="宋体"/>
                <w:vanish/>
              </w:rPr>
            </w:pPr>
          </w:p>
        </w:tc>
        <w:tc>
          <w:tcPr>
            <w:tcW w:w="0" w:type="auto"/>
            <w:shd w:val="clear" w:color="auto" w:fill="auto"/>
            <w:vAlign w:val="bottom"/>
          </w:tcPr>
          <w:p w14:paraId="39D99F3C" w14:textId="77777777" w:rsidR="00996AD7" w:rsidRDefault="00996AD7">
            <w:pPr>
              <w:rPr>
                <w:rFonts w:ascii="宋体"/>
                <w:vanish/>
              </w:rPr>
            </w:pPr>
          </w:p>
        </w:tc>
        <w:tc>
          <w:tcPr>
            <w:tcW w:w="0" w:type="auto"/>
            <w:shd w:val="clear" w:color="auto" w:fill="auto"/>
            <w:vAlign w:val="bottom"/>
          </w:tcPr>
          <w:p w14:paraId="39D99F3D" w14:textId="77777777" w:rsidR="00996AD7" w:rsidRDefault="00996AD7">
            <w:pPr>
              <w:rPr>
                <w:rFonts w:ascii="宋体"/>
                <w:vanish/>
              </w:rPr>
            </w:pPr>
          </w:p>
        </w:tc>
        <w:tc>
          <w:tcPr>
            <w:tcW w:w="0" w:type="auto"/>
            <w:gridSpan w:val="3"/>
            <w:shd w:val="clear" w:color="auto" w:fill="auto"/>
            <w:vAlign w:val="bottom"/>
          </w:tcPr>
          <w:p w14:paraId="39D99F3E" w14:textId="77777777" w:rsidR="00996AD7" w:rsidRDefault="00996AD7">
            <w:pPr>
              <w:rPr>
                <w:rFonts w:ascii="宋体"/>
                <w:vanish/>
              </w:rPr>
            </w:pPr>
          </w:p>
        </w:tc>
        <w:tc>
          <w:tcPr>
            <w:tcW w:w="0" w:type="auto"/>
            <w:gridSpan w:val="3"/>
            <w:shd w:val="clear" w:color="auto" w:fill="auto"/>
            <w:vAlign w:val="bottom"/>
          </w:tcPr>
          <w:p w14:paraId="39D99F3F" w14:textId="77777777" w:rsidR="00996AD7" w:rsidRDefault="00996AD7">
            <w:pPr>
              <w:rPr>
                <w:rFonts w:ascii="宋体"/>
                <w:vanish/>
              </w:rPr>
            </w:pPr>
          </w:p>
        </w:tc>
      </w:tr>
      <w:tr w:rsidR="00996AD7" w14:paraId="39D99F4A" w14:textId="77777777">
        <w:trPr>
          <w:hidden/>
        </w:trPr>
        <w:tc>
          <w:tcPr>
            <w:tcW w:w="0" w:type="auto"/>
            <w:gridSpan w:val="3"/>
            <w:shd w:val="clear" w:color="auto" w:fill="auto"/>
            <w:vAlign w:val="bottom"/>
          </w:tcPr>
          <w:p w14:paraId="39D99F41" w14:textId="77777777" w:rsidR="00996AD7" w:rsidRDefault="00996AD7">
            <w:pPr>
              <w:rPr>
                <w:rFonts w:ascii="宋体"/>
                <w:vanish/>
              </w:rPr>
            </w:pPr>
          </w:p>
        </w:tc>
        <w:tc>
          <w:tcPr>
            <w:tcW w:w="0" w:type="auto"/>
            <w:gridSpan w:val="3"/>
            <w:shd w:val="clear" w:color="auto" w:fill="auto"/>
            <w:vAlign w:val="bottom"/>
          </w:tcPr>
          <w:p w14:paraId="39D99F42" w14:textId="77777777" w:rsidR="00996AD7" w:rsidRDefault="00996AD7">
            <w:pPr>
              <w:rPr>
                <w:rFonts w:ascii="宋体"/>
                <w:vanish/>
              </w:rPr>
            </w:pPr>
          </w:p>
        </w:tc>
        <w:tc>
          <w:tcPr>
            <w:tcW w:w="0" w:type="auto"/>
            <w:gridSpan w:val="3"/>
            <w:shd w:val="clear" w:color="auto" w:fill="auto"/>
            <w:vAlign w:val="bottom"/>
          </w:tcPr>
          <w:p w14:paraId="39D99F43" w14:textId="77777777" w:rsidR="00996AD7" w:rsidRDefault="00996AD7">
            <w:pPr>
              <w:rPr>
                <w:rFonts w:ascii="宋体"/>
                <w:vanish/>
              </w:rPr>
            </w:pPr>
          </w:p>
        </w:tc>
        <w:tc>
          <w:tcPr>
            <w:tcW w:w="0" w:type="auto"/>
            <w:gridSpan w:val="3"/>
            <w:shd w:val="clear" w:color="auto" w:fill="auto"/>
            <w:vAlign w:val="bottom"/>
          </w:tcPr>
          <w:p w14:paraId="39D99F44" w14:textId="77777777" w:rsidR="00996AD7" w:rsidRDefault="00996AD7">
            <w:pPr>
              <w:rPr>
                <w:rFonts w:ascii="宋体"/>
                <w:vanish/>
              </w:rPr>
            </w:pPr>
          </w:p>
        </w:tc>
        <w:tc>
          <w:tcPr>
            <w:tcW w:w="0" w:type="auto"/>
            <w:gridSpan w:val="3"/>
            <w:shd w:val="clear" w:color="auto" w:fill="auto"/>
            <w:vAlign w:val="bottom"/>
          </w:tcPr>
          <w:p w14:paraId="39D99F45" w14:textId="77777777" w:rsidR="00996AD7" w:rsidRDefault="00996AD7">
            <w:pPr>
              <w:rPr>
                <w:rFonts w:ascii="宋体"/>
                <w:vanish/>
              </w:rPr>
            </w:pPr>
          </w:p>
        </w:tc>
        <w:tc>
          <w:tcPr>
            <w:tcW w:w="0" w:type="auto"/>
            <w:shd w:val="clear" w:color="auto" w:fill="auto"/>
            <w:vAlign w:val="bottom"/>
          </w:tcPr>
          <w:p w14:paraId="39D99F46" w14:textId="77777777" w:rsidR="00996AD7" w:rsidRDefault="00996AD7">
            <w:pPr>
              <w:rPr>
                <w:rFonts w:ascii="宋体"/>
                <w:vanish/>
              </w:rPr>
            </w:pPr>
          </w:p>
        </w:tc>
        <w:tc>
          <w:tcPr>
            <w:tcW w:w="0" w:type="auto"/>
            <w:shd w:val="clear" w:color="auto" w:fill="auto"/>
            <w:vAlign w:val="bottom"/>
          </w:tcPr>
          <w:p w14:paraId="39D99F47" w14:textId="77777777" w:rsidR="00996AD7" w:rsidRDefault="00996AD7">
            <w:pPr>
              <w:rPr>
                <w:rFonts w:ascii="宋体"/>
                <w:vanish/>
              </w:rPr>
            </w:pPr>
          </w:p>
        </w:tc>
        <w:tc>
          <w:tcPr>
            <w:tcW w:w="0" w:type="auto"/>
            <w:gridSpan w:val="3"/>
            <w:shd w:val="clear" w:color="auto" w:fill="auto"/>
            <w:vAlign w:val="bottom"/>
          </w:tcPr>
          <w:p w14:paraId="39D99F48" w14:textId="77777777" w:rsidR="00996AD7" w:rsidRDefault="00996AD7">
            <w:pPr>
              <w:rPr>
                <w:rFonts w:ascii="宋体"/>
                <w:vanish/>
              </w:rPr>
            </w:pPr>
          </w:p>
        </w:tc>
        <w:tc>
          <w:tcPr>
            <w:tcW w:w="0" w:type="auto"/>
            <w:gridSpan w:val="3"/>
            <w:shd w:val="clear" w:color="auto" w:fill="auto"/>
            <w:vAlign w:val="bottom"/>
          </w:tcPr>
          <w:p w14:paraId="39D99F49" w14:textId="77777777" w:rsidR="00996AD7" w:rsidRDefault="00996AD7">
            <w:pPr>
              <w:rPr>
                <w:rFonts w:ascii="宋体"/>
                <w:vanish/>
              </w:rPr>
            </w:pPr>
          </w:p>
        </w:tc>
      </w:tr>
      <w:tr w:rsidR="00996AD7" w14:paraId="39D99F56" w14:textId="77777777">
        <w:tc>
          <w:tcPr>
            <w:tcW w:w="0" w:type="auto"/>
            <w:gridSpan w:val="3"/>
            <w:shd w:val="clear" w:color="auto" w:fill="auto"/>
            <w:tcMar>
              <w:top w:w="40" w:type="dxa"/>
              <w:left w:w="245" w:type="dxa"/>
              <w:bottom w:w="40" w:type="dxa"/>
              <w:right w:w="20" w:type="dxa"/>
            </w:tcMar>
            <w:vAlign w:val="bottom"/>
          </w:tcPr>
          <w:p w14:paraId="39D99F4B" w14:textId="77777777" w:rsidR="00996AD7" w:rsidRDefault="00D96458">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39D99F4C"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F4D" w14:textId="77777777" w:rsidR="00996AD7" w:rsidRDefault="00D96458">
            <w:pPr>
              <w:jc w:val="right"/>
              <w:textAlignment w:val="bottom"/>
            </w:pPr>
            <w:r>
              <w:rPr>
                <w:rFonts w:ascii="Arial" w:eastAsia="宋体" w:hAnsi="Arial" w:cs="Arial"/>
                <w:color w:val="0068B5"/>
                <w:sz w:val="18"/>
                <w:szCs w:val="18"/>
              </w:rPr>
              <w:t>0.2 </w:t>
            </w:r>
          </w:p>
        </w:tc>
        <w:tc>
          <w:tcPr>
            <w:tcW w:w="0" w:type="auto"/>
            <w:shd w:val="clear" w:color="auto" w:fill="auto"/>
            <w:tcMar>
              <w:top w:w="40" w:type="dxa"/>
              <w:left w:w="0" w:type="dxa"/>
              <w:bottom w:w="40" w:type="dxa"/>
              <w:right w:w="20" w:type="dxa"/>
            </w:tcMar>
            <w:vAlign w:val="bottom"/>
          </w:tcPr>
          <w:p w14:paraId="39D99F4E"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F4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F50" w14:textId="77777777" w:rsidR="00996AD7" w:rsidRDefault="00D96458">
            <w:pPr>
              <w:jc w:val="right"/>
              <w:textAlignment w:val="bottom"/>
            </w:pPr>
            <w:r>
              <w:rPr>
                <w:rFonts w:ascii="Arial" w:eastAsia="宋体" w:hAnsi="Arial" w:cs="Arial"/>
                <w:color w:val="262626"/>
                <w:sz w:val="18"/>
                <w:szCs w:val="18"/>
              </w:rPr>
              <w:t>(0.1)</w:t>
            </w:r>
          </w:p>
        </w:tc>
        <w:tc>
          <w:tcPr>
            <w:tcW w:w="0" w:type="auto"/>
            <w:shd w:val="clear" w:color="auto" w:fill="auto"/>
            <w:tcMar>
              <w:top w:w="40" w:type="dxa"/>
              <w:left w:w="0" w:type="dxa"/>
              <w:bottom w:w="40" w:type="dxa"/>
              <w:right w:w="20" w:type="dxa"/>
            </w:tcMar>
            <w:vAlign w:val="bottom"/>
          </w:tcPr>
          <w:p w14:paraId="39D99F51" w14:textId="77777777" w:rsidR="00996AD7" w:rsidRDefault="00D96458">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39D99F52" w14:textId="77777777" w:rsidR="00996AD7" w:rsidRDefault="00996AD7">
            <w:pPr>
              <w:rPr>
                <w:rFonts w:ascii="宋体"/>
                <w:vanish/>
              </w:rPr>
            </w:pPr>
          </w:p>
        </w:tc>
        <w:tc>
          <w:tcPr>
            <w:tcW w:w="0" w:type="auto"/>
            <w:shd w:val="clear" w:color="auto" w:fill="auto"/>
            <w:vAlign w:val="bottom"/>
          </w:tcPr>
          <w:p w14:paraId="39D99F53" w14:textId="77777777" w:rsidR="00996AD7" w:rsidRDefault="00996AD7">
            <w:pPr>
              <w:rPr>
                <w:rFonts w:ascii="宋体"/>
                <w:vanish/>
              </w:rPr>
            </w:pPr>
          </w:p>
        </w:tc>
        <w:tc>
          <w:tcPr>
            <w:tcW w:w="0" w:type="auto"/>
            <w:gridSpan w:val="3"/>
            <w:shd w:val="clear" w:color="auto" w:fill="auto"/>
            <w:vAlign w:val="bottom"/>
          </w:tcPr>
          <w:p w14:paraId="39D99F54" w14:textId="77777777" w:rsidR="00996AD7" w:rsidRDefault="00996AD7">
            <w:pPr>
              <w:rPr>
                <w:rFonts w:ascii="宋体"/>
                <w:vanish/>
              </w:rPr>
            </w:pPr>
          </w:p>
        </w:tc>
        <w:tc>
          <w:tcPr>
            <w:tcW w:w="0" w:type="auto"/>
            <w:gridSpan w:val="3"/>
            <w:shd w:val="clear" w:color="auto" w:fill="auto"/>
            <w:vAlign w:val="bottom"/>
          </w:tcPr>
          <w:p w14:paraId="39D99F55" w14:textId="77777777" w:rsidR="00996AD7" w:rsidRDefault="00996AD7">
            <w:pPr>
              <w:rPr>
                <w:rFonts w:ascii="宋体"/>
                <w:vanish/>
              </w:rPr>
            </w:pPr>
          </w:p>
        </w:tc>
      </w:tr>
      <w:tr w:rsidR="00996AD7" w14:paraId="39D99F62" w14:textId="77777777">
        <w:tc>
          <w:tcPr>
            <w:tcW w:w="0" w:type="auto"/>
            <w:gridSpan w:val="3"/>
            <w:shd w:val="clear" w:color="auto" w:fill="auto"/>
            <w:tcMar>
              <w:top w:w="40" w:type="dxa"/>
              <w:left w:w="245" w:type="dxa"/>
              <w:bottom w:w="40" w:type="dxa"/>
              <w:right w:w="20" w:type="dxa"/>
            </w:tcMar>
            <w:vAlign w:val="bottom"/>
          </w:tcPr>
          <w:p w14:paraId="39D99F57" w14:textId="77777777" w:rsidR="00996AD7" w:rsidRDefault="00D96458">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39D99F58"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F59" w14:textId="77777777" w:rsidR="00996AD7" w:rsidRDefault="00D96458">
            <w:pPr>
              <w:jc w:val="right"/>
              <w:textAlignment w:val="bottom"/>
            </w:pPr>
            <w:r>
              <w:rPr>
                <w:rFonts w:ascii="Arial" w:eastAsia="宋体" w:hAnsi="Arial" w:cs="Arial"/>
                <w:color w:val="0068B5"/>
                <w:sz w:val="18"/>
                <w:szCs w:val="18"/>
              </w:rPr>
              <w:t>(0.6)</w:t>
            </w:r>
          </w:p>
        </w:tc>
        <w:tc>
          <w:tcPr>
            <w:tcW w:w="0" w:type="auto"/>
            <w:shd w:val="clear" w:color="auto" w:fill="auto"/>
            <w:tcMar>
              <w:top w:w="40" w:type="dxa"/>
              <w:left w:w="0" w:type="dxa"/>
              <w:bottom w:w="40" w:type="dxa"/>
              <w:right w:w="20" w:type="dxa"/>
            </w:tcMar>
            <w:vAlign w:val="bottom"/>
          </w:tcPr>
          <w:p w14:paraId="39D99F5A" w14:textId="77777777" w:rsidR="00996AD7" w:rsidRDefault="00D964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F5B"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9F5C" w14:textId="77777777" w:rsidR="00996AD7" w:rsidRDefault="00D96458">
            <w:pPr>
              <w:jc w:val="right"/>
              <w:textAlignment w:val="bottom"/>
            </w:pPr>
            <w:r>
              <w:rPr>
                <w:rFonts w:ascii="Arial" w:eastAsia="宋体" w:hAnsi="Arial" w:cs="Arial"/>
                <w:color w:val="262626"/>
                <w:sz w:val="18"/>
                <w:szCs w:val="18"/>
              </w:rPr>
              <w:t>0.9 </w:t>
            </w:r>
          </w:p>
        </w:tc>
        <w:tc>
          <w:tcPr>
            <w:tcW w:w="0" w:type="auto"/>
            <w:shd w:val="clear" w:color="auto" w:fill="auto"/>
            <w:tcMar>
              <w:top w:w="40" w:type="dxa"/>
              <w:left w:w="0" w:type="dxa"/>
              <w:bottom w:w="40" w:type="dxa"/>
              <w:right w:w="20" w:type="dxa"/>
            </w:tcMar>
            <w:vAlign w:val="bottom"/>
          </w:tcPr>
          <w:p w14:paraId="39D99F5D" w14:textId="77777777" w:rsidR="00996AD7" w:rsidRDefault="00D96458">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39D99F5E" w14:textId="77777777" w:rsidR="00996AD7" w:rsidRDefault="00996AD7">
            <w:pPr>
              <w:rPr>
                <w:rFonts w:ascii="宋体"/>
                <w:vanish/>
              </w:rPr>
            </w:pPr>
          </w:p>
        </w:tc>
        <w:tc>
          <w:tcPr>
            <w:tcW w:w="0" w:type="auto"/>
            <w:shd w:val="clear" w:color="auto" w:fill="auto"/>
            <w:vAlign w:val="bottom"/>
          </w:tcPr>
          <w:p w14:paraId="39D99F5F" w14:textId="77777777" w:rsidR="00996AD7" w:rsidRDefault="00996AD7">
            <w:pPr>
              <w:rPr>
                <w:rFonts w:ascii="宋体"/>
                <w:vanish/>
              </w:rPr>
            </w:pPr>
          </w:p>
        </w:tc>
        <w:tc>
          <w:tcPr>
            <w:tcW w:w="0" w:type="auto"/>
            <w:gridSpan w:val="3"/>
            <w:shd w:val="clear" w:color="auto" w:fill="auto"/>
            <w:vAlign w:val="bottom"/>
          </w:tcPr>
          <w:p w14:paraId="39D99F60" w14:textId="77777777" w:rsidR="00996AD7" w:rsidRDefault="00996AD7">
            <w:pPr>
              <w:rPr>
                <w:rFonts w:ascii="宋体"/>
                <w:vanish/>
              </w:rPr>
            </w:pPr>
          </w:p>
        </w:tc>
        <w:tc>
          <w:tcPr>
            <w:tcW w:w="0" w:type="auto"/>
            <w:gridSpan w:val="3"/>
            <w:shd w:val="clear" w:color="auto" w:fill="auto"/>
            <w:vAlign w:val="bottom"/>
          </w:tcPr>
          <w:p w14:paraId="39D99F61" w14:textId="77777777" w:rsidR="00996AD7" w:rsidRDefault="00996AD7">
            <w:pPr>
              <w:rPr>
                <w:rFonts w:ascii="宋体"/>
                <w:vanish/>
              </w:rPr>
            </w:pPr>
          </w:p>
        </w:tc>
      </w:tr>
      <w:tr w:rsidR="00996AD7" w14:paraId="39D99F6E" w14:textId="77777777">
        <w:tc>
          <w:tcPr>
            <w:tcW w:w="0" w:type="auto"/>
            <w:gridSpan w:val="3"/>
            <w:shd w:val="clear" w:color="auto" w:fill="auto"/>
            <w:tcMar>
              <w:top w:w="40" w:type="dxa"/>
              <w:left w:w="20" w:type="dxa"/>
              <w:bottom w:w="40" w:type="dxa"/>
              <w:right w:w="20" w:type="dxa"/>
            </w:tcMar>
            <w:vAlign w:val="bottom"/>
          </w:tcPr>
          <w:p w14:paraId="39D99F63" w14:textId="77777777" w:rsidR="00996AD7" w:rsidRDefault="00D96458">
            <w:pPr>
              <w:textAlignment w:val="bottom"/>
            </w:pPr>
            <w:r>
              <w:rPr>
                <w:rFonts w:ascii="Arial" w:eastAsia="宋体" w:hAnsi="Arial" w:cs="Arial"/>
                <w:b/>
                <w:bCs/>
                <w:color w:val="262626"/>
                <w:sz w:val="18"/>
                <w:szCs w:val="18"/>
              </w:rPr>
              <w:t xml:space="preserve">Non-GAAP </w:t>
            </w:r>
            <w:r>
              <w:rPr>
                <w:rFonts w:ascii="Arial" w:eastAsia="宋体" w:hAnsi="Arial" w:cs="Arial"/>
                <w:b/>
                <w:bCs/>
                <w:color w:val="262626"/>
                <w:sz w:val="18"/>
                <w:szCs w:val="18"/>
              </w:rPr>
              <w:t>operating margin</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39D99F64"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F65" w14:textId="77777777" w:rsidR="00996AD7" w:rsidRDefault="00D96458">
            <w:pPr>
              <w:jc w:val="right"/>
              <w:textAlignment w:val="bottom"/>
            </w:pPr>
            <w:r>
              <w:rPr>
                <w:rFonts w:ascii="Arial" w:eastAsia="宋体" w:hAnsi="Arial" w:cs="Arial"/>
                <w:b/>
                <w:bCs/>
                <w:color w:val="0068B5"/>
                <w:sz w:val="18"/>
                <w:szCs w:val="18"/>
              </w:rPr>
              <w:t>28.8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F66" w14:textId="77777777" w:rsidR="00996AD7" w:rsidRDefault="00D964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39D99F67" w14:textId="77777777" w:rsidR="00996AD7" w:rsidRDefault="00996AD7">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39D99F68" w14:textId="77777777" w:rsidR="00996AD7" w:rsidRDefault="00D96458">
            <w:pPr>
              <w:jc w:val="right"/>
              <w:textAlignment w:val="bottom"/>
            </w:pPr>
            <w:r>
              <w:rPr>
                <w:rFonts w:ascii="Arial" w:eastAsia="宋体" w:hAnsi="Arial" w:cs="Arial"/>
                <w:b/>
                <w:bCs/>
                <w:color w:val="262626"/>
                <w:sz w:val="18"/>
                <w:szCs w:val="18"/>
              </w:rPr>
              <w:t>30.4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9F69" w14:textId="77777777" w:rsidR="00996AD7" w:rsidRDefault="00D96458">
            <w:pPr>
              <w:jc w:val="right"/>
              <w:textAlignment w:val="bottom"/>
            </w:pPr>
            <w:r>
              <w:rPr>
                <w:rFonts w:ascii="Arial" w:eastAsia="宋体" w:hAnsi="Arial" w:cs="Arial"/>
                <w:b/>
                <w:bCs/>
                <w:color w:val="262626"/>
                <w:sz w:val="18"/>
                <w:szCs w:val="18"/>
              </w:rPr>
              <w:t>%</w:t>
            </w:r>
          </w:p>
        </w:tc>
        <w:tc>
          <w:tcPr>
            <w:tcW w:w="0" w:type="auto"/>
            <w:shd w:val="clear" w:color="auto" w:fill="auto"/>
            <w:vAlign w:val="bottom"/>
          </w:tcPr>
          <w:p w14:paraId="39D99F6A" w14:textId="77777777" w:rsidR="00996AD7" w:rsidRDefault="00996AD7">
            <w:pPr>
              <w:rPr>
                <w:rFonts w:ascii="宋体"/>
                <w:vanish/>
              </w:rPr>
            </w:pPr>
          </w:p>
        </w:tc>
        <w:tc>
          <w:tcPr>
            <w:tcW w:w="0" w:type="auto"/>
            <w:shd w:val="clear" w:color="auto" w:fill="auto"/>
            <w:vAlign w:val="bottom"/>
          </w:tcPr>
          <w:p w14:paraId="39D99F6B" w14:textId="77777777" w:rsidR="00996AD7" w:rsidRDefault="00996AD7">
            <w:pPr>
              <w:rPr>
                <w:rFonts w:ascii="宋体"/>
                <w:vanish/>
              </w:rPr>
            </w:pPr>
          </w:p>
        </w:tc>
        <w:tc>
          <w:tcPr>
            <w:tcW w:w="0" w:type="auto"/>
            <w:gridSpan w:val="3"/>
            <w:shd w:val="clear" w:color="auto" w:fill="auto"/>
            <w:vAlign w:val="bottom"/>
          </w:tcPr>
          <w:p w14:paraId="39D99F6C" w14:textId="77777777" w:rsidR="00996AD7" w:rsidRDefault="00996AD7">
            <w:pPr>
              <w:rPr>
                <w:rFonts w:ascii="宋体"/>
                <w:vanish/>
              </w:rPr>
            </w:pPr>
          </w:p>
        </w:tc>
        <w:tc>
          <w:tcPr>
            <w:tcW w:w="0" w:type="auto"/>
            <w:gridSpan w:val="3"/>
            <w:shd w:val="clear" w:color="auto" w:fill="auto"/>
            <w:vAlign w:val="bottom"/>
          </w:tcPr>
          <w:p w14:paraId="39D99F6D" w14:textId="77777777" w:rsidR="00996AD7" w:rsidRDefault="00996AD7">
            <w:pPr>
              <w:rPr>
                <w:rFonts w:ascii="宋体"/>
                <w:vanish/>
              </w:rPr>
            </w:pPr>
          </w:p>
        </w:tc>
      </w:tr>
      <w:tr w:rsidR="00996AD7" w14:paraId="39D99F78" w14:textId="77777777">
        <w:trPr>
          <w:trHeight w:val="60"/>
        </w:trPr>
        <w:tc>
          <w:tcPr>
            <w:tcW w:w="0" w:type="auto"/>
            <w:gridSpan w:val="3"/>
            <w:shd w:val="clear" w:color="auto" w:fill="auto"/>
            <w:tcMar>
              <w:top w:w="0" w:type="dxa"/>
              <w:left w:w="20" w:type="dxa"/>
              <w:bottom w:w="0" w:type="dxa"/>
              <w:right w:w="20" w:type="dxa"/>
            </w:tcMar>
            <w:vAlign w:val="bottom"/>
          </w:tcPr>
          <w:p w14:paraId="39D99F6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F70"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9F7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9F72"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9F73" w14:textId="77777777" w:rsidR="00996AD7" w:rsidRDefault="00996AD7">
            <w:pPr>
              <w:rPr>
                <w:rFonts w:ascii="宋体"/>
              </w:rPr>
            </w:pPr>
          </w:p>
        </w:tc>
        <w:tc>
          <w:tcPr>
            <w:tcW w:w="0" w:type="auto"/>
            <w:shd w:val="clear" w:color="auto" w:fill="auto"/>
            <w:vAlign w:val="bottom"/>
          </w:tcPr>
          <w:p w14:paraId="39D99F74" w14:textId="77777777" w:rsidR="00996AD7" w:rsidRDefault="00996AD7">
            <w:pPr>
              <w:rPr>
                <w:rFonts w:ascii="宋体"/>
                <w:vanish/>
              </w:rPr>
            </w:pPr>
          </w:p>
        </w:tc>
        <w:tc>
          <w:tcPr>
            <w:tcW w:w="0" w:type="auto"/>
            <w:shd w:val="clear" w:color="auto" w:fill="auto"/>
            <w:vAlign w:val="bottom"/>
          </w:tcPr>
          <w:p w14:paraId="39D99F75" w14:textId="77777777" w:rsidR="00996AD7" w:rsidRDefault="00996AD7">
            <w:pPr>
              <w:rPr>
                <w:rFonts w:ascii="宋体"/>
                <w:vanish/>
              </w:rPr>
            </w:pPr>
          </w:p>
        </w:tc>
        <w:tc>
          <w:tcPr>
            <w:tcW w:w="0" w:type="auto"/>
            <w:gridSpan w:val="3"/>
            <w:shd w:val="clear" w:color="auto" w:fill="auto"/>
            <w:vAlign w:val="bottom"/>
          </w:tcPr>
          <w:p w14:paraId="39D99F76" w14:textId="77777777" w:rsidR="00996AD7" w:rsidRDefault="00996AD7">
            <w:pPr>
              <w:rPr>
                <w:rFonts w:ascii="宋体"/>
                <w:vanish/>
              </w:rPr>
            </w:pPr>
          </w:p>
        </w:tc>
        <w:tc>
          <w:tcPr>
            <w:tcW w:w="0" w:type="auto"/>
            <w:gridSpan w:val="3"/>
            <w:shd w:val="clear" w:color="auto" w:fill="auto"/>
            <w:vAlign w:val="bottom"/>
          </w:tcPr>
          <w:p w14:paraId="39D99F77" w14:textId="77777777" w:rsidR="00996AD7" w:rsidRDefault="00996AD7">
            <w:pPr>
              <w:rPr>
                <w:rFonts w:ascii="宋体"/>
                <w:vanish/>
              </w:rPr>
            </w:pPr>
          </w:p>
        </w:tc>
      </w:tr>
      <w:tr w:rsidR="00996AD7" w14:paraId="39D99F82" w14:textId="77777777">
        <w:trPr>
          <w:hidden/>
        </w:trPr>
        <w:tc>
          <w:tcPr>
            <w:tcW w:w="0" w:type="auto"/>
            <w:gridSpan w:val="3"/>
            <w:shd w:val="clear" w:color="auto" w:fill="auto"/>
            <w:vAlign w:val="bottom"/>
          </w:tcPr>
          <w:p w14:paraId="39D99F79" w14:textId="77777777" w:rsidR="00996AD7" w:rsidRDefault="00996AD7">
            <w:pPr>
              <w:rPr>
                <w:rFonts w:ascii="宋体"/>
                <w:vanish/>
              </w:rPr>
            </w:pPr>
          </w:p>
        </w:tc>
        <w:tc>
          <w:tcPr>
            <w:tcW w:w="0" w:type="auto"/>
            <w:gridSpan w:val="3"/>
            <w:shd w:val="clear" w:color="auto" w:fill="auto"/>
            <w:vAlign w:val="bottom"/>
          </w:tcPr>
          <w:p w14:paraId="39D99F7A" w14:textId="77777777" w:rsidR="00996AD7" w:rsidRDefault="00996AD7">
            <w:pPr>
              <w:rPr>
                <w:rFonts w:ascii="宋体"/>
                <w:vanish/>
              </w:rPr>
            </w:pPr>
          </w:p>
        </w:tc>
        <w:tc>
          <w:tcPr>
            <w:tcW w:w="0" w:type="auto"/>
            <w:gridSpan w:val="3"/>
            <w:shd w:val="clear" w:color="auto" w:fill="auto"/>
            <w:vAlign w:val="bottom"/>
          </w:tcPr>
          <w:p w14:paraId="39D99F7B" w14:textId="77777777" w:rsidR="00996AD7" w:rsidRDefault="00996AD7">
            <w:pPr>
              <w:rPr>
                <w:rFonts w:ascii="宋体"/>
                <w:vanish/>
              </w:rPr>
            </w:pPr>
          </w:p>
        </w:tc>
        <w:tc>
          <w:tcPr>
            <w:tcW w:w="0" w:type="auto"/>
            <w:gridSpan w:val="3"/>
            <w:shd w:val="clear" w:color="auto" w:fill="auto"/>
            <w:vAlign w:val="bottom"/>
          </w:tcPr>
          <w:p w14:paraId="39D99F7C" w14:textId="77777777" w:rsidR="00996AD7" w:rsidRDefault="00996AD7">
            <w:pPr>
              <w:rPr>
                <w:rFonts w:ascii="宋体"/>
                <w:vanish/>
              </w:rPr>
            </w:pPr>
          </w:p>
        </w:tc>
        <w:tc>
          <w:tcPr>
            <w:tcW w:w="0" w:type="auto"/>
            <w:gridSpan w:val="3"/>
            <w:shd w:val="clear" w:color="auto" w:fill="auto"/>
            <w:vAlign w:val="bottom"/>
          </w:tcPr>
          <w:p w14:paraId="39D99F7D" w14:textId="77777777" w:rsidR="00996AD7" w:rsidRDefault="00996AD7">
            <w:pPr>
              <w:rPr>
                <w:rFonts w:ascii="宋体"/>
                <w:vanish/>
              </w:rPr>
            </w:pPr>
          </w:p>
        </w:tc>
        <w:tc>
          <w:tcPr>
            <w:tcW w:w="0" w:type="auto"/>
            <w:shd w:val="clear" w:color="auto" w:fill="auto"/>
            <w:vAlign w:val="bottom"/>
          </w:tcPr>
          <w:p w14:paraId="39D99F7E" w14:textId="77777777" w:rsidR="00996AD7" w:rsidRDefault="00996AD7">
            <w:pPr>
              <w:rPr>
                <w:rFonts w:ascii="宋体"/>
                <w:vanish/>
              </w:rPr>
            </w:pPr>
          </w:p>
        </w:tc>
        <w:tc>
          <w:tcPr>
            <w:tcW w:w="0" w:type="auto"/>
            <w:shd w:val="clear" w:color="auto" w:fill="auto"/>
            <w:vAlign w:val="bottom"/>
          </w:tcPr>
          <w:p w14:paraId="39D99F7F" w14:textId="77777777" w:rsidR="00996AD7" w:rsidRDefault="00996AD7">
            <w:pPr>
              <w:rPr>
                <w:rFonts w:ascii="宋体"/>
                <w:vanish/>
              </w:rPr>
            </w:pPr>
          </w:p>
        </w:tc>
        <w:tc>
          <w:tcPr>
            <w:tcW w:w="0" w:type="auto"/>
            <w:gridSpan w:val="3"/>
            <w:shd w:val="clear" w:color="auto" w:fill="auto"/>
            <w:vAlign w:val="bottom"/>
          </w:tcPr>
          <w:p w14:paraId="39D99F80" w14:textId="77777777" w:rsidR="00996AD7" w:rsidRDefault="00996AD7">
            <w:pPr>
              <w:rPr>
                <w:rFonts w:ascii="宋体"/>
                <w:vanish/>
              </w:rPr>
            </w:pPr>
          </w:p>
        </w:tc>
        <w:tc>
          <w:tcPr>
            <w:tcW w:w="0" w:type="auto"/>
            <w:gridSpan w:val="3"/>
            <w:shd w:val="clear" w:color="auto" w:fill="auto"/>
            <w:vAlign w:val="bottom"/>
          </w:tcPr>
          <w:p w14:paraId="39D99F81" w14:textId="77777777" w:rsidR="00996AD7" w:rsidRDefault="00996AD7">
            <w:pPr>
              <w:rPr>
                <w:rFonts w:ascii="宋体"/>
                <w:vanish/>
              </w:rPr>
            </w:pPr>
          </w:p>
        </w:tc>
      </w:tr>
      <w:tr w:rsidR="00996AD7" w14:paraId="39D99F8C" w14:textId="77777777">
        <w:trPr>
          <w:hidden/>
        </w:trPr>
        <w:tc>
          <w:tcPr>
            <w:tcW w:w="0" w:type="auto"/>
            <w:gridSpan w:val="3"/>
            <w:shd w:val="clear" w:color="auto" w:fill="auto"/>
            <w:vAlign w:val="bottom"/>
          </w:tcPr>
          <w:p w14:paraId="39D99F83" w14:textId="77777777" w:rsidR="00996AD7" w:rsidRDefault="00996AD7">
            <w:pPr>
              <w:rPr>
                <w:rFonts w:ascii="宋体"/>
                <w:vanish/>
              </w:rPr>
            </w:pPr>
          </w:p>
        </w:tc>
        <w:tc>
          <w:tcPr>
            <w:tcW w:w="0" w:type="auto"/>
            <w:gridSpan w:val="3"/>
            <w:shd w:val="clear" w:color="auto" w:fill="auto"/>
            <w:vAlign w:val="bottom"/>
          </w:tcPr>
          <w:p w14:paraId="39D99F84" w14:textId="77777777" w:rsidR="00996AD7" w:rsidRDefault="00996AD7">
            <w:pPr>
              <w:rPr>
                <w:rFonts w:ascii="宋体"/>
                <w:vanish/>
              </w:rPr>
            </w:pPr>
          </w:p>
        </w:tc>
        <w:tc>
          <w:tcPr>
            <w:tcW w:w="0" w:type="auto"/>
            <w:gridSpan w:val="3"/>
            <w:shd w:val="clear" w:color="auto" w:fill="auto"/>
            <w:vAlign w:val="bottom"/>
          </w:tcPr>
          <w:p w14:paraId="39D99F85" w14:textId="77777777" w:rsidR="00996AD7" w:rsidRDefault="00996AD7">
            <w:pPr>
              <w:rPr>
                <w:rFonts w:ascii="宋体"/>
                <w:vanish/>
              </w:rPr>
            </w:pPr>
          </w:p>
        </w:tc>
        <w:tc>
          <w:tcPr>
            <w:tcW w:w="0" w:type="auto"/>
            <w:gridSpan w:val="3"/>
            <w:shd w:val="clear" w:color="auto" w:fill="auto"/>
            <w:vAlign w:val="bottom"/>
          </w:tcPr>
          <w:p w14:paraId="39D99F86" w14:textId="77777777" w:rsidR="00996AD7" w:rsidRDefault="00996AD7">
            <w:pPr>
              <w:rPr>
                <w:rFonts w:ascii="宋体"/>
                <w:vanish/>
              </w:rPr>
            </w:pPr>
          </w:p>
        </w:tc>
        <w:tc>
          <w:tcPr>
            <w:tcW w:w="0" w:type="auto"/>
            <w:gridSpan w:val="3"/>
            <w:shd w:val="clear" w:color="auto" w:fill="auto"/>
            <w:vAlign w:val="bottom"/>
          </w:tcPr>
          <w:p w14:paraId="39D99F87" w14:textId="77777777" w:rsidR="00996AD7" w:rsidRDefault="00996AD7">
            <w:pPr>
              <w:rPr>
                <w:rFonts w:ascii="宋体"/>
                <w:vanish/>
              </w:rPr>
            </w:pPr>
          </w:p>
        </w:tc>
        <w:tc>
          <w:tcPr>
            <w:tcW w:w="0" w:type="auto"/>
            <w:shd w:val="clear" w:color="auto" w:fill="auto"/>
            <w:vAlign w:val="bottom"/>
          </w:tcPr>
          <w:p w14:paraId="39D99F88" w14:textId="77777777" w:rsidR="00996AD7" w:rsidRDefault="00996AD7">
            <w:pPr>
              <w:rPr>
                <w:rFonts w:ascii="宋体"/>
                <w:vanish/>
              </w:rPr>
            </w:pPr>
          </w:p>
        </w:tc>
        <w:tc>
          <w:tcPr>
            <w:tcW w:w="0" w:type="auto"/>
            <w:shd w:val="clear" w:color="auto" w:fill="auto"/>
            <w:vAlign w:val="bottom"/>
          </w:tcPr>
          <w:p w14:paraId="39D99F89" w14:textId="77777777" w:rsidR="00996AD7" w:rsidRDefault="00996AD7">
            <w:pPr>
              <w:rPr>
                <w:rFonts w:ascii="宋体"/>
                <w:vanish/>
              </w:rPr>
            </w:pPr>
          </w:p>
        </w:tc>
        <w:tc>
          <w:tcPr>
            <w:tcW w:w="0" w:type="auto"/>
            <w:gridSpan w:val="3"/>
            <w:shd w:val="clear" w:color="auto" w:fill="auto"/>
            <w:vAlign w:val="bottom"/>
          </w:tcPr>
          <w:p w14:paraId="39D99F8A" w14:textId="77777777" w:rsidR="00996AD7" w:rsidRDefault="00996AD7">
            <w:pPr>
              <w:rPr>
                <w:rFonts w:ascii="宋体"/>
                <w:vanish/>
              </w:rPr>
            </w:pPr>
          </w:p>
        </w:tc>
        <w:tc>
          <w:tcPr>
            <w:tcW w:w="0" w:type="auto"/>
            <w:gridSpan w:val="3"/>
            <w:shd w:val="clear" w:color="auto" w:fill="auto"/>
            <w:vAlign w:val="bottom"/>
          </w:tcPr>
          <w:p w14:paraId="39D99F8B" w14:textId="77777777" w:rsidR="00996AD7" w:rsidRDefault="00996AD7">
            <w:pPr>
              <w:rPr>
                <w:rFonts w:ascii="宋体"/>
                <w:vanish/>
              </w:rPr>
            </w:pPr>
          </w:p>
        </w:tc>
      </w:tr>
      <w:tr w:rsidR="00996AD7" w14:paraId="39D99F96" w14:textId="77777777">
        <w:trPr>
          <w:hidden/>
        </w:trPr>
        <w:tc>
          <w:tcPr>
            <w:tcW w:w="0" w:type="auto"/>
            <w:gridSpan w:val="3"/>
            <w:shd w:val="clear" w:color="auto" w:fill="auto"/>
            <w:vAlign w:val="bottom"/>
          </w:tcPr>
          <w:p w14:paraId="39D99F8D" w14:textId="77777777" w:rsidR="00996AD7" w:rsidRDefault="00996AD7">
            <w:pPr>
              <w:rPr>
                <w:rFonts w:ascii="宋体"/>
                <w:vanish/>
              </w:rPr>
            </w:pPr>
          </w:p>
        </w:tc>
        <w:tc>
          <w:tcPr>
            <w:tcW w:w="0" w:type="auto"/>
            <w:gridSpan w:val="3"/>
            <w:shd w:val="clear" w:color="auto" w:fill="auto"/>
            <w:vAlign w:val="bottom"/>
          </w:tcPr>
          <w:p w14:paraId="39D99F8E" w14:textId="77777777" w:rsidR="00996AD7" w:rsidRDefault="00996AD7">
            <w:pPr>
              <w:rPr>
                <w:rFonts w:ascii="宋体"/>
                <w:vanish/>
              </w:rPr>
            </w:pPr>
          </w:p>
        </w:tc>
        <w:tc>
          <w:tcPr>
            <w:tcW w:w="0" w:type="auto"/>
            <w:gridSpan w:val="3"/>
            <w:shd w:val="clear" w:color="auto" w:fill="auto"/>
            <w:vAlign w:val="bottom"/>
          </w:tcPr>
          <w:p w14:paraId="39D99F8F" w14:textId="77777777" w:rsidR="00996AD7" w:rsidRDefault="00996AD7">
            <w:pPr>
              <w:rPr>
                <w:rFonts w:ascii="宋体"/>
                <w:vanish/>
              </w:rPr>
            </w:pPr>
          </w:p>
        </w:tc>
        <w:tc>
          <w:tcPr>
            <w:tcW w:w="0" w:type="auto"/>
            <w:gridSpan w:val="3"/>
            <w:shd w:val="clear" w:color="auto" w:fill="auto"/>
            <w:vAlign w:val="bottom"/>
          </w:tcPr>
          <w:p w14:paraId="39D99F90" w14:textId="77777777" w:rsidR="00996AD7" w:rsidRDefault="00996AD7">
            <w:pPr>
              <w:rPr>
                <w:rFonts w:ascii="宋体"/>
                <w:vanish/>
              </w:rPr>
            </w:pPr>
          </w:p>
        </w:tc>
        <w:tc>
          <w:tcPr>
            <w:tcW w:w="0" w:type="auto"/>
            <w:gridSpan w:val="3"/>
            <w:shd w:val="clear" w:color="auto" w:fill="auto"/>
            <w:vAlign w:val="bottom"/>
          </w:tcPr>
          <w:p w14:paraId="39D99F91" w14:textId="77777777" w:rsidR="00996AD7" w:rsidRDefault="00996AD7">
            <w:pPr>
              <w:rPr>
                <w:rFonts w:ascii="宋体"/>
                <w:vanish/>
              </w:rPr>
            </w:pPr>
          </w:p>
        </w:tc>
        <w:tc>
          <w:tcPr>
            <w:tcW w:w="0" w:type="auto"/>
            <w:shd w:val="clear" w:color="auto" w:fill="auto"/>
            <w:vAlign w:val="bottom"/>
          </w:tcPr>
          <w:p w14:paraId="39D99F92" w14:textId="77777777" w:rsidR="00996AD7" w:rsidRDefault="00996AD7">
            <w:pPr>
              <w:rPr>
                <w:rFonts w:ascii="宋体"/>
                <w:vanish/>
              </w:rPr>
            </w:pPr>
          </w:p>
        </w:tc>
        <w:tc>
          <w:tcPr>
            <w:tcW w:w="0" w:type="auto"/>
            <w:shd w:val="clear" w:color="auto" w:fill="auto"/>
            <w:vAlign w:val="bottom"/>
          </w:tcPr>
          <w:p w14:paraId="39D99F93" w14:textId="77777777" w:rsidR="00996AD7" w:rsidRDefault="00996AD7">
            <w:pPr>
              <w:rPr>
                <w:rFonts w:ascii="宋体"/>
                <w:vanish/>
              </w:rPr>
            </w:pPr>
          </w:p>
        </w:tc>
        <w:tc>
          <w:tcPr>
            <w:tcW w:w="0" w:type="auto"/>
            <w:gridSpan w:val="3"/>
            <w:shd w:val="clear" w:color="auto" w:fill="auto"/>
            <w:vAlign w:val="bottom"/>
          </w:tcPr>
          <w:p w14:paraId="39D99F94" w14:textId="77777777" w:rsidR="00996AD7" w:rsidRDefault="00996AD7">
            <w:pPr>
              <w:rPr>
                <w:rFonts w:ascii="宋体"/>
                <w:vanish/>
              </w:rPr>
            </w:pPr>
          </w:p>
        </w:tc>
        <w:tc>
          <w:tcPr>
            <w:tcW w:w="0" w:type="auto"/>
            <w:gridSpan w:val="3"/>
            <w:shd w:val="clear" w:color="auto" w:fill="auto"/>
            <w:vAlign w:val="bottom"/>
          </w:tcPr>
          <w:p w14:paraId="39D99F95" w14:textId="77777777" w:rsidR="00996AD7" w:rsidRDefault="00996AD7">
            <w:pPr>
              <w:rPr>
                <w:rFonts w:ascii="宋体"/>
                <w:vanish/>
              </w:rPr>
            </w:pPr>
          </w:p>
        </w:tc>
      </w:tr>
      <w:tr w:rsidR="00996AD7" w14:paraId="39D99FA0" w14:textId="77777777">
        <w:trPr>
          <w:hidden/>
        </w:trPr>
        <w:tc>
          <w:tcPr>
            <w:tcW w:w="0" w:type="auto"/>
            <w:gridSpan w:val="3"/>
            <w:shd w:val="clear" w:color="auto" w:fill="auto"/>
            <w:vAlign w:val="bottom"/>
          </w:tcPr>
          <w:p w14:paraId="39D99F97" w14:textId="77777777" w:rsidR="00996AD7" w:rsidRDefault="00996AD7">
            <w:pPr>
              <w:rPr>
                <w:rFonts w:ascii="宋体"/>
                <w:vanish/>
              </w:rPr>
            </w:pPr>
          </w:p>
        </w:tc>
        <w:tc>
          <w:tcPr>
            <w:tcW w:w="0" w:type="auto"/>
            <w:gridSpan w:val="3"/>
            <w:shd w:val="clear" w:color="auto" w:fill="auto"/>
            <w:vAlign w:val="bottom"/>
          </w:tcPr>
          <w:p w14:paraId="39D99F98" w14:textId="77777777" w:rsidR="00996AD7" w:rsidRDefault="00996AD7">
            <w:pPr>
              <w:rPr>
                <w:rFonts w:ascii="宋体"/>
                <w:vanish/>
              </w:rPr>
            </w:pPr>
          </w:p>
        </w:tc>
        <w:tc>
          <w:tcPr>
            <w:tcW w:w="0" w:type="auto"/>
            <w:gridSpan w:val="3"/>
            <w:shd w:val="clear" w:color="auto" w:fill="auto"/>
            <w:vAlign w:val="bottom"/>
          </w:tcPr>
          <w:p w14:paraId="39D99F99" w14:textId="77777777" w:rsidR="00996AD7" w:rsidRDefault="00996AD7">
            <w:pPr>
              <w:rPr>
                <w:rFonts w:ascii="宋体"/>
                <w:vanish/>
              </w:rPr>
            </w:pPr>
          </w:p>
        </w:tc>
        <w:tc>
          <w:tcPr>
            <w:tcW w:w="0" w:type="auto"/>
            <w:gridSpan w:val="3"/>
            <w:shd w:val="clear" w:color="auto" w:fill="auto"/>
            <w:vAlign w:val="bottom"/>
          </w:tcPr>
          <w:p w14:paraId="39D99F9A" w14:textId="77777777" w:rsidR="00996AD7" w:rsidRDefault="00996AD7">
            <w:pPr>
              <w:rPr>
                <w:rFonts w:ascii="宋体"/>
                <w:vanish/>
              </w:rPr>
            </w:pPr>
          </w:p>
        </w:tc>
        <w:tc>
          <w:tcPr>
            <w:tcW w:w="0" w:type="auto"/>
            <w:gridSpan w:val="3"/>
            <w:shd w:val="clear" w:color="auto" w:fill="auto"/>
            <w:vAlign w:val="bottom"/>
          </w:tcPr>
          <w:p w14:paraId="39D99F9B" w14:textId="77777777" w:rsidR="00996AD7" w:rsidRDefault="00996AD7">
            <w:pPr>
              <w:rPr>
                <w:rFonts w:ascii="宋体"/>
                <w:vanish/>
              </w:rPr>
            </w:pPr>
          </w:p>
        </w:tc>
        <w:tc>
          <w:tcPr>
            <w:tcW w:w="0" w:type="auto"/>
            <w:shd w:val="clear" w:color="auto" w:fill="auto"/>
            <w:vAlign w:val="bottom"/>
          </w:tcPr>
          <w:p w14:paraId="39D99F9C" w14:textId="77777777" w:rsidR="00996AD7" w:rsidRDefault="00996AD7">
            <w:pPr>
              <w:rPr>
                <w:rFonts w:ascii="宋体"/>
                <w:vanish/>
              </w:rPr>
            </w:pPr>
          </w:p>
        </w:tc>
        <w:tc>
          <w:tcPr>
            <w:tcW w:w="0" w:type="auto"/>
            <w:shd w:val="clear" w:color="auto" w:fill="auto"/>
            <w:vAlign w:val="bottom"/>
          </w:tcPr>
          <w:p w14:paraId="39D99F9D" w14:textId="77777777" w:rsidR="00996AD7" w:rsidRDefault="00996AD7">
            <w:pPr>
              <w:rPr>
                <w:rFonts w:ascii="宋体"/>
                <w:vanish/>
              </w:rPr>
            </w:pPr>
          </w:p>
        </w:tc>
        <w:tc>
          <w:tcPr>
            <w:tcW w:w="0" w:type="auto"/>
            <w:gridSpan w:val="3"/>
            <w:shd w:val="clear" w:color="auto" w:fill="auto"/>
            <w:vAlign w:val="bottom"/>
          </w:tcPr>
          <w:p w14:paraId="39D99F9E" w14:textId="77777777" w:rsidR="00996AD7" w:rsidRDefault="00996AD7">
            <w:pPr>
              <w:rPr>
                <w:rFonts w:ascii="宋体"/>
                <w:vanish/>
              </w:rPr>
            </w:pPr>
          </w:p>
        </w:tc>
        <w:tc>
          <w:tcPr>
            <w:tcW w:w="0" w:type="auto"/>
            <w:gridSpan w:val="3"/>
            <w:shd w:val="clear" w:color="auto" w:fill="auto"/>
            <w:vAlign w:val="bottom"/>
          </w:tcPr>
          <w:p w14:paraId="39D99F9F" w14:textId="77777777" w:rsidR="00996AD7" w:rsidRDefault="00996AD7">
            <w:pPr>
              <w:rPr>
                <w:rFonts w:ascii="宋体"/>
                <w:vanish/>
              </w:rPr>
            </w:pPr>
          </w:p>
        </w:tc>
      </w:tr>
      <w:tr w:rsidR="00996AD7" w14:paraId="39D99FAA" w14:textId="77777777">
        <w:trPr>
          <w:hidden/>
        </w:trPr>
        <w:tc>
          <w:tcPr>
            <w:tcW w:w="0" w:type="auto"/>
            <w:gridSpan w:val="3"/>
            <w:shd w:val="clear" w:color="auto" w:fill="auto"/>
            <w:vAlign w:val="bottom"/>
          </w:tcPr>
          <w:p w14:paraId="39D99FA1" w14:textId="77777777" w:rsidR="00996AD7" w:rsidRDefault="00996AD7">
            <w:pPr>
              <w:rPr>
                <w:rFonts w:ascii="宋体"/>
                <w:vanish/>
              </w:rPr>
            </w:pPr>
          </w:p>
        </w:tc>
        <w:tc>
          <w:tcPr>
            <w:tcW w:w="0" w:type="auto"/>
            <w:gridSpan w:val="3"/>
            <w:shd w:val="clear" w:color="auto" w:fill="auto"/>
            <w:vAlign w:val="bottom"/>
          </w:tcPr>
          <w:p w14:paraId="39D99FA2" w14:textId="77777777" w:rsidR="00996AD7" w:rsidRDefault="00996AD7">
            <w:pPr>
              <w:rPr>
                <w:rFonts w:ascii="宋体"/>
                <w:vanish/>
              </w:rPr>
            </w:pPr>
          </w:p>
        </w:tc>
        <w:tc>
          <w:tcPr>
            <w:tcW w:w="0" w:type="auto"/>
            <w:gridSpan w:val="3"/>
            <w:shd w:val="clear" w:color="auto" w:fill="auto"/>
            <w:vAlign w:val="bottom"/>
          </w:tcPr>
          <w:p w14:paraId="39D99FA3" w14:textId="77777777" w:rsidR="00996AD7" w:rsidRDefault="00996AD7">
            <w:pPr>
              <w:rPr>
                <w:rFonts w:ascii="宋体"/>
                <w:vanish/>
              </w:rPr>
            </w:pPr>
          </w:p>
        </w:tc>
        <w:tc>
          <w:tcPr>
            <w:tcW w:w="0" w:type="auto"/>
            <w:gridSpan w:val="3"/>
            <w:shd w:val="clear" w:color="auto" w:fill="auto"/>
            <w:vAlign w:val="bottom"/>
          </w:tcPr>
          <w:p w14:paraId="39D99FA4" w14:textId="77777777" w:rsidR="00996AD7" w:rsidRDefault="00996AD7">
            <w:pPr>
              <w:rPr>
                <w:rFonts w:ascii="宋体"/>
                <w:vanish/>
              </w:rPr>
            </w:pPr>
          </w:p>
        </w:tc>
        <w:tc>
          <w:tcPr>
            <w:tcW w:w="0" w:type="auto"/>
            <w:gridSpan w:val="3"/>
            <w:shd w:val="clear" w:color="auto" w:fill="auto"/>
            <w:vAlign w:val="bottom"/>
          </w:tcPr>
          <w:p w14:paraId="39D99FA5" w14:textId="77777777" w:rsidR="00996AD7" w:rsidRDefault="00996AD7">
            <w:pPr>
              <w:rPr>
                <w:rFonts w:ascii="宋体"/>
                <w:vanish/>
              </w:rPr>
            </w:pPr>
          </w:p>
        </w:tc>
        <w:tc>
          <w:tcPr>
            <w:tcW w:w="0" w:type="auto"/>
            <w:shd w:val="clear" w:color="auto" w:fill="auto"/>
            <w:vAlign w:val="bottom"/>
          </w:tcPr>
          <w:p w14:paraId="39D99FA6" w14:textId="77777777" w:rsidR="00996AD7" w:rsidRDefault="00996AD7">
            <w:pPr>
              <w:rPr>
                <w:rFonts w:ascii="宋体"/>
                <w:vanish/>
              </w:rPr>
            </w:pPr>
          </w:p>
        </w:tc>
        <w:tc>
          <w:tcPr>
            <w:tcW w:w="0" w:type="auto"/>
            <w:shd w:val="clear" w:color="auto" w:fill="auto"/>
            <w:vAlign w:val="bottom"/>
          </w:tcPr>
          <w:p w14:paraId="39D99FA7" w14:textId="77777777" w:rsidR="00996AD7" w:rsidRDefault="00996AD7">
            <w:pPr>
              <w:rPr>
                <w:rFonts w:ascii="宋体"/>
                <w:vanish/>
              </w:rPr>
            </w:pPr>
          </w:p>
        </w:tc>
        <w:tc>
          <w:tcPr>
            <w:tcW w:w="0" w:type="auto"/>
            <w:gridSpan w:val="3"/>
            <w:shd w:val="clear" w:color="auto" w:fill="auto"/>
            <w:vAlign w:val="bottom"/>
          </w:tcPr>
          <w:p w14:paraId="39D99FA8" w14:textId="77777777" w:rsidR="00996AD7" w:rsidRDefault="00996AD7">
            <w:pPr>
              <w:rPr>
                <w:rFonts w:ascii="宋体"/>
                <w:vanish/>
              </w:rPr>
            </w:pPr>
          </w:p>
        </w:tc>
        <w:tc>
          <w:tcPr>
            <w:tcW w:w="0" w:type="auto"/>
            <w:gridSpan w:val="3"/>
            <w:shd w:val="clear" w:color="auto" w:fill="auto"/>
            <w:vAlign w:val="bottom"/>
          </w:tcPr>
          <w:p w14:paraId="39D99FA9" w14:textId="77777777" w:rsidR="00996AD7" w:rsidRDefault="00996AD7">
            <w:pPr>
              <w:rPr>
                <w:rFonts w:ascii="宋体"/>
                <w:vanish/>
              </w:rPr>
            </w:pPr>
          </w:p>
        </w:tc>
      </w:tr>
      <w:tr w:rsidR="00996AD7" w14:paraId="39D99FB4" w14:textId="77777777">
        <w:trPr>
          <w:hidden/>
        </w:trPr>
        <w:tc>
          <w:tcPr>
            <w:tcW w:w="0" w:type="auto"/>
            <w:gridSpan w:val="3"/>
            <w:shd w:val="clear" w:color="auto" w:fill="auto"/>
            <w:vAlign w:val="bottom"/>
          </w:tcPr>
          <w:p w14:paraId="39D99FAB" w14:textId="77777777" w:rsidR="00996AD7" w:rsidRDefault="00996AD7">
            <w:pPr>
              <w:rPr>
                <w:rFonts w:ascii="宋体"/>
                <w:vanish/>
              </w:rPr>
            </w:pPr>
          </w:p>
        </w:tc>
        <w:tc>
          <w:tcPr>
            <w:tcW w:w="0" w:type="auto"/>
            <w:gridSpan w:val="3"/>
            <w:shd w:val="clear" w:color="auto" w:fill="auto"/>
            <w:vAlign w:val="bottom"/>
          </w:tcPr>
          <w:p w14:paraId="39D99FAC" w14:textId="77777777" w:rsidR="00996AD7" w:rsidRDefault="00996AD7">
            <w:pPr>
              <w:rPr>
                <w:rFonts w:ascii="宋体"/>
                <w:vanish/>
              </w:rPr>
            </w:pPr>
          </w:p>
        </w:tc>
        <w:tc>
          <w:tcPr>
            <w:tcW w:w="0" w:type="auto"/>
            <w:gridSpan w:val="3"/>
            <w:shd w:val="clear" w:color="auto" w:fill="auto"/>
            <w:vAlign w:val="bottom"/>
          </w:tcPr>
          <w:p w14:paraId="39D99FAD" w14:textId="77777777" w:rsidR="00996AD7" w:rsidRDefault="00996AD7">
            <w:pPr>
              <w:rPr>
                <w:rFonts w:ascii="宋体"/>
                <w:vanish/>
              </w:rPr>
            </w:pPr>
          </w:p>
        </w:tc>
        <w:tc>
          <w:tcPr>
            <w:tcW w:w="0" w:type="auto"/>
            <w:gridSpan w:val="3"/>
            <w:shd w:val="clear" w:color="auto" w:fill="auto"/>
            <w:vAlign w:val="bottom"/>
          </w:tcPr>
          <w:p w14:paraId="39D99FAE" w14:textId="77777777" w:rsidR="00996AD7" w:rsidRDefault="00996AD7">
            <w:pPr>
              <w:rPr>
                <w:rFonts w:ascii="宋体"/>
                <w:vanish/>
              </w:rPr>
            </w:pPr>
          </w:p>
        </w:tc>
        <w:tc>
          <w:tcPr>
            <w:tcW w:w="0" w:type="auto"/>
            <w:gridSpan w:val="3"/>
            <w:shd w:val="clear" w:color="auto" w:fill="auto"/>
            <w:vAlign w:val="bottom"/>
          </w:tcPr>
          <w:p w14:paraId="39D99FAF" w14:textId="77777777" w:rsidR="00996AD7" w:rsidRDefault="00996AD7">
            <w:pPr>
              <w:rPr>
                <w:rFonts w:ascii="宋体"/>
                <w:vanish/>
              </w:rPr>
            </w:pPr>
          </w:p>
        </w:tc>
        <w:tc>
          <w:tcPr>
            <w:tcW w:w="0" w:type="auto"/>
            <w:shd w:val="clear" w:color="auto" w:fill="auto"/>
            <w:vAlign w:val="bottom"/>
          </w:tcPr>
          <w:p w14:paraId="39D99FB0" w14:textId="77777777" w:rsidR="00996AD7" w:rsidRDefault="00996AD7">
            <w:pPr>
              <w:rPr>
                <w:rFonts w:ascii="宋体"/>
                <w:vanish/>
              </w:rPr>
            </w:pPr>
          </w:p>
        </w:tc>
        <w:tc>
          <w:tcPr>
            <w:tcW w:w="0" w:type="auto"/>
            <w:shd w:val="clear" w:color="auto" w:fill="auto"/>
            <w:vAlign w:val="bottom"/>
          </w:tcPr>
          <w:p w14:paraId="39D99FB1" w14:textId="77777777" w:rsidR="00996AD7" w:rsidRDefault="00996AD7">
            <w:pPr>
              <w:rPr>
                <w:rFonts w:ascii="宋体"/>
                <w:vanish/>
              </w:rPr>
            </w:pPr>
          </w:p>
        </w:tc>
        <w:tc>
          <w:tcPr>
            <w:tcW w:w="0" w:type="auto"/>
            <w:gridSpan w:val="3"/>
            <w:shd w:val="clear" w:color="auto" w:fill="auto"/>
            <w:vAlign w:val="bottom"/>
          </w:tcPr>
          <w:p w14:paraId="39D99FB2" w14:textId="77777777" w:rsidR="00996AD7" w:rsidRDefault="00996AD7">
            <w:pPr>
              <w:rPr>
                <w:rFonts w:ascii="宋体"/>
                <w:vanish/>
              </w:rPr>
            </w:pPr>
          </w:p>
        </w:tc>
        <w:tc>
          <w:tcPr>
            <w:tcW w:w="0" w:type="auto"/>
            <w:gridSpan w:val="3"/>
            <w:shd w:val="clear" w:color="auto" w:fill="auto"/>
            <w:vAlign w:val="bottom"/>
          </w:tcPr>
          <w:p w14:paraId="39D99FB3" w14:textId="77777777" w:rsidR="00996AD7" w:rsidRDefault="00996AD7">
            <w:pPr>
              <w:rPr>
                <w:rFonts w:ascii="宋体"/>
                <w:vanish/>
              </w:rPr>
            </w:pPr>
          </w:p>
        </w:tc>
      </w:tr>
      <w:tr w:rsidR="00996AD7" w14:paraId="39D99FBE" w14:textId="77777777">
        <w:trPr>
          <w:hidden/>
        </w:trPr>
        <w:tc>
          <w:tcPr>
            <w:tcW w:w="0" w:type="auto"/>
            <w:gridSpan w:val="3"/>
            <w:shd w:val="clear" w:color="auto" w:fill="auto"/>
            <w:vAlign w:val="bottom"/>
          </w:tcPr>
          <w:p w14:paraId="39D99FB5" w14:textId="77777777" w:rsidR="00996AD7" w:rsidRDefault="00996AD7">
            <w:pPr>
              <w:rPr>
                <w:rFonts w:ascii="宋体"/>
                <w:vanish/>
              </w:rPr>
            </w:pPr>
          </w:p>
        </w:tc>
        <w:tc>
          <w:tcPr>
            <w:tcW w:w="0" w:type="auto"/>
            <w:gridSpan w:val="3"/>
            <w:shd w:val="clear" w:color="auto" w:fill="auto"/>
            <w:vAlign w:val="bottom"/>
          </w:tcPr>
          <w:p w14:paraId="39D99FB6" w14:textId="77777777" w:rsidR="00996AD7" w:rsidRDefault="00996AD7">
            <w:pPr>
              <w:rPr>
                <w:rFonts w:ascii="宋体"/>
                <w:vanish/>
              </w:rPr>
            </w:pPr>
          </w:p>
        </w:tc>
        <w:tc>
          <w:tcPr>
            <w:tcW w:w="0" w:type="auto"/>
            <w:gridSpan w:val="3"/>
            <w:shd w:val="clear" w:color="auto" w:fill="auto"/>
            <w:vAlign w:val="bottom"/>
          </w:tcPr>
          <w:p w14:paraId="39D99FB7" w14:textId="77777777" w:rsidR="00996AD7" w:rsidRDefault="00996AD7">
            <w:pPr>
              <w:rPr>
                <w:rFonts w:ascii="宋体"/>
                <w:vanish/>
              </w:rPr>
            </w:pPr>
          </w:p>
        </w:tc>
        <w:tc>
          <w:tcPr>
            <w:tcW w:w="0" w:type="auto"/>
            <w:gridSpan w:val="3"/>
            <w:shd w:val="clear" w:color="auto" w:fill="auto"/>
            <w:vAlign w:val="bottom"/>
          </w:tcPr>
          <w:p w14:paraId="39D99FB8" w14:textId="77777777" w:rsidR="00996AD7" w:rsidRDefault="00996AD7">
            <w:pPr>
              <w:rPr>
                <w:rFonts w:ascii="宋体"/>
                <w:vanish/>
              </w:rPr>
            </w:pPr>
          </w:p>
        </w:tc>
        <w:tc>
          <w:tcPr>
            <w:tcW w:w="0" w:type="auto"/>
            <w:gridSpan w:val="3"/>
            <w:shd w:val="clear" w:color="auto" w:fill="auto"/>
            <w:vAlign w:val="bottom"/>
          </w:tcPr>
          <w:p w14:paraId="39D99FB9" w14:textId="77777777" w:rsidR="00996AD7" w:rsidRDefault="00996AD7">
            <w:pPr>
              <w:rPr>
                <w:rFonts w:ascii="宋体"/>
                <w:vanish/>
              </w:rPr>
            </w:pPr>
          </w:p>
        </w:tc>
        <w:tc>
          <w:tcPr>
            <w:tcW w:w="0" w:type="auto"/>
            <w:shd w:val="clear" w:color="auto" w:fill="auto"/>
            <w:vAlign w:val="bottom"/>
          </w:tcPr>
          <w:p w14:paraId="39D99FBA" w14:textId="77777777" w:rsidR="00996AD7" w:rsidRDefault="00996AD7">
            <w:pPr>
              <w:rPr>
                <w:rFonts w:ascii="宋体"/>
                <w:vanish/>
              </w:rPr>
            </w:pPr>
          </w:p>
        </w:tc>
        <w:tc>
          <w:tcPr>
            <w:tcW w:w="0" w:type="auto"/>
            <w:shd w:val="clear" w:color="auto" w:fill="auto"/>
            <w:vAlign w:val="bottom"/>
          </w:tcPr>
          <w:p w14:paraId="39D99FBB" w14:textId="77777777" w:rsidR="00996AD7" w:rsidRDefault="00996AD7">
            <w:pPr>
              <w:rPr>
                <w:rFonts w:ascii="宋体"/>
                <w:vanish/>
              </w:rPr>
            </w:pPr>
          </w:p>
        </w:tc>
        <w:tc>
          <w:tcPr>
            <w:tcW w:w="0" w:type="auto"/>
            <w:gridSpan w:val="3"/>
            <w:shd w:val="clear" w:color="auto" w:fill="auto"/>
            <w:vAlign w:val="bottom"/>
          </w:tcPr>
          <w:p w14:paraId="39D99FBC" w14:textId="77777777" w:rsidR="00996AD7" w:rsidRDefault="00996AD7">
            <w:pPr>
              <w:rPr>
                <w:rFonts w:ascii="宋体"/>
                <w:vanish/>
              </w:rPr>
            </w:pPr>
          </w:p>
        </w:tc>
        <w:tc>
          <w:tcPr>
            <w:tcW w:w="0" w:type="auto"/>
            <w:gridSpan w:val="3"/>
            <w:shd w:val="clear" w:color="auto" w:fill="auto"/>
            <w:vAlign w:val="bottom"/>
          </w:tcPr>
          <w:p w14:paraId="39D99FBD" w14:textId="77777777" w:rsidR="00996AD7" w:rsidRDefault="00996AD7">
            <w:pPr>
              <w:rPr>
                <w:rFonts w:ascii="宋体"/>
                <w:vanish/>
              </w:rPr>
            </w:pPr>
          </w:p>
        </w:tc>
      </w:tr>
      <w:tr w:rsidR="00996AD7" w14:paraId="39D99FC8" w14:textId="77777777">
        <w:trPr>
          <w:hidden/>
        </w:trPr>
        <w:tc>
          <w:tcPr>
            <w:tcW w:w="0" w:type="auto"/>
            <w:gridSpan w:val="3"/>
            <w:shd w:val="clear" w:color="auto" w:fill="auto"/>
            <w:vAlign w:val="bottom"/>
          </w:tcPr>
          <w:p w14:paraId="39D99FBF" w14:textId="77777777" w:rsidR="00996AD7" w:rsidRDefault="00996AD7">
            <w:pPr>
              <w:rPr>
                <w:rFonts w:ascii="宋体"/>
                <w:vanish/>
              </w:rPr>
            </w:pPr>
          </w:p>
        </w:tc>
        <w:tc>
          <w:tcPr>
            <w:tcW w:w="0" w:type="auto"/>
            <w:gridSpan w:val="3"/>
            <w:shd w:val="clear" w:color="auto" w:fill="auto"/>
            <w:vAlign w:val="bottom"/>
          </w:tcPr>
          <w:p w14:paraId="39D99FC0" w14:textId="77777777" w:rsidR="00996AD7" w:rsidRDefault="00996AD7">
            <w:pPr>
              <w:rPr>
                <w:rFonts w:ascii="宋体"/>
                <w:vanish/>
              </w:rPr>
            </w:pPr>
          </w:p>
        </w:tc>
        <w:tc>
          <w:tcPr>
            <w:tcW w:w="0" w:type="auto"/>
            <w:gridSpan w:val="3"/>
            <w:shd w:val="clear" w:color="auto" w:fill="auto"/>
            <w:vAlign w:val="bottom"/>
          </w:tcPr>
          <w:p w14:paraId="39D99FC1" w14:textId="77777777" w:rsidR="00996AD7" w:rsidRDefault="00996AD7">
            <w:pPr>
              <w:rPr>
                <w:rFonts w:ascii="宋体"/>
                <w:vanish/>
              </w:rPr>
            </w:pPr>
          </w:p>
        </w:tc>
        <w:tc>
          <w:tcPr>
            <w:tcW w:w="0" w:type="auto"/>
            <w:gridSpan w:val="3"/>
            <w:shd w:val="clear" w:color="auto" w:fill="auto"/>
            <w:vAlign w:val="bottom"/>
          </w:tcPr>
          <w:p w14:paraId="39D99FC2" w14:textId="77777777" w:rsidR="00996AD7" w:rsidRDefault="00996AD7">
            <w:pPr>
              <w:rPr>
                <w:rFonts w:ascii="宋体"/>
                <w:vanish/>
              </w:rPr>
            </w:pPr>
          </w:p>
        </w:tc>
        <w:tc>
          <w:tcPr>
            <w:tcW w:w="0" w:type="auto"/>
            <w:gridSpan w:val="3"/>
            <w:shd w:val="clear" w:color="auto" w:fill="auto"/>
            <w:vAlign w:val="bottom"/>
          </w:tcPr>
          <w:p w14:paraId="39D99FC3" w14:textId="77777777" w:rsidR="00996AD7" w:rsidRDefault="00996AD7">
            <w:pPr>
              <w:rPr>
                <w:rFonts w:ascii="宋体"/>
                <w:vanish/>
              </w:rPr>
            </w:pPr>
          </w:p>
        </w:tc>
        <w:tc>
          <w:tcPr>
            <w:tcW w:w="0" w:type="auto"/>
            <w:shd w:val="clear" w:color="auto" w:fill="auto"/>
            <w:vAlign w:val="bottom"/>
          </w:tcPr>
          <w:p w14:paraId="39D99FC4" w14:textId="77777777" w:rsidR="00996AD7" w:rsidRDefault="00996AD7">
            <w:pPr>
              <w:rPr>
                <w:rFonts w:ascii="宋体"/>
                <w:vanish/>
              </w:rPr>
            </w:pPr>
          </w:p>
        </w:tc>
        <w:tc>
          <w:tcPr>
            <w:tcW w:w="0" w:type="auto"/>
            <w:shd w:val="clear" w:color="auto" w:fill="auto"/>
            <w:vAlign w:val="bottom"/>
          </w:tcPr>
          <w:p w14:paraId="39D99FC5" w14:textId="77777777" w:rsidR="00996AD7" w:rsidRDefault="00996AD7">
            <w:pPr>
              <w:rPr>
                <w:rFonts w:ascii="宋体"/>
                <w:vanish/>
              </w:rPr>
            </w:pPr>
          </w:p>
        </w:tc>
        <w:tc>
          <w:tcPr>
            <w:tcW w:w="0" w:type="auto"/>
            <w:gridSpan w:val="3"/>
            <w:shd w:val="clear" w:color="auto" w:fill="auto"/>
            <w:vAlign w:val="bottom"/>
          </w:tcPr>
          <w:p w14:paraId="39D99FC6" w14:textId="77777777" w:rsidR="00996AD7" w:rsidRDefault="00996AD7">
            <w:pPr>
              <w:rPr>
                <w:rFonts w:ascii="宋体"/>
                <w:vanish/>
              </w:rPr>
            </w:pPr>
          </w:p>
        </w:tc>
        <w:tc>
          <w:tcPr>
            <w:tcW w:w="0" w:type="auto"/>
            <w:gridSpan w:val="3"/>
            <w:shd w:val="clear" w:color="auto" w:fill="auto"/>
            <w:vAlign w:val="bottom"/>
          </w:tcPr>
          <w:p w14:paraId="39D99FC7" w14:textId="77777777" w:rsidR="00996AD7" w:rsidRDefault="00996AD7">
            <w:pPr>
              <w:rPr>
                <w:rFonts w:ascii="宋体"/>
                <w:vanish/>
              </w:rPr>
            </w:pPr>
          </w:p>
        </w:tc>
      </w:tr>
      <w:tr w:rsidR="00996AD7" w14:paraId="39D99FD2" w14:textId="77777777">
        <w:trPr>
          <w:hidden/>
        </w:trPr>
        <w:tc>
          <w:tcPr>
            <w:tcW w:w="0" w:type="auto"/>
            <w:gridSpan w:val="3"/>
            <w:shd w:val="clear" w:color="auto" w:fill="auto"/>
            <w:vAlign w:val="bottom"/>
          </w:tcPr>
          <w:p w14:paraId="39D99FC9" w14:textId="77777777" w:rsidR="00996AD7" w:rsidRDefault="00996AD7">
            <w:pPr>
              <w:rPr>
                <w:rFonts w:ascii="宋体"/>
                <w:vanish/>
              </w:rPr>
            </w:pPr>
          </w:p>
        </w:tc>
        <w:tc>
          <w:tcPr>
            <w:tcW w:w="0" w:type="auto"/>
            <w:gridSpan w:val="3"/>
            <w:shd w:val="clear" w:color="auto" w:fill="auto"/>
            <w:vAlign w:val="bottom"/>
          </w:tcPr>
          <w:p w14:paraId="39D99FCA" w14:textId="77777777" w:rsidR="00996AD7" w:rsidRDefault="00996AD7">
            <w:pPr>
              <w:rPr>
                <w:rFonts w:ascii="宋体"/>
                <w:vanish/>
              </w:rPr>
            </w:pPr>
          </w:p>
        </w:tc>
        <w:tc>
          <w:tcPr>
            <w:tcW w:w="0" w:type="auto"/>
            <w:gridSpan w:val="3"/>
            <w:shd w:val="clear" w:color="auto" w:fill="auto"/>
            <w:vAlign w:val="bottom"/>
          </w:tcPr>
          <w:p w14:paraId="39D99FCB" w14:textId="77777777" w:rsidR="00996AD7" w:rsidRDefault="00996AD7">
            <w:pPr>
              <w:rPr>
                <w:rFonts w:ascii="宋体"/>
                <w:vanish/>
              </w:rPr>
            </w:pPr>
          </w:p>
        </w:tc>
        <w:tc>
          <w:tcPr>
            <w:tcW w:w="0" w:type="auto"/>
            <w:gridSpan w:val="3"/>
            <w:shd w:val="clear" w:color="auto" w:fill="auto"/>
            <w:vAlign w:val="bottom"/>
          </w:tcPr>
          <w:p w14:paraId="39D99FCC" w14:textId="77777777" w:rsidR="00996AD7" w:rsidRDefault="00996AD7">
            <w:pPr>
              <w:rPr>
                <w:rFonts w:ascii="宋体"/>
                <w:vanish/>
              </w:rPr>
            </w:pPr>
          </w:p>
        </w:tc>
        <w:tc>
          <w:tcPr>
            <w:tcW w:w="0" w:type="auto"/>
            <w:gridSpan w:val="3"/>
            <w:shd w:val="clear" w:color="auto" w:fill="auto"/>
            <w:vAlign w:val="bottom"/>
          </w:tcPr>
          <w:p w14:paraId="39D99FCD" w14:textId="77777777" w:rsidR="00996AD7" w:rsidRDefault="00996AD7">
            <w:pPr>
              <w:rPr>
                <w:rFonts w:ascii="宋体"/>
                <w:vanish/>
              </w:rPr>
            </w:pPr>
          </w:p>
        </w:tc>
        <w:tc>
          <w:tcPr>
            <w:tcW w:w="0" w:type="auto"/>
            <w:shd w:val="clear" w:color="auto" w:fill="auto"/>
            <w:vAlign w:val="bottom"/>
          </w:tcPr>
          <w:p w14:paraId="39D99FCE" w14:textId="77777777" w:rsidR="00996AD7" w:rsidRDefault="00996AD7">
            <w:pPr>
              <w:rPr>
                <w:rFonts w:ascii="宋体"/>
                <w:vanish/>
              </w:rPr>
            </w:pPr>
          </w:p>
        </w:tc>
        <w:tc>
          <w:tcPr>
            <w:tcW w:w="0" w:type="auto"/>
            <w:shd w:val="clear" w:color="auto" w:fill="auto"/>
            <w:vAlign w:val="bottom"/>
          </w:tcPr>
          <w:p w14:paraId="39D99FCF" w14:textId="77777777" w:rsidR="00996AD7" w:rsidRDefault="00996AD7">
            <w:pPr>
              <w:rPr>
                <w:rFonts w:ascii="宋体"/>
                <w:vanish/>
              </w:rPr>
            </w:pPr>
          </w:p>
        </w:tc>
        <w:tc>
          <w:tcPr>
            <w:tcW w:w="0" w:type="auto"/>
            <w:gridSpan w:val="3"/>
            <w:shd w:val="clear" w:color="auto" w:fill="auto"/>
            <w:vAlign w:val="bottom"/>
          </w:tcPr>
          <w:p w14:paraId="39D99FD0" w14:textId="77777777" w:rsidR="00996AD7" w:rsidRDefault="00996AD7">
            <w:pPr>
              <w:rPr>
                <w:rFonts w:ascii="宋体"/>
                <w:vanish/>
              </w:rPr>
            </w:pPr>
          </w:p>
        </w:tc>
        <w:tc>
          <w:tcPr>
            <w:tcW w:w="0" w:type="auto"/>
            <w:gridSpan w:val="3"/>
            <w:shd w:val="clear" w:color="auto" w:fill="auto"/>
            <w:vAlign w:val="bottom"/>
          </w:tcPr>
          <w:p w14:paraId="39D99FD1" w14:textId="77777777" w:rsidR="00996AD7" w:rsidRDefault="00996AD7">
            <w:pPr>
              <w:rPr>
                <w:rFonts w:ascii="宋体"/>
                <w:vanish/>
              </w:rPr>
            </w:pPr>
          </w:p>
        </w:tc>
      </w:tr>
      <w:tr w:rsidR="00996AD7" w14:paraId="39D99FDC" w14:textId="77777777">
        <w:trPr>
          <w:hidden/>
        </w:trPr>
        <w:tc>
          <w:tcPr>
            <w:tcW w:w="0" w:type="auto"/>
            <w:gridSpan w:val="3"/>
            <w:shd w:val="clear" w:color="auto" w:fill="auto"/>
            <w:vAlign w:val="bottom"/>
          </w:tcPr>
          <w:p w14:paraId="39D99FD3" w14:textId="77777777" w:rsidR="00996AD7" w:rsidRDefault="00996AD7">
            <w:pPr>
              <w:rPr>
                <w:rFonts w:ascii="宋体"/>
                <w:vanish/>
              </w:rPr>
            </w:pPr>
          </w:p>
        </w:tc>
        <w:tc>
          <w:tcPr>
            <w:tcW w:w="0" w:type="auto"/>
            <w:gridSpan w:val="3"/>
            <w:shd w:val="clear" w:color="auto" w:fill="auto"/>
            <w:vAlign w:val="bottom"/>
          </w:tcPr>
          <w:p w14:paraId="39D99FD4" w14:textId="77777777" w:rsidR="00996AD7" w:rsidRDefault="00996AD7">
            <w:pPr>
              <w:rPr>
                <w:rFonts w:ascii="宋体"/>
                <w:vanish/>
              </w:rPr>
            </w:pPr>
          </w:p>
        </w:tc>
        <w:tc>
          <w:tcPr>
            <w:tcW w:w="0" w:type="auto"/>
            <w:gridSpan w:val="3"/>
            <w:shd w:val="clear" w:color="auto" w:fill="auto"/>
            <w:vAlign w:val="bottom"/>
          </w:tcPr>
          <w:p w14:paraId="39D99FD5" w14:textId="77777777" w:rsidR="00996AD7" w:rsidRDefault="00996AD7">
            <w:pPr>
              <w:rPr>
                <w:rFonts w:ascii="宋体"/>
                <w:vanish/>
              </w:rPr>
            </w:pPr>
          </w:p>
        </w:tc>
        <w:tc>
          <w:tcPr>
            <w:tcW w:w="0" w:type="auto"/>
            <w:gridSpan w:val="3"/>
            <w:shd w:val="clear" w:color="auto" w:fill="auto"/>
            <w:vAlign w:val="bottom"/>
          </w:tcPr>
          <w:p w14:paraId="39D99FD6" w14:textId="77777777" w:rsidR="00996AD7" w:rsidRDefault="00996AD7">
            <w:pPr>
              <w:rPr>
                <w:rFonts w:ascii="宋体"/>
                <w:vanish/>
              </w:rPr>
            </w:pPr>
          </w:p>
        </w:tc>
        <w:tc>
          <w:tcPr>
            <w:tcW w:w="0" w:type="auto"/>
            <w:gridSpan w:val="3"/>
            <w:shd w:val="clear" w:color="auto" w:fill="auto"/>
            <w:vAlign w:val="bottom"/>
          </w:tcPr>
          <w:p w14:paraId="39D99FD7" w14:textId="77777777" w:rsidR="00996AD7" w:rsidRDefault="00996AD7">
            <w:pPr>
              <w:rPr>
                <w:rFonts w:ascii="宋体"/>
                <w:vanish/>
              </w:rPr>
            </w:pPr>
          </w:p>
        </w:tc>
        <w:tc>
          <w:tcPr>
            <w:tcW w:w="0" w:type="auto"/>
            <w:shd w:val="clear" w:color="auto" w:fill="auto"/>
            <w:vAlign w:val="bottom"/>
          </w:tcPr>
          <w:p w14:paraId="39D99FD8" w14:textId="77777777" w:rsidR="00996AD7" w:rsidRDefault="00996AD7">
            <w:pPr>
              <w:rPr>
                <w:rFonts w:ascii="宋体"/>
                <w:vanish/>
              </w:rPr>
            </w:pPr>
          </w:p>
        </w:tc>
        <w:tc>
          <w:tcPr>
            <w:tcW w:w="0" w:type="auto"/>
            <w:shd w:val="clear" w:color="auto" w:fill="auto"/>
            <w:vAlign w:val="bottom"/>
          </w:tcPr>
          <w:p w14:paraId="39D99FD9" w14:textId="77777777" w:rsidR="00996AD7" w:rsidRDefault="00996AD7">
            <w:pPr>
              <w:rPr>
                <w:rFonts w:ascii="宋体"/>
                <w:vanish/>
              </w:rPr>
            </w:pPr>
          </w:p>
        </w:tc>
        <w:tc>
          <w:tcPr>
            <w:tcW w:w="0" w:type="auto"/>
            <w:gridSpan w:val="3"/>
            <w:shd w:val="clear" w:color="auto" w:fill="auto"/>
            <w:vAlign w:val="bottom"/>
          </w:tcPr>
          <w:p w14:paraId="39D99FDA" w14:textId="77777777" w:rsidR="00996AD7" w:rsidRDefault="00996AD7">
            <w:pPr>
              <w:rPr>
                <w:rFonts w:ascii="宋体"/>
                <w:vanish/>
              </w:rPr>
            </w:pPr>
          </w:p>
        </w:tc>
        <w:tc>
          <w:tcPr>
            <w:tcW w:w="0" w:type="auto"/>
            <w:gridSpan w:val="3"/>
            <w:shd w:val="clear" w:color="auto" w:fill="auto"/>
            <w:vAlign w:val="bottom"/>
          </w:tcPr>
          <w:p w14:paraId="39D99FDB" w14:textId="77777777" w:rsidR="00996AD7" w:rsidRDefault="00996AD7">
            <w:pPr>
              <w:rPr>
                <w:rFonts w:ascii="宋体"/>
                <w:vanish/>
              </w:rPr>
            </w:pPr>
          </w:p>
        </w:tc>
      </w:tr>
      <w:tr w:rsidR="00996AD7" w14:paraId="39D99FE6" w14:textId="77777777">
        <w:trPr>
          <w:hidden/>
        </w:trPr>
        <w:tc>
          <w:tcPr>
            <w:tcW w:w="0" w:type="auto"/>
            <w:gridSpan w:val="3"/>
            <w:shd w:val="clear" w:color="auto" w:fill="auto"/>
            <w:vAlign w:val="bottom"/>
          </w:tcPr>
          <w:p w14:paraId="39D99FDD" w14:textId="77777777" w:rsidR="00996AD7" w:rsidRDefault="00996AD7">
            <w:pPr>
              <w:rPr>
                <w:rFonts w:ascii="宋体"/>
                <w:vanish/>
              </w:rPr>
            </w:pPr>
          </w:p>
        </w:tc>
        <w:tc>
          <w:tcPr>
            <w:tcW w:w="0" w:type="auto"/>
            <w:gridSpan w:val="3"/>
            <w:shd w:val="clear" w:color="auto" w:fill="auto"/>
            <w:vAlign w:val="bottom"/>
          </w:tcPr>
          <w:p w14:paraId="39D99FDE" w14:textId="77777777" w:rsidR="00996AD7" w:rsidRDefault="00996AD7">
            <w:pPr>
              <w:rPr>
                <w:rFonts w:ascii="宋体"/>
                <w:vanish/>
              </w:rPr>
            </w:pPr>
          </w:p>
        </w:tc>
        <w:tc>
          <w:tcPr>
            <w:tcW w:w="0" w:type="auto"/>
            <w:gridSpan w:val="3"/>
            <w:shd w:val="clear" w:color="auto" w:fill="auto"/>
            <w:vAlign w:val="bottom"/>
          </w:tcPr>
          <w:p w14:paraId="39D99FDF" w14:textId="77777777" w:rsidR="00996AD7" w:rsidRDefault="00996AD7">
            <w:pPr>
              <w:rPr>
                <w:rFonts w:ascii="宋体"/>
                <w:vanish/>
              </w:rPr>
            </w:pPr>
          </w:p>
        </w:tc>
        <w:tc>
          <w:tcPr>
            <w:tcW w:w="0" w:type="auto"/>
            <w:gridSpan w:val="3"/>
            <w:shd w:val="clear" w:color="auto" w:fill="auto"/>
            <w:vAlign w:val="bottom"/>
          </w:tcPr>
          <w:p w14:paraId="39D99FE0" w14:textId="77777777" w:rsidR="00996AD7" w:rsidRDefault="00996AD7">
            <w:pPr>
              <w:rPr>
                <w:rFonts w:ascii="宋体"/>
                <w:vanish/>
              </w:rPr>
            </w:pPr>
          </w:p>
        </w:tc>
        <w:tc>
          <w:tcPr>
            <w:tcW w:w="0" w:type="auto"/>
            <w:gridSpan w:val="3"/>
            <w:shd w:val="clear" w:color="auto" w:fill="auto"/>
            <w:vAlign w:val="bottom"/>
          </w:tcPr>
          <w:p w14:paraId="39D99FE1" w14:textId="77777777" w:rsidR="00996AD7" w:rsidRDefault="00996AD7">
            <w:pPr>
              <w:rPr>
                <w:rFonts w:ascii="宋体"/>
                <w:vanish/>
              </w:rPr>
            </w:pPr>
          </w:p>
        </w:tc>
        <w:tc>
          <w:tcPr>
            <w:tcW w:w="0" w:type="auto"/>
            <w:shd w:val="clear" w:color="auto" w:fill="auto"/>
            <w:vAlign w:val="bottom"/>
          </w:tcPr>
          <w:p w14:paraId="39D99FE2" w14:textId="77777777" w:rsidR="00996AD7" w:rsidRDefault="00996AD7">
            <w:pPr>
              <w:rPr>
                <w:rFonts w:ascii="宋体"/>
                <w:vanish/>
              </w:rPr>
            </w:pPr>
          </w:p>
        </w:tc>
        <w:tc>
          <w:tcPr>
            <w:tcW w:w="0" w:type="auto"/>
            <w:shd w:val="clear" w:color="auto" w:fill="auto"/>
            <w:vAlign w:val="bottom"/>
          </w:tcPr>
          <w:p w14:paraId="39D99FE3" w14:textId="77777777" w:rsidR="00996AD7" w:rsidRDefault="00996AD7">
            <w:pPr>
              <w:rPr>
                <w:rFonts w:ascii="宋体"/>
                <w:vanish/>
              </w:rPr>
            </w:pPr>
          </w:p>
        </w:tc>
        <w:tc>
          <w:tcPr>
            <w:tcW w:w="0" w:type="auto"/>
            <w:gridSpan w:val="3"/>
            <w:shd w:val="clear" w:color="auto" w:fill="auto"/>
            <w:vAlign w:val="bottom"/>
          </w:tcPr>
          <w:p w14:paraId="39D99FE4" w14:textId="77777777" w:rsidR="00996AD7" w:rsidRDefault="00996AD7">
            <w:pPr>
              <w:rPr>
                <w:rFonts w:ascii="宋体"/>
                <w:vanish/>
              </w:rPr>
            </w:pPr>
          </w:p>
        </w:tc>
        <w:tc>
          <w:tcPr>
            <w:tcW w:w="0" w:type="auto"/>
            <w:gridSpan w:val="3"/>
            <w:shd w:val="clear" w:color="auto" w:fill="auto"/>
            <w:vAlign w:val="bottom"/>
          </w:tcPr>
          <w:p w14:paraId="39D99FE5" w14:textId="77777777" w:rsidR="00996AD7" w:rsidRDefault="00996AD7">
            <w:pPr>
              <w:rPr>
                <w:rFonts w:ascii="宋体"/>
                <w:vanish/>
              </w:rPr>
            </w:pPr>
          </w:p>
        </w:tc>
      </w:tr>
      <w:tr w:rsidR="00996AD7" w14:paraId="39D99FF0" w14:textId="77777777">
        <w:trPr>
          <w:hidden/>
        </w:trPr>
        <w:tc>
          <w:tcPr>
            <w:tcW w:w="0" w:type="auto"/>
            <w:gridSpan w:val="3"/>
            <w:shd w:val="clear" w:color="auto" w:fill="auto"/>
            <w:vAlign w:val="bottom"/>
          </w:tcPr>
          <w:p w14:paraId="39D99FE7" w14:textId="77777777" w:rsidR="00996AD7" w:rsidRDefault="00996AD7">
            <w:pPr>
              <w:rPr>
                <w:rFonts w:ascii="宋体"/>
                <w:vanish/>
              </w:rPr>
            </w:pPr>
          </w:p>
        </w:tc>
        <w:tc>
          <w:tcPr>
            <w:tcW w:w="0" w:type="auto"/>
            <w:gridSpan w:val="3"/>
            <w:shd w:val="clear" w:color="auto" w:fill="auto"/>
            <w:vAlign w:val="bottom"/>
          </w:tcPr>
          <w:p w14:paraId="39D99FE8" w14:textId="77777777" w:rsidR="00996AD7" w:rsidRDefault="00996AD7">
            <w:pPr>
              <w:rPr>
                <w:rFonts w:ascii="宋体"/>
                <w:vanish/>
              </w:rPr>
            </w:pPr>
          </w:p>
        </w:tc>
        <w:tc>
          <w:tcPr>
            <w:tcW w:w="0" w:type="auto"/>
            <w:gridSpan w:val="3"/>
            <w:shd w:val="clear" w:color="auto" w:fill="auto"/>
            <w:vAlign w:val="bottom"/>
          </w:tcPr>
          <w:p w14:paraId="39D99FE9" w14:textId="77777777" w:rsidR="00996AD7" w:rsidRDefault="00996AD7">
            <w:pPr>
              <w:rPr>
                <w:rFonts w:ascii="宋体"/>
                <w:vanish/>
              </w:rPr>
            </w:pPr>
          </w:p>
        </w:tc>
        <w:tc>
          <w:tcPr>
            <w:tcW w:w="0" w:type="auto"/>
            <w:gridSpan w:val="3"/>
            <w:shd w:val="clear" w:color="auto" w:fill="auto"/>
            <w:vAlign w:val="bottom"/>
          </w:tcPr>
          <w:p w14:paraId="39D99FEA" w14:textId="77777777" w:rsidR="00996AD7" w:rsidRDefault="00996AD7">
            <w:pPr>
              <w:rPr>
                <w:rFonts w:ascii="宋体"/>
                <w:vanish/>
              </w:rPr>
            </w:pPr>
          </w:p>
        </w:tc>
        <w:tc>
          <w:tcPr>
            <w:tcW w:w="0" w:type="auto"/>
            <w:gridSpan w:val="3"/>
            <w:shd w:val="clear" w:color="auto" w:fill="auto"/>
            <w:vAlign w:val="bottom"/>
          </w:tcPr>
          <w:p w14:paraId="39D99FEB" w14:textId="77777777" w:rsidR="00996AD7" w:rsidRDefault="00996AD7">
            <w:pPr>
              <w:rPr>
                <w:rFonts w:ascii="宋体"/>
                <w:vanish/>
              </w:rPr>
            </w:pPr>
          </w:p>
        </w:tc>
        <w:tc>
          <w:tcPr>
            <w:tcW w:w="0" w:type="auto"/>
            <w:shd w:val="clear" w:color="auto" w:fill="auto"/>
            <w:vAlign w:val="bottom"/>
          </w:tcPr>
          <w:p w14:paraId="39D99FEC" w14:textId="77777777" w:rsidR="00996AD7" w:rsidRDefault="00996AD7">
            <w:pPr>
              <w:rPr>
                <w:rFonts w:ascii="宋体"/>
                <w:vanish/>
              </w:rPr>
            </w:pPr>
          </w:p>
        </w:tc>
        <w:tc>
          <w:tcPr>
            <w:tcW w:w="0" w:type="auto"/>
            <w:shd w:val="clear" w:color="auto" w:fill="auto"/>
            <w:vAlign w:val="bottom"/>
          </w:tcPr>
          <w:p w14:paraId="39D99FED" w14:textId="77777777" w:rsidR="00996AD7" w:rsidRDefault="00996AD7">
            <w:pPr>
              <w:rPr>
                <w:rFonts w:ascii="宋体"/>
                <w:vanish/>
              </w:rPr>
            </w:pPr>
          </w:p>
        </w:tc>
        <w:tc>
          <w:tcPr>
            <w:tcW w:w="0" w:type="auto"/>
            <w:gridSpan w:val="3"/>
            <w:shd w:val="clear" w:color="auto" w:fill="auto"/>
            <w:vAlign w:val="bottom"/>
          </w:tcPr>
          <w:p w14:paraId="39D99FEE" w14:textId="77777777" w:rsidR="00996AD7" w:rsidRDefault="00996AD7">
            <w:pPr>
              <w:rPr>
                <w:rFonts w:ascii="宋体"/>
                <w:vanish/>
              </w:rPr>
            </w:pPr>
          </w:p>
        </w:tc>
        <w:tc>
          <w:tcPr>
            <w:tcW w:w="0" w:type="auto"/>
            <w:gridSpan w:val="3"/>
            <w:shd w:val="clear" w:color="auto" w:fill="auto"/>
            <w:vAlign w:val="bottom"/>
          </w:tcPr>
          <w:p w14:paraId="39D99FEF" w14:textId="77777777" w:rsidR="00996AD7" w:rsidRDefault="00996AD7">
            <w:pPr>
              <w:rPr>
                <w:rFonts w:ascii="宋体"/>
                <w:vanish/>
              </w:rPr>
            </w:pPr>
          </w:p>
        </w:tc>
      </w:tr>
      <w:tr w:rsidR="00996AD7" w14:paraId="39D99FFA" w14:textId="77777777">
        <w:trPr>
          <w:hidden/>
        </w:trPr>
        <w:tc>
          <w:tcPr>
            <w:tcW w:w="0" w:type="auto"/>
            <w:gridSpan w:val="3"/>
            <w:shd w:val="clear" w:color="auto" w:fill="auto"/>
            <w:vAlign w:val="bottom"/>
          </w:tcPr>
          <w:p w14:paraId="39D99FF1" w14:textId="77777777" w:rsidR="00996AD7" w:rsidRDefault="00996AD7">
            <w:pPr>
              <w:rPr>
                <w:rFonts w:ascii="宋体"/>
                <w:vanish/>
              </w:rPr>
            </w:pPr>
          </w:p>
        </w:tc>
        <w:tc>
          <w:tcPr>
            <w:tcW w:w="0" w:type="auto"/>
            <w:gridSpan w:val="3"/>
            <w:shd w:val="clear" w:color="auto" w:fill="auto"/>
            <w:vAlign w:val="bottom"/>
          </w:tcPr>
          <w:p w14:paraId="39D99FF2" w14:textId="77777777" w:rsidR="00996AD7" w:rsidRDefault="00996AD7">
            <w:pPr>
              <w:rPr>
                <w:rFonts w:ascii="宋体"/>
                <w:vanish/>
              </w:rPr>
            </w:pPr>
          </w:p>
        </w:tc>
        <w:tc>
          <w:tcPr>
            <w:tcW w:w="0" w:type="auto"/>
            <w:gridSpan w:val="3"/>
            <w:shd w:val="clear" w:color="auto" w:fill="auto"/>
            <w:vAlign w:val="bottom"/>
          </w:tcPr>
          <w:p w14:paraId="39D99FF3" w14:textId="77777777" w:rsidR="00996AD7" w:rsidRDefault="00996AD7">
            <w:pPr>
              <w:rPr>
                <w:rFonts w:ascii="宋体"/>
                <w:vanish/>
              </w:rPr>
            </w:pPr>
          </w:p>
        </w:tc>
        <w:tc>
          <w:tcPr>
            <w:tcW w:w="0" w:type="auto"/>
            <w:gridSpan w:val="3"/>
            <w:shd w:val="clear" w:color="auto" w:fill="auto"/>
            <w:vAlign w:val="bottom"/>
          </w:tcPr>
          <w:p w14:paraId="39D99FF4" w14:textId="77777777" w:rsidR="00996AD7" w:rsidRDefault="00996AD7">
            <w:pPr>
              <w:rPr>
                <w:rFonts w:ascii="宋体"/>
                <w:vanish/>
              </w:rPr>
            </w:pPr>
          </w:p>
        </w:tc>
        <w:tc>
          <w:tcPr>
            <w:tcW w:w="0" w:type="auto"/>
            <w:gridSpan w:val="3"/>
            <w:shd w:val="clear" w:color="auto" w:fill="auto"/>
            <w:vAlign w:val="bottom"/>
          </w:tcPr>
          <w:p w14:paraId="39D99FF5" w14:textId="77777777" w:rsidR="00996AD7" w:rsidRDefault="00996AD7">
            <w:pPr>
              <w:rPr>
                <w:rFonts w:ascii="宋体"/>
                <w:vanish/>
              </w:rPr>
            </w:pPr>
          </w:p>
        </w:tc>
        <w:tc>
          <w:tcPr>
            <w:tcW w:w="0" w:type="auto"/>
            <w:shd w:val="clear" w:color="auto" w:fill="auto"/>
            <w:vAlign w:val="bottom"/>
          </w:tcPr>
          <w:p w14:paraId="39D99FF6" w14:textId="77777777" w:rsidR="00996AD7" w:rsidRDefault="00996AD7">
            <w:pPr>
              <w:rPr>
                <w:rFonts w:ascii="宋体"/>
                <w:vanish/>
              </w:rPr>
            </w:pPr>
          </w:p>
        </w:tc>
        <w:tc>
          <w:tcPr>
            <w:tcW w:w="0" w:type="auto"/>
            <w:shd w:val="clear" w:color="auto" w:fill="auto"/>
            <w:vAlign w:val="bottom"/>
          </w:tcPr>
          <w:p w14:paraId="39D99FF7" w14:textId="77777777" w:rsidR="00996AD7" w:rsidRDefault="00996AD7">
            <w:pPr>
              <w:rPr>
                <w:rFonts w:ascii="宋体"/>
                <w:vanish/>
              </w:rPr>
            </w:pPr>
          </w:p>
        </w:tc>
        <w:tc>
          <w:tcPr>
            <w:tcW w:w="0" w:type="auto"/>
            <w:gridSpan w:val="3"/>
            <w:shd w:val="clear" w:color="auto" w:fill="auto"/>
            <w:vAlign w:val="bottom"/>
          </w:tcPr>
          <w:p w14:paraId="39D99FF8" w14:textId="77777777" w:rsidR="00996AD7" w:rsidRDefault="00996AD7">
            <w:pPr>
              <w:rPr>
                <w:rFonts w:ascii="宋体"/>
                <w:vanish/>
              </w:rPr>
            </w:pPr>
          </w:p>
        </w:tc>
        <w:tc>
          <w:tcPr>
            <w:tcW w:w="0" w:type="auto"/>
            <w:gridSpan w:val="3"/>
            <w:shd w:val="clear" w:color="auto" w:fill="auto"/>
            <w:vAlign w:val="bottom"/>
          </w:tcPr>
          <w:p w14:paraId="39D99FF9" w14:textId="77777777" w:rsidR="00996AD7" w:rsidRDefault="00996AD7">
            <w:pPr>
              <w:rPr>
                <w:rFonts w:ascii="宋体"/>
                <w:vanish/>
              </w:rPr>
            </w:pPr>
          </w:p>
        </w:tc>
      </w:tr>
      <w:tr w:rsidR="00996AD7" w14:paraId="39D9A008" w14:textId="77777777">
        <w:tc>
          <w:tcPr>
            <w:tcW w:w="0" w:type="auto"/>
            <w:gridSpan w:val="3"/>
            <w:shd w:val="clear" w:color="auto" w:fill="auto"/>
            <w:tcMar>
              <w:top w:w="40" w:type="dxa"/>
              <w:left w:w="20" w:type="dxa"/>
              <w:bottom w:w="40" w:type="dxa"/>
              <w:right w:w="20" w:type="dxa"/>
            </w:tcMar>
            <w:vAlign w:val="bottom"/>
          </w:tcPr>
          <w:p w14:paraId="39D99FFB" w14:textId="77777777" w:rsidR="00996AD7" w:rsidRDefault="00D96458">
            <w:pPr>
              <w:textAlignment w:val="bottom"/>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39D99FFC"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9FFD" w14:textId="77777777" w:rsidR="00996AD7" w:rsidRDefault="00D9645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39D99FFE" w14:textId="77777777" w:rsidR="00996AD7" w:rsidRDefault="00D96458">
            <w:pPr>
              <w:jc w:val="right"/>
              <w:textAlignment w:val="bottom"/>
            </w:pPr>
            <w:r>
              <w:rPr>
                <w:rFonts w:ascii="Arial" w:eastAsia="宋体" w:hAnsi="Arial" w:cs="Arial"/>
                <w:b/>
                <w:bCs/>
                <w:color w:val="0068B5"/>
                <w:sz w:val="18"/>
                <w:szCs w:val="18"/>
              </w:rPr>
              <w:t>1.67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9FF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A000"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A001"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A002" w14:textId="77777777" w:rsidR="00996AD7" w:rsidRDefault="00D96458">
            <w:pPr>
              <w:jc w:val="right"/>
              <w:textAlignment w:val="bottom"/>
            </w:pPr>
            <w:r>
              <w:rPr>
                <w:rFonts w:ascii="Arial" w:eastAsia="宋体" w:hAnsi="Arial" w:cs="Arial"/>
                <w:b/>
                <w:bCs/>
                <w:color w:val="262626"/>
                <w:sz w:val="18"/>
                <w:szCs w:val="18"/>
              </w:rPr>
              <w:t>1.02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39D9A003" w14:textId="77777777" w:rsidR="00996AD7" w:rsidRDefault="00996AD7">
            <w:pPr>
              <w:jc w:val="right"/>
              <w:rPr>
                <w:rFonts w:ascii="宋体"/>
              </w:rPr>
            </w:pPr>
          </w:p>
        </w:tc>
        <w:tc>
          <w:tcPr>
            <w:tcW w:w="0" w:type="auto"/>
            <w:shd w:val="clear" w:color="auto" w:fill="auto"/>
            <w:vAlign w:val="bottom"/>
          </w:tcPr>
          <w:p w14:paraId="39D9A004" w14:textId="77777777" w:rsidR="00996AD7" w:rsidRDefault="00996AD7">
            <w:pPr>
              <w:rPr>
                <w:rFonts w:ascii="宋体"/>
                <w:vanish/>
              </w:rPr>
            </w:pPr>
          </w:p>
        </w:tc>
        <w:tc>
          <w:tcPr>
            <w:tcW w:w="0" w:type="auto"/>
            <w:shd w:val="clear" w:color="auto" w:fill="auto"/>
            <w:vAlign w:val="bottom"/>
          </w:tcPr>
          <w:p w14:paraId="39D9A005" w14:textId="77777777" w:rsidR="00996AD7" w:rsidRDefault="00996AD7">
            <w:pPr>
              <w:rPr>
                <w:rFonts w:ascii="宋体"/>
                <w:vanish/>
              </w:rPr>
            </w:pPr>
          </w:p>
        </w:tc>
        <w:tc>
          <w:tcPr>
            <w:tcW w:w="0" w:type="auto"/>
            <w:gridSpan w:val="3"/>
            <w:shd w:val="clear" w:color="auto" w:fill="auto"/>
            <w:vAlign w:val="bottom"/>
          </w:tcPr>
          <w:p w14:paraId="39D9A006" w14:textId="77777777" w:rsidR="00996AD7" w:rsidRDefault="00996AD7">
            <w:pPr>
              <w:rPr>
                <w:rFonts w:ascii="宋体"/>
                <w:vanish/>
              </w:rPr>
            </w:pPr>
          </w:p>
        </w:tc>
        <w:tc>
          <w:tcPr>
            <w:tcW w:w="0" w:type="auto"/>
            <w:gridSpan w:val="3"/>
            <w:shd w:val="clear" w:color="auto" w:fill="auto"/>
            <w:vAlign w:val="bottom"/>
          </w:tcPr>
          <w:p w14:paraId="39D9A007" w14:textId="77777777" w:rsidR="00996AD7" w:rsidRDefault="00996AD7">
            <w:pPr>
              <w:rPr>
                <w:rFonts w:ascii="宋体"/>
                <w:vanish/>
              </w:rPr>
            </w:pPr>
          </w:p>
        </w:tc>
      </w:tr>
      <w:tr w:rsidR="00996AD7" w14:paraId="39D9A014" w14:textId="77777777">
        <w:tc>
          <w:tcPr>
            <w:tcW w:w="0" w:type="auto"/>
            <w:gridSpan w:val="3"/>
            <w:shd w:val="clear" w:color="auto" w:fill="auto"/>
            <w:tcMar>
              <w:top w:w="40" w:type="dxa"/>
              <w:left w:w="245" w:type="dxa"/>
              <w:bottom w:w="40" w:type="dxa"/>
              <w:right w:w="20" w:type="dxa"/>
            </w:tcMar>
            <w:vAlign w:val="bottom"/>
          </w:tcPr>
          <w:p w14:paraId="39D9A009" w14:textId="77777777" w:rsidR="00996AD7" w:rsidRDefault="00D96458">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39D9A00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A00B" w14:textId="77777777" w:rsidR="00996AD7" w:rsidRDefault="00D96458">
            <w:pPr>
              <w:jc w:val="right"/>
              <w:textAlignment w:val="bottom"/>
            </w:pPr>
            <w:r>
              <w:rPr>
                <w:rFonts w:ascii="Arial" w:eastAsia="宋体" w:hAnsi="Arial" w:cs="Arial"/>
                <w:color w:val="0068B5"/>
                <w:sz w:val="18"/>
                <w:szCs w:val="18"/>
              </w:rPr>
              <w:t>0.09 </w:t>
            </w:r>
          </w:p>
        </w:tc>
        <w:tc>
          <w:tcPr>
            <w:tcW w:w="0" w:type="auto"/>
            <w:shd w:val="clear" w:color="auto" w:fill="auto"/>
            <w:tcMar>
              <w:top w:w="40" w:type="dxa"/>
              <w:left w:w="0" w:type="dxa"/>
              <w:bottom w:w="40" w:type="dxa"/>
              <w:right w:w="20" w:type="dxa"/>
            </w:tcMar>
            <w:vAlign w:val="bottom"/>
          </w:tcPr>
          <w:p w14:paraId="39D9A00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A00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A00E" w14:textId="77777777" w:rsidR="00996AD7" w:rsidRDefault="00D96458">
            <w:pPr>
              <w:jc w:val="right"/>
              <w:textAlignment w:val="bottom"/>
            </w:pPr>
            <w:r>
              <w:rPr>
                <w:rFonts w:ascii="Arial" w:eastAsia="宋体" w:hAnsi="Arial" w:cs="Arial"/>
                <w:color w:val="262626"/>
                <w:sz w:val="18"/>
                <w:szCs w:val="18"/>
              </w:rPr>
              <w:t>0.09 </w:t>
            </w:r>
          </w:p>
        </w:tc>
        <w:tc>
          <w:tcPr>
            <w:tcW w:w="0" w:type="auto"/>
            <w:shd w:val="clear" w:color="auto" w:fill="auto"/>
            <w:tcMar>
              <w:top w:w="40" w:type="dxa"/>
              <w:left w:w="0" w:type="dxa"/>
              <w:bottom w:w="40" w:type="dxa"/>
              <w:right w:w="20" w:type="dxa"/>
            </w:tcMar>
            <w:vAlign w:val="bottom"/>
          </w:tcPr>
          <w:p w14:paraId="39D9A00F" w14:textId="77777777" w:rsidR="00996AD7" w:rsidRDefault="00996AD7">
            <w:pPr>
              <w:jc w:val="right"/>
              <w:rPr>
                <w:rFonts w:ascii="宋体"/>
              </w:rPr>
            </w:pPr>
          </w:p>
        </w:tc>
        <w:tc>
          <w:tcPr>
            <w:tcW w:w="0" w:type="auto"/>
            <w:shd w:val="clear" w:color="auto" w:fill="auto"/>
            <w:vAlign w:val="bottom"/>
          </w:tcPr>
          <w:p w14:paraId="39D9A010" w14:textId="77777777" w:rsidR="00996AD7" w:rsidRDefault="00996AD7">
            <w:pPr>
              <w:rPr>
                <w:rFonts w:ascii="宋体"/>
                <w:vanish/>
              </w:rPr>
            </w:pPr>
          </w:p>
        </w:tc>
        <w:tc>
          <w:tcPr>
            <w:tcW w:w="0" w:type="auto"/>
            <w:shd w:val="clear" w:color="auto" w:fill="auto"/>
            <w:vAlign w:val="bottom"/>
          </w:tcPr>
          <w:p w14:paraId="39D9A011" w14:textId="77777777" w:rsidR="00996AD7" w:rsidRDefault="00996AD7">
            <w:pPr>
              <w:rPr>
                <w:rFonts w:ascii="宋体"/>
                <w:vanish/>
              </w:rPr>
            </w:pPr>
          </w:p>
        </w:tc>
        <w:tc>
          <w:tcPr>
            <w:tcW w:w="0" w:type="auto"/>
            <w:gridSpan w:val="3"/>
            <w:shd w:val="clear" w:color="auto" w:fill="auto"/>
            <w:vAlign w:val="bottom"/>
          </w:tcPr>
          <w:p w14:paraId="39D9A012" w14:textId="77777777" w:rsidR="00996AD7" w:rsidRDefault="00996AD7">
            <w:pPr>
              <w:rPr>
                <w:rFonts w:ascii="宋体"/>
                <w:vanish/>
              </w:rPr>
            </w:pPr>
          </w:p>
        </w:tc>
        <w:tc>
          <w:tcPr>
            <w:tcW w:w="0" w:type="auto"/>
            <w:gridSpan w:val="3"/>
            <w:shd w:val="clear" w:color="auto" w:fill="auto"/>
            <w:vAlign w:val="bottom"/>
          </w:tcPr>
          <w:p w14:paraId="39D9A013" w14:textId="77777777" w:rsidR="00996AD7" w:rsidRDefault="00996AD7">
            <w:pPr>
              <w:rPr>
                <w:rFonts w:ascii="宋体"/>
                <w:vanish/>
              </w:rPr>
            </w:pPr>
          </w:p>
        </w:tc>
      </w:tr>
      <w:tr w:rsidR="00996AD7" w14:paraId="39D9A01E" w14:textId="77777777">
        <w:trPr>
          <w:hidden/>
        </w:trPr>
        <w:tc>
          <w:tcPr>
            <w:tcW w:w="0" w:type="auto"/>
            <w:gridSpan w:val="3"/>
            <w:shd w:val="clear" w:color="auto" w:fill="auto"/>
            <w:vAlign w:val="bottom"/>
          </w:tcPr>
          <w:p w14:paraId="39D9A015" w14:textId="77777777" w:rsidR="00996AD7" w:rsidRDefault="00996AD7">
            <w:pPr>
              <w:rPr>
                <w:rFonts w:ascii="宋体"/>
                <w:vanish/>
              </w:rPr>
            </w:pPr>
          </w:p>
        </w:tc>
        <w:tc>
          <w:tcPr>
            <w:tcW w:w="0" w:type="auto"/>
            <w:gridSpan w:val="3"/>
            <w:shd w:val="clear" w:color="auto" w:fill="auto"/>
            <w:vAlign w:val="bottom"/>
          </w:tcPr>
          <w:p w14:paraId="39D9A016" w14:textId="77777777" w:rsidR="00996AD7" w:rsidRDefault="00996AD7">
            <w:pPr>
              <w:rPr>
                <w:rFonts w:ascii="宋体"/>
                <w:vanish/>
              </w:rPr>
            </w:pPr>
          </w:p>
        </w:tc>
        <w:tc>
          <w:tcPr>
            <w:tcW w:w="0" w:type="auto"/>
            <w:gridSpan w:val="3"/>
            <w:shd w:val="clear" w:color="auto" w:fill="auto"/>
            <w:vAlign w:val="bottom"/>
          </w:tcPr>
          <w:p w14:paraId="39D9A017" w14:textId="77777777" w:rsidR="00996AD7" w:rsidRDefault="00996AD7">
            <w:pPr>
              <w:rPr>
                <w:rFonts w:ascii="宋体"/>
                <w:vanish/>
              </w:rPr>
            </w:pPr>
          </w:p>
        </w:tc>
        <w:tc>
          <w:tcPr>
            <w:tcW w:w="0" w:type="auto"/>
            <w:gridSpan w:val="3"/>
            <w:shd w:val="clear" w:color="auto" w:fill="auto"/>
            <w:vAlign w:val="bottom"/>
          </w:tcPr>
          <w:p w14:paraId="39D9A018" w14:textId="77777777" w:rsidR="00996AD7" w:rsidRDefault="00996AD7">
            <w:pPr>
              <w:rPr>
                <w:rFonts w:ascii="宋体"/>
                <w:vanish/>
              </w:rPr>
            </w:pPr>
          </w:p>
        </w:tc>
        <w:tc>
          <w:tcPr>
            <w:tcW w:w="0" w:type="auto"/>
            <w:gridSpan w:val="3"/>
            <w:shd w:val="clear" w:color="auto" w:fill="auto"/>
            <w:vAlign w:val="bottom"/>
          </w:tcPr>
          <w:p w14:paraId="39D9A019" w14:textId="77777777" w:rsidR="00996AD7" w:rsidRDefault="00996AD7">
            <w:pPr>
              <w:rPr>
                <w:rFonts w:ascii="宋体"/>
                <w:vanish/>
              </w:rPr>
            </w:pPr>
          </w:p>
        </w:tc>
        <w:tc>
          <w:tcPr>
            <w:tcW w:w="0" w:type="auto"/>
            <w:shd w:val="clear" w:color="auto" w:fill="auto"/>
            <w:vAlign w:val="bottom"/>
          </w:tcPr>
          <w:p w14:paraId="39D9A01A" w14:textId="77777777" w:rsidR="00996AD7" w:rsidRDefault="00996AD7">
            <w:pPr>
              <w:rPr>
                <w:rFonts w:ascii="宋体"/>
                <w:vanish/>
              </w:rPr>
            </w:pPr>
          </w:p>
        </w:tc>
        <w:tc>
          <w:tcPr>
            <w:tcW w:w="0" w:type="auto"/>
            <w:shd w:val="clear" w:color="auto" w:fill="auto"/>
            <w:vAlign w:val="bottom"/>
          </w:tcPr>
          <w:p w14:paraId="39D9A01B" w14:textId="77777777" w:rsidR="00996AD7" w:rsidRDefault="00996AD7">
            <w:pPr>
              <w:rPr>
                <w:rFonts w:ascii="宋体"/>
                <w:vanish/>
              </w:rPr>
            </w:pPr>
          </w:p>
        </w:tc>
        <w:tc>
          <w:tcPr>
            <w:tcW w:w="0" w:type="auto"/>
            <w:gridSpan w:val="3"/>
            <w:shd w:val="clear" w:color="auto" w:fill="auto"/>
            <w:vAlign w:val="bottom"/>
          </w:tcPr>
          <w:p w14:paraId="39D9A01C" w14:textId="77777777" w:rsidR="00996AD7" w:rsidRDefault="00996AD7">
            <w:pPr>
              <w:rPr>
                <w:rFonts w:ascii="宋体"/>
                <w:vanish/>
              </w:rPr>
            </w:pPr>
          </w:p>
        </w:tc>
        <w:tc>
          <w:tcPr>
            <w:tcW w:w="0" w:type="auto"/>
            <w:gridSpan w:val="3"/>
            <w:shd w:val="clear" w:color="auto" w:fill="auto"/>
            <w:vAlign w:val="bottom"/>
          </w:tcPr>
          <w:p w14:paraId="39D9A01D" w14:textId="77777777" w:rsidR="00996AD7" w:rsidRDefault="00996AD7">
            <w:pPr>
              <w:rPr>
                <w:rFonts w:ascii="宋体"/>
                <w:vanish/>
              </w:rPr>
            </w:pPr>
          </w:p>
        </w:tc>
      </w:tr>
      <w:tr w:rsidR="00996AD7" w14:paraId="39D9A028" w14:textId="77777777">
        <w:trPr>
          <w:hidden/>
        </w:trPr>
        <w:tc>
          <w:tcPr>
            <w:tcW w:w="0" w:type="auto"/>
            <w:gridSpan w:val="3"/>
            <w:shd w:val="clear" w:color="auto" w:fill="auto"/>
            <w:vAlign w:val="bottom"/>
          </w:tcPr>
          <w:p w14:paraId="39D9A01F" w14:textId="77777777" w:rsidR="00996AD7" w:rsidRDefault="00996AD7">
            <w:pPr>
              <w:rPr>
                <w:rFonts w:ascii="宋体"/>
                <w:vanish/>
              </w:rPr>
            </w:pPr>
          </w:p>
        </w:tc>
        <w:tc>
          <w:tcPr>
            <w:tcW w:w="0" w:type="auto"/>
            <w:gridSpan w:val="3"/>
            <w:shd w:val="clear" w:color="auto" w:fill="auto"/>
            <w:vAlign w:val="bottom"/>
          </w:tcPr>
          <w:p w14:paraId="39D9A020" w14:textId="77777777" w:rsidR="00996AD7" w:rsidRDefault="00996AD7">
            <w:pPr>
              <w:rPr>
                <w:rFonts w:ascii="宋体"/>
                <w:vanish/>
              </w:rPr>
            </w:pPr>
          </w:p>
        </w:tc>
        <w:tc>
          <w:tcPr>
            <w:tcW w:w="0" w:type="auto"/>
            <w:gridSpan w:val="3"/>
            <w:shd w:val="clear" w:color="auto" w:fill="auto"/>
            <w:vAlign w:val="bottom"/>
          </w:tcPr>
          <w:p w14:paraId="39D9A021" w14:textId="77777777" w:rsidR="00996AD7" w:rsidRDefault="00996AD7">
            <w:pPr>
              <w:rPr>
                <w:rFonts w:ascii="宋体"/>
                <w:vanish/>
              </w:rPr>
            </w:pPr>
          </w:p>
        </w:tc>
        <w:tc>
          <w:tcPr>
            <w:tcW w:w="0" w:type="auto"/>
            <w:gridSpan w:val="3"/>
            <w:shd w:val="clear" w:color="auto" w:fill="auto"/>
            <w:vAlign w:val="bottom"/>
          </w:tcPr>
          <w:p w14:paraId="39D9A022" w14:textId="77777777" w:rsidR="00996AD7" w:rsidRDefault="00996AD7">
            <w:pPr>
              <w:rPr>
                <w:rFonts w:ascii="宋体"/>
                <w:vanish/>
              </w:rPr>
            </w:pPr>
          </w:p>
        </w:tc>
        <w:tc>
          <w:tcPr>
            <w:tcW w:w="0" w:type="auto"/>
            <w:gridSpan w:val="3"/>
            <w:shd w:val="clear" w:color="auto" w:fill="auto"/>
            <w:vAlign w:val="bottom"/>
          </w:tcPr>
          <w:p w14:paraId="39D9A023" w14:textId="77777777" w:rsidR="00996AD7" w:rsidRDefault="00996AD7">
            <w:pPr>
              <w:rPr>
                <w:rFonts w:ascii="宋体"/>
                <w:vanish/>
              </w:rPr>
            </w:pPr>
          </w:p>
        </w:tc>
        <w:tc>
          <w:tcPr>
            <w:tcW w:w="0" w:type="auto"/>
            <w:shd w:val="clear" w:color="auto" w:fill="auto"/>
            <w:vAlign w:val="bottom"/>
          </w:tcPr>
          <w:p w14:paraId="39D9A024" w14:textId="77777777" w:rsidR="00996AD7" w:rsidRDefault="00996AD7">
            <w:pPr>
              <w:rPr>
                <w:rFonts w:ascii="宋体"/>
                <w:vanish/>
              </w:rPr>
            </w:pPr>
          </w:p>
        </w:tc>
        <w:tc>
          <w:tcPr>
            <w:tcW w:w="0" w:type="auto"/>
            <w:shd w:val="clear" w:color="auto" w:fill="auto"/>
            <w:vAlign w:val="bottom"/>
          </w:tcPr>
          <w:p w14:paraId="39D9A025" w14:textId="77777777" w:rsidR="00996AD7" w:rsidRDefault="00996AD7">
            <w:pPr>
              <w:rPr>
                <w:rFonts w:ascii="宋体"/>
                <w:vanish/>
              </w:rPr>
            </w:pPr>
          </w:p>
        </w:tc>
        <w:tc>
          <w:tcPr>
            <w:tcW w:w="0" w:type="auto"/>
            <w:gridSpan w:val="3"/>
            <w:shd w:val="clear" w:color="auto" w:fill="auto"/>
            <w:vAlign w:val="bottom"/>
          </w:tcPr>
          <w:p w14:paraId="39D9A026" w14:textId="77777777" w:rsidR="00996AD7" w:rsidRDefault="00996AD7">
            <w:pPr>
              <w:rPr>
                <w:rFonts w:ascii="宋体"/>
                <w:vanish/>
              </w:rPr>
            </w:pPr>
          </w:p>
        </w:tc>
        <w:tc>
          <w:tcPr>
            <w:tcW w:w="0" w:type="auto"/>
            <w:gridSpan w:val="3"/>
            <w:shd w:val="clear" w:color="auto" w:fill="auto"/>
            <w:vAlign w:val="bottom"/>
          </w:tcPr>
          <w:p w14:paraId="39D9A027" w14:textId="77777777" w:rsidR="00996AD7" w:rsidRDefault="00996AD7">
            <w:pPr>
              <w:rPr>
                <w:rFonts w:ascii="宋体"/>
                <w:vanish/>
              </w:rPr>
            </w:pPr>
          </w:p>
        </w:tc>
      </w:tr>
      <w:tr w:rsidR="00996AD7" w14:paraId="39D9A032" w14:textId="77777777">
        <w:trPr>
          <w:hidden/>
        </w:trPr>
        <w:tc>
          <w:tcPr>
            <w:tcW w:w="0" w:type="auto"/>
            <w:gridSpan w:val="3"/>
            <w:shd w:val="clear" w:color="auto" w:fill="auto"/>
            <w:vAlign w:val="bottom"/>
          </w:tcPr>
          <w:p w14:paraId="39D9A029" w14:textId="77777777" w:rsidR="00996AD7" w:rsidRDefault="00996AD7">
            <w:pPr>
              <w:rPr>
                <w:rFonts w:ascii="宋体"/>
                <w:vanish/>
              </w:rPr>
            </w:pPr>
          </w:p>
        </w:tc>
        <w:tc>
          <w:tcPr>
            <w:tcW w:w="0" w:type="auto"/>
            <w:gridSpan w:val="3"/>
            <w:shd w:val="clear" w:color="auto" w:fill="auto"/>
            <w:vAlign w:val="bottom"/>
          </w:tcPr>
          <w:p w14:paraId="39D9A02A" w14:textId="77777777" w:rsidR="00996AD7" w:rsidRDefault="00996AD7">
            <w:pPr>
              <w:rPr>
                <w:rFonts w:ascii="宋体"/>
                <w:vanish/>
              </w:rPr>
            </w:pPr>
          </w:p>
        </w:tc>
        <w:tc>
          <w:tcPr>
            <w:tcW w:w="0" w:type="auto"/>
            <w:gridSpan w:val="3"/>
            <w:shd w:val="clear" w:color="auto" w:fill="auto"/>
            <w:vAlign w:val="bottom"/>
          </w:tcPr>
          <w:p w14:paraId="39D9A02B" w14:textId="77777777" w:rsidR="00996AD7" w:rsidRDefault="00996AD7">
            <w:pPr>
              <w:rPr>
                <w:rFonts w:ascii="宋体"/>
                <w:vanish/>
              </w:rPr>
            </w:pPr>
          </w:p>
        </w:tc>
        <w:tc>
          <w:tcPr>
            <w:tcW w:w="0" w:type="auto"/>
            <w:gridSpan w:val="3"/>
            <w:shd w:val="clear" w:color="auto" w:fill="auto"/>
            <w:vAlign w:val="bottom"/>
          </w:tcPr>
          <w:p w14:paraId="39D9A02C" w14:textId="77777777" w:rsidR="00996AD7" w:rsidRDefault="00996AD7">
            <w:pPr>
              <w:rPr>
                <w:rFonts w:ascii="宋体"/>
                <w:vanish/>
              </w:rPr>
            </w:pPr>
          </w:p>
        </w:tc>
        <w:tc>
          <w:tcPr>
            <w:tcW w:w="0" w:type="auto"/>
            <w:gridSpan w:val="3"/>
            <w:shd w:val="clear" w:color="auto" w:fill="auto"/>
            <w:vAlign w:val="bottom"/>
          </w:tcPr>
          <w:p w14:paraId="39D9A02D" w14:textId="77777777" w:rsidR="00996AD7" w:rsidRDefault="00996AD7">
            <w:pPr>
              <w:rPr>
                <w:rFonts w:ascii="宋体"/>
                <w:vanish/>
              </w:rPr>
            </w:pPr>
          </w:p>
        </w:tc>
        <w:tc>
          <w:tcPr>
            <w:tcW w:w="0" w:type="auto"/>
            <w:shd w:val="clear" w:color="auto" w:fill="auto"/>
            <w:vAlign w:val="bottom"/>
          </w:tcPr>
          <w:p w14:paraId="39D9A02E" w14:textId="77777777" w:rsidR="00996AD7" w:rsidRDefault="00996AD7">
            <w:pPr>
              <w:rPr>
                <w:rFonts w:ascii="宋体"/>
                <w:vanish/>
              </w:rPr>
            </w:pPr>
          </w:p>
        </w:tc>
        <w:tc>
          <w:tcPr>
            <w:tcW w:w="0" w:type="auto"/>
            <w:shd w:val="clear" w:color="auto" w:fill="auto"/>
            <w:vAlign w:val="bottom"/>
          </w:tcPr>
          <w:p w14:paraId="39D9A02F" w14:textId="77777777" w:rsidR="00996AD7" w:rsidRDefault="00996AD7">
            <w:pPr>
              <w:rPr>
                <w:rFonts w:ascii="宋体"/>
                <w:vanish/>
              </w:rPr>
            </w:pPr>
          </w:p>
        </w:tc>
        <w:tc>
          <w:tcPr>
            <w:tcW w:w="0" w:type="auto"/>
            <w:gridSpan w:val="3"/>
            <w:shd w:val="clear" w:color="auto" w:fill="auto"/>
            <w:vAlign w:val="bottom"/>
          </w:tcPr>
          <w:p w14:paraId="39D9A030" w14:textId="77777777" w:rsidR="00996AD7" w:rsidRDefault="00996AD7">
            <w:pPr>
              <w:rPr>
                <w:rFonts w:ascii="宋体"/>
                <w:vanish/>
              </w:rPr>
            </w:pPr>
          </w:p>
        </w:tc>
        <w:tc>
          <w:tcPr>
            <w:tcW w:w="0" w:type="auto"/>
            <w:gridSpan w:val="3"/>
            <w:shd w:val="clear" w:color="auto" w:fill="auto"/>
            <w:vAlign w:val="bottom"/>
          </w:tcPr>
          <w:p w14:paraId="39D9A031" w14:textId="77777777" w:rsidR="00996AD7" w:rsidRDefault="00996AD7">
            <w:pPr>
              <w:rPr>
                <w:rFonts w:ascii="宋体"/>
                <w:vanish/>
              </w:rPr>
            </w:pPr>
          </w:p>
        </w:tc>
      </w:tr>
      <w:tr w:rsidR="00996AD7" w14:paraId="39D9A03E" w14:textId="77777777">
        <w:tc>
          <w:tcPr>
            <w:tcW w:w="0" w:type="auto"/>
            <w:gridSpan w:val="3"/>
            <w:shd w:val="clear" w:color="auto" w:fill="auto"/>
            <w:tcMar>
              <w:top w:w="40" w:type="dxa"/>
              <w:left w:w="245" w:type="dxa"/>
              <w:bottom w:w="40" w:type="dxa"/>
              <w:right w:w="20" w:type="dxa"/>
            </w:tcMar>
            <w:vAlign w:val="bottom"/>
          </w:tcPr>
          <w:p w14:paraId="39D9A033" w14:textId="77777777" w:rsidR="00996AD7" w:rsidRDefault="00D96458">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39D9A03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A035" w14:textId="77777777" w:rsidR="00996AD7" w:rsidRDefault="00D96458">
            <w:pPr>
              <w:jc w:val="right"/>
              <w:textAlignment w:val="bottom"/>
            </w:pPr>
            <w:r>
              <w:rPr>
                <w:rFonts w:ascii="Arial" w:eastAsia="宋体" w:hAnsi="Arial" w:cs="Arial"/>
                <w:color w:val="0068B5"/>
                <w:sz w:val="18"/>
                <w:szCs w:val="18"/>
              </w:rPr>
              <w:t>0.01 </w:t>
            </w:r>
          </w:p>
        </w:tc>
        <w:tc>
          <w:tcPr>
            <w:tcW w:w="0" w:type="auto"/>
            <w:shd w:val="clear" w:color="auto" w:fill="auto"/>
            <w:tcMar>
              <w:top w:w="40" w:type="dxa"/>
              <w:left w:w="0" w:type="dxa"/>
              <w:bottom w:w="40" w:type="dxa"/>
              <w:right w:w="20" w:type="dxa"/>
            </w:tcMar>
            <w:vAlign w:val="bottom"/>
          </w:tcPr>
          <w:p w14:paraId="39D9A03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A03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A038" w14:textId="77777777" w:rsidR="00996AD7" w:rsidRDefault="00D96458">
            <w:pPr>
              <w:jc w:val="right"/>
              <w:textAlignment w:val="bottom"/>
            </w:pPr>
            <w:r>
              <w:rPr>
                <w:rFonts w:ascii="Arial" w:eastAsia="宋体" w:hAnsi="Arial" w:cs="Arial"/>
                <w:color w:val="262626"/>
                <w:sz w:val="18"/>
                <w:szCs w:val="18"/>
              </w:rPr>
              <w:t>(0.01)</w:t>
            </w:r>
          </w:p>
        </w:tc>
        <w:tc>
          <w:tcPr>
            <w:tcW w:w="0" w:type="auto"/>
            <w:shd w:val="clear" w:color="auto" w:fill="auto"/>
            <w:tcMar>
              <w:top w:w="40" w:type="dxa"/>
              <w:left w:w="0" w:type="dxa"/>
              <w:bottom w:w="40" w:type="dxa"/>
              <w:right w:w="20" w:type="dxa"/>
            </w:tcMar>
            <w:vAlign w:val="bottom"/>
          </w:tcPr>
          <w:p w14:paraId="39D9A039" w14:textId="77777777" w:rsidR="00996AD7" w:rsidRDefault="00996AD7">
            <w:pPr>
              <w:jc w:val="right"/>
              <w:rPr>
                <w:rFonts w:ascii="宋体"/>
              </w:rPr>
            </w:pPr>
          </w:p>
        </w:tc>
        <w:tc>
          <w:tcPr>
            <w:tcW w:w="0" w:type="auto"/>
            <w:shd w:val="clear" w:color="auto" w:fill="auto"/>
            <w:vAlign w:val="bottom"/>
          </w:tcPr>
          <w:p w14:paraId="39D9A03A" w14:textId="77777777" w:rsidR="00996AD7" w:rsidRDefault="00996AD7">
            <w:pPr>
              <w:rPr>
                <w:rFonts w:ascii="宋体"/>
                <w:vanish/>
              </w:rPr>
            </w:pPr>
          </w:p>
        </w:tc>
        <w:tc>
          <w:tcPr>
            <w:tcW w:w="0" w:type="auto"/>
            <w:shd w:val="clear" w:color="auto" w:fill="auto"/>
            <w:vAlign w:val="bottom"/>
          </w:tcPr>
          <w:p w14:paraId="39D9A03B" w14:textId="77777777" w:rsidR="00996AD7" w:rsidRDefault="00996AD7">
            <w:pPr>
              <w:rPr>
                <w:rFonts w:ascii="宋体"/>
                <w:vanish/>
              </w:rPr>
            </w:pPr>
          </w:p>
        </w:tc>
        <w:tc>
          <w:tcPr>
            <w:tcW w:w="0" w:type="auto"/>
            <w:gridSpan w:val="3"/>
            <w:shd w:val="clear" w:color="auto" w:fill="auto"/>
            <w:vAlign w:val="bottom"/>
          </w:tcPr>
          <w:p w14:paraId="39D9A03C" w14:textId="77777777" w:rsidR="00996AD7" w:rsidRDefault="00996AD7">
            <w:pPr>
              <w:rPr>
                <w:rFonts w:ascii="宋体"/>
                <w:vanish/>
              </w:rPr>
            </w:pPr>
          </w:p>
        </w:tc>
        <w:tc>
          <w:tcPr>
            <w:tcW w:w="0" w:type="auto"/>
            <w:gridSpan w:val="3"/>
            <w:shd w:val="clear" w:color="auto" w:fill="auto"/>
            <w:vAlign w:val="bottom"/>
          </w:tcPr>
          <w:p w14:paraId="39D9A03D" w14:textId="77777777" w:rsidR="00996AD7" w:rsidRDefault="00996AD7">
            <w:pPr>
              <w:rPr>
                <w:rFonts w:ascii="宋体"/>
                <w:vanish/>
              </w:rPr>
            </w:pPr>
          </w:p>
        </w:tc>
      </w:tr>
      <w:tr w:rsidR="00996AD7" w14:paraId="39D9A048" w14:textId="77777777">
        <w:trPr>
          <w:hidden/>
        </w:trPr>
        <w:tc>
          <w:tcPr>
            <w:tcW w:w="0" w:type="auto"/>
            <w:gridSpan w:val="3"/>
            <w:shd w:val="clear" w:color="auto" w:fill="auto"/>
            <w:vAlign w:val="bottom"/>
          </w:tcPr>
          <w:p w14:paraId="39D9A03F" w14:textId="77777777" w:rsidR="00996AD7" w:rsidRDefault="00996AD7">
            <w:pPr>
              <w:rPr>
                <w:rFonts w:ascii="宋体"/>
                <w:vanish/>
              </w:rPr>
            </w:pPr>
          </w:p>
        </w:tc>
        <w:tc>
          <w:tcPr>
            <w:tcW w:w="0" w:type="auto"/>
            <w:gridSpan w:val="3"/>
            <w:shd w:val="clear" w:color="auto" w:fill="auto"/>
            <w:vAlign w:val="bottom"/>
          </w:tcPr>
          <w:p w14:paraId="39D9A040" w14:textId="77777777" w:rsidR="00996AD7" w:rsidRDefault="00996AD7">
            <w:pPr>
              <w:rPr>
                <w:rFonts w:ascii="宋体"/>
                <w:vanish/>
              </w:rPr>
            </w:pPr>
          </w:p>
        </w:tc>
        <w:tc>
          <w:tcPr>
            <w:tcW w:w="0" w:type="auto"/>
            <w:gridSpan w:val="3"/>
            <w:shd w:val="clear" w:color="auto" w:fill="auto"/>
            <w:vAlign w:val="bottom"/>
          </w:tcPr>
          <w:p w14:paraId="39D9A041" w14:textId="77777777" w:rsidR="00996AD7" w:rsidRDefault="00996AD7">
            <w:pPr>
              <w:rPr>
                <w:rFonts w:ascii="宋体"/>
                <w:vanish/>
              </w:rPr>
            </w:pPr>
          </w:p>
        </w:tc>
        <w:tc>
          <w:tcPr>
            <w:tcW w:w="0" w:type="auto"/>
            <w:gridSpan w:val="3"/>
            <w:shd w:val="clear" w:color="auto" w:fill="auto"/>
            <w:vAlign w:val="bottom"/>
          </w:tcPr>
          <w:p w14:paraId="39D9A042" w14:textId="77777777" w:rsidR="00996AD7" w:rsidRDefault="00996AD7">
            <w:pPr>
              <w:rPr>
                <w:rFonts w:ascii="宋体"/>
                <w:vanish/>
              </w:rPr>
            </w:pPr>
          </w:p>
        </w:tc>
        <w:tc>
          <w:tcPr>
            <w:tcW w:w="0" w:type="auto"/>
            <w:gridSpan w:val="3"/>
            <w:shd w:val="clear" w:color="auto" w:fill="auto"/>
            <w:vAlign w:val="bottom"/>
          </w:tcPr>
          <w:p w14:paraId="39D9A043" w14:textId="77777777" w:rsidR="00996AD7" w:rsidRDefault="00996AD7">
            <w:pPr>
              <w:rPr>
                <w:rFonts w:ascii="宋体"/>
                <w:vanish/>
              </w:rPr>
            </w:pPr>
          </w:p>
        </w:tc>
        <w:tc>
          <w:tcPr>
            <w:tcW w:w="0" w:type="auto"/>
            <w:shd w:val="clear" w:color="auto" w:fill="auto"/>
            <w:vAlign w:val="bottom"/>
          </w:tcPr>
          <w:p w14:paraId="39D9A044" w14:textId="77777777" w:rsidR="00996AD7" w:rsidRDefault="00996AD7">
            <w:pPr>
              <w:rPr>
                <w:rFonts w:ascii="宋体"/>
                <w:vanish/>
              </w:rPr>
            </w:pPr>
          </w:p>
        </w:tc>
        <w:tc>
          <w:tcPr>
            <w:tcW w:w="0" w:type="auto"/>
            <w:shd w:val="clear" w:color="auto" w:fill="auto"/>
            <w:vAlign w:val="bottom"/>
          </w:tcPr>
          <w:p w14:paraId="39D9A045" w14:textId="77777777" w:rsidR="00996AD7" w:rsidRDefault="00996AD7">
            <w:pPr>
              <w:rPr>
                <w:rFonts w:ascii="宋体"/>
                <w:vanish/>
              </w:rPr>
            </w:pPr>
          </w:p>
        </w:tc>
        <w:tc>
          <w:tcPr>
            <w:tcW w:w="0" w:type="auto"/>
            <w:gridSpan w:val="3"/>
            <w:shd w:val="clear" w:color="auto" w:fill="auto"/>
            <w:vAlign w:val="bottom"/>
          </w:tcPr>
          <w:p w14:paraId="39D9A046" w14:textId="77777777" w:rsidR="00996AD7" w:rsidRDefault="00996AD7">
            <w:pPr>
              <w:rPr>
                <w:rFonts w:ascii="宋体"/>
                <w:vanish/>
              </w:rPr>
            </w:pPr>
          </w:p>
        </w:tc>
        <w:tc>
          <w:tcPr>
            <w:tcW w:w="0" w:type="auto"/>
            <w:gridSpan w:val="3"/>
            <w:shd w:val="clear" w:color="auto" w:fill="auto"/>
            <w:vAlign w:val="bottom"/>
          </w:tcPr>
          <w:p w14:paraId="39D9A047" w14:textId="77777777" w:rsidR="00996AD7" w:rsidRDefault="00996AD7">
            <w:pPr>
              <w:rPr>
                <w:rFonts w:ascii="宋体"/>
                <w:vanish/>
              </w:rPr>
            </w:pPr>
          </w:p>
        </w:tc>
      </w:tr>
      <w:tr w:rsidR="00996AD7" w14:paraId="39D9A052" w14:textId="77777777">
        <w:trPr>
          <w:hidden/>
        </w:trPr>
        <w:tc>
          <w:tcPr>
            <w:tcW w:w="0" w:type="auto"/>
            <w:gridSpan w:val="3"/>
            <w:shd w:val="clear" w:color="auto" w:fill="auto"/>
            <w:vAlign w:val="bottom"/>
          </w:tcPr>
          <w:p w14:paraId="39D9A049" w14:textId="77777777" w:rsidR="00996AD7" w:rsidRDefault="00996AD7">
            <w:pPr>
              <w:rPr>
                <w:rFonts w:ascii="宋体"/>
                <w:vanish/>
              </w:rPr>
            </w:pPr>
          </w:p>
        </w:tc>
        <w:tc>
          <w:tcPr>
            <w:tcW w:w="0" w:type="auto"/>
            <w:gridSpan w:val="3"/>
            <w:shd w:val="clear" w:color="auto" w:fill="auto"/>
            <w:vAlign w:val="bottom"/>
          </w:tcPr>
          <w:p w14:paraId="39D9A04A" w14:textId="77777777" w:rsidR="00996AD7" w:rsidRDefault="00996AD7">
            <w:pPr>
              <w:rPr>
                <w:rFonts w:ascii="宋体"/>
                <w:vanish/>
              </w:rPr>
            </w:pPr>
          </w:p>
        </w:tc>
        <w:tc>
          <w:tcPr>
            <w:tcW w:w="0" w:type="auto"/>
            <w:gridSpan w:val="3"/>
            <w:shd w:val="clear" w:color="auto" w:fill="auto"/>
            <w:vAlign w:val="bottom"/>
          </w:tcPr>
          <w:p w14:paraId="39D9A04B" w14:textId="77777777" w:rsidR="00996AD7" w:rsidRDefault="00996AD7">
            <w:pPr>
              <w:rPr>
                <w:rFonts w:ascii="宋体"/>
                <w:vanish/>
              </w:rPr>
            </w:pPr>
          </w:p>
        </w:tc>
        <w:tc>
          <w:tcPr>
            <w:tcW w:w="0" w:type="auto"/>
            <w:gridSpan w:val="3"/>
            <w:shd w:val="clear" w:color="auto" w:fill="auto"/>
            <w:vAlign w:val="bottom"/>
          </w:tcPr>
          <w:p w14:paraId="39D9A04C" w14:textId="77777777" w:rsidR="00996AD7" w:rsidRDefault="00996AD7">
            <w:pPr>
              <w:rPr>
                <w:rFonts w:ascii="宋体"/>
                <w:vanish/>
              </w:rPr>
            </w:pPr>
          </w:p>
        </w:tc>
        <w:tc>
          <w:tcPr>
            <w:tcW w:w="0" w:type="auto"/>
            <w:gridSpan w:val="3"/>
            <w:shd w:val="clear" w:color="auto" w:fill="auto"/>
            <w:vAlign w:val="bottom"/>
          </w:tcPr>
          <w:p w14:paraId="39D9A04D" w14:textId="77777777" w:rsidR="00996AD7" w:rsidRDefault="00996AD7">
            <w:pPr>
              <w:rPr>
                <w:rFonts w:ascii="宋体"/>
                <w:vanish/>
              </w:rPr>
            </w:pPr>
          </w:p>
        </w:tc>
        <w:tc>
          <w:tcPr>
            <w:tcW w:w="0" w:type="auto"/>
            <w:shd w:val="clear" w:color="auto" w:fill="auto"/>
            <w:vAlign w:val="bottom"/>
          </w:tcPr>
          <w:p w14:paraId="39D9A04E" w14:textId="77777777" w:rsidR="00996AD7" w:rsidRDefault="00996AD7">
            <w:pPr>
              <w:rPr>
                <w:rFonts w:ascii="宋体"/>
                <w:vanish/>
              </w:rPr>
            </w:pPr>
          </w:p>
        </w:tc>
        <w:tc>
          <w:tcPr>
            <w:tcW w:w="0" w:type="auto"/>
            <w:shd w:val="clear" w:color="auto" w:fill="auto"/>
            <w:vAlign w:val="bottom"/>
          </w:tcPr>
          <w:p w14:paraId="39D9A04F" w14:textId="77777777" w:rsidR="00996AD7" w:rsidRDefault="00996AD7">
            <w:pPr>
              <w:rPr>
                <w:rFonts w:ascii="宋体"/>
                <w:vanish/>
              </w:rPr>
            </w:pPr>
          </w:p>
        </w:tc>
        <w:tc>
          <w:tcPr>
            <w:tcW w:w="0" w:type="auto"/>
            <w:gridSpan w:val="3"/>
            <w:shd w:val="clear" w:color="auto" w:fill="auto"/>
            <w:vAlign w:val="bottom"/>
          </w:tcPr>
          <w:p w14:paraId="39D9A050" w14:textId="77777777" w:rsidR="00996AD7" w:rsidRDefault="00996AD7">
            <w:pPr>
              <w:rPr>
                <w:rFonts w:ascii="宋体"/>
                <w:vanish/>
              </w:rPr>
            </w:pPr>
          </w:p>
        </w:tc>
        <w:tc>
          <w:tcPr>
            <w:tcW w:w="0" w:type="auto"/>
            <w:gridSpan w:val="3"/>
            <w:shd w:val="clear" w:color="auto" w:fill="auto"/>
            <w:vAlign w:val="bottom"/>
          </w:tcPr>
          <w:p w14:paraId="39D9A051" w14:textId="77777777" w:rsidR="00996AD7" w:rsidRDefault="00996AD7">
            <w:pPr>
              <w:rPr>
                <w:rFonts w:ascii="宋体"/>
                <w:vanish/>
              </w:rPr>
            </w:pPr>
          </w:p>
        </w:tc>
      </w:tr>
      <w:tr w:rsidR="00996AD7" w14:paraId="39D9A05E" w14:textId="77777777">
        <w:tc>
          <w:tcPr>
            <w:tcW w:w="0" w:type="auto"/>
            <w:gridSpan w:val="3"/>
            <w:shd w:val="clear" w:color="auto" w:fill="auto"/>
            <w:tcMar>
              <w:top w:w="40" w:type="dxa"/>
              <w:left w:w="245" w:type="dxa"/>
              <w:bottom w:w="40" w:type="dxa"/>
              <w:right w:w="20" w:type="dxa"/>
            </w:tcMar>
            <w:vAlign w:val="bottom"/>
          </w:tcPr>
          <w:p w14:paraId="39D9A053" w14:textId="77777777" w:rsidR="00996AD7" w:rsidRDefault="00D96458">
            <w:pPr>
              <w:textAlignment w:val="bottom"/>
            </w:pPr>
            <w:r>
              <w:rPr>
                <w:rFonts w:ascii="Arial" w:eastAsia="宋体" w:hAnsi="Arial" w:cs="Arial"/>
                <w:color w:val="262626"/>
                <w:sz w:val="18"/>
                <w:szCs w:val="18"/>
              </w:rPr>
              <w:t xml:space="preserve">Ongoing mark-to-market on marketable equity securities </w:t>
            </w:r>
          </w:p>
        </w:tc>
        <w:tc>
          <w:tcPr>
            <w:tcW w:w="0" w:type="auto"/>
            <w:gridSpan w:val="3"/>
            <w:shd w:val="clear" w:color="auto" w:fill="auto"/>
            <w:tcMar>
              <w:top w:w="0" w:type="dxa"/>
              <w:left w:w="20" w:type="dxa"/>
              <w:bottom w:w="0" w:type="dxa"/>
              <w:right w:w="20" w:type="dxa"/>
            </w:tcMar>
            <w:vAlign w:val="bottom"/>
          </w:tcPr>
          <w:p w14:paraId="39D9A054"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A055" w14:textId="77777777" w:rsidR="00996AD7" w:rsidRDefault="00D96458">
            <w:pPr>
              <w:jc w:val="right"/>
              <w:textAlignment w:val="bottom"/>
            </w:pPr>
            <w:r>
              <w:rPr>
                <w:rFonts w:ascii="Arial" w:eastAsia="宋体" w:hAnsi="Arial" w:cs="Arial"/>
                <w:color w:val="0068B5"/>
                <w:sz w:val="18"/>
                <w:szCs w:val="18"/>
              </w:rPr>
              <w:t>0.04 </w:t>
            </w:r>
          </w:p>
        </w:tc>
        <w:tc>
          <w:tcPr>
            <w:tcW w:w="0" w:type="auto"/>
            <w:shd w:val="clear" w:color="auto" w:fill="auto"/>
            <w:tcMar>
              <w:top w:w="40" w:type="dxa"/>
              <w:left w:w="0" w:type="dxa"/>
              <w:bottom w:w="40" w:type="dxa"/>
              <w:right w:w="20" w:type="dxa"/>
            </w:tcMar>
            <w:vAlign w:val="bottom"/>
          </w:tcPr>
          <w:p w14:paraId="39D9A056"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A057"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A058" w14:textId="77777777" w:rsidR="00996AD7" w:rsidRDefault="00D96458">
            <w:pPr>
              <w:jc w:val="right"/>
              <w:textAlignment w:val="bottom"/>
            </w:pPr>
            <w:r>
              <w:rPr>
                <w:rFonts w:ascii="Arial" w:eastAsia="宋体" w:hAnsi="Arial" w:cs="Arial"/>
                <w:color w:val="262626"/>
                <w:sz w:val="18"/>
                <w:szCs w:val="18"/>
              </w:rPr>
              <w:t>0.03 </w:t>
            </w:r>
          </w:p>
        </w:tc>
        <w:tc>
          <w:tcPr>
            <w:tcW w:w="0" w:type="auto"/>
            <w:shd w:val="clear" w:color="auto" w:fill="auto"/>
            <w:tcMar>
              <w:top w:w="40" w:type="dxa"/>
              <w:left w:w="0" w:type="dxa"/>
              <w:bottom w:w="40" w:type="dxa"/>
              <w:right w:w="20" w:type="dxa"/>
            </w:tcMar>
            <w:vAlign w:val="bottom"/>
          </w:tcPr>
          <w:p w14:paraId="39D9A059" w14:textId="77777777" w:rsidR="00996AD7" w:rsidRDefault="00996AD7">
            <w:pPr>
              <w:jc w:val="right"/>
              <w:rPr>
                <w:rFonts w:ascii="宋体"/>
              </w:rPr>
            </w:pPr>
          </w:p>
        </w:tc>
        <w:tc>
          <w:tcPr>
            <w:tcW w:w="0" w:type="auto"/>
            <w:shd w:val="clear" w:color="auto" w:fill="auto"/>
            <w:vAlign w:val="bottom"/>
          </w:tcPr>
          <w:p w14:paraId="39D9A05A" w14:textId="77777777" w:rsidR="00996AD7" w:rsidRDefault="00996AD7">
            <w:pPr>
              <w:rPr>
                <w:rFonts w:ascii="宋体"/>
                <w:vanish/>
              </w:rPr>
            </w:pPr>
          </w:p>
        </w:tc>
        <w:tc>
          <w:tcPr>
            <w:tcW w:w="0" w:type="auto"/>
            <w:shd w:val="clear" w:color="auto" w:fill="auto"/>
            <w:vAlign w:val="bottom"/>
          </w:tcPr>
          <w:p w14:paraId="39D9A05B" w14:textId="77777777" w:rsidR="00996AD7" w:rsidRDefault="00996AD7">
            <w:pPr>
              <w:rPr>
                <w:rFonts w:ascii="宋体"/>
                <w:vanish/>
              </w:rPr>
            </w:pPr>
          </w:p>
        </w:tc>
        <w:tc>
          <w:tcPr>
            <w:tcW w:w="0" w:type="auto"/>
            <w:gridSpan w:val="3"/>
            <w:shd w:val="clear" w:color="auto" w:fill="auto"/>
            <w:vAlign w:val="bottom"/>
          </w:tcPr>
          <w:p w14:paraId="39D9A05C" w14:textId="77777777" w:rsidR="00996AD7" w:rsidRDefault="00996AD7">
            <w:pPr>
              <w:rPr>
                <w:rFonts w:ascii="宋体"/>
                <w:vanish/>
              </w:rPr>
            </w:pPr>
          </w:p>
        </w:tc>
        <w:tc>
          <w:tcPr>
            <w:tcW w:w="0" w:type="auto"/>
            <w:gridSpan w:val="3"/>
            <w:shd w:val="clear" w:color="auto" w:fill="auto"/>
            <w:vAlign w:val="bottom"/>
          </w:tcPr>
          <w:p w14:paraId="39D9A05D" w14:textId="77777777" w:rsidR="00996AD7" w:rsidRDefault="00996AD7">
            <w:pPr>
              <w:rPr>
                <w:rFonts w:ascii="宋体"/>
                <w:vanish/>
              </w:rPr>
            </w:pPr>
          </w:p>
        </w:tc>
      </w:tr>
      <w:tr w:rsidR="00996AD7" w14:paraId="39D9A068" w14:textId="77777777">
        <w:trPr>
          <w:hidden/>
        </w:trPr>
        <w:tc>
          <w:tcPr>
            <w:tcW w:w="0" w:type="auto"/>
            <w:gridSpan w:val="3"/>
            <w:shd w:val="clear" w:color="auto" w:fill="auto"/>
            <w:vAlign w:val="bottom"/>
          </w:tcPr>
          <w:p w14:paraId="39D9A05F" w14:textId="77777777" w:rsidR="00996AD7" w:rsidRDefault="00996AD7">
            <w:pPr>
              <w:rPr>
                <w:rFonts w:ascii="宋体"/>
                <w:vanish/>
              </w:rPr>
            </w:pPr>
          </w:p>
        </w:tc>
        <w:tc>
          <w:tcPr>
            <w:tcW w:w="0" w:type="auto"/>
            <w:gridSpan w:val="3"/>
            <w:shd w:val="clear" w:color="auto" w:fill="auto"/>
            <w:vAlign w:val="bottom"/>
          </w:tcPr>
          <w:p w14:paraId="39D9A060" w14:textId="77777777" w:rsidR="00996AD7" w:rsidRDefault="00996AD7">
            <w:pPr>
              <w:rPr>
                <w:rFonts w:ascii="宋体"/>
                <w:vanish/>
              </w:rPr>
            </w:pPr>
          </w:p>
        </w:tc>
        <w:tc>
          <w:tcPr>
            <w:tcW w:w="0" w:type="auto"/>
            <w:gridSpan w:val="3"/>
            <w:shd w:val="clear" w:color="auto" w:fill="auto"/>
            <w:vAlign w:val="bottom"/>
          </w:tcPr>
          <w:p w14:paraId="39D9A061" w14:textId="77777777" w:rsidR="00996AD7" w:rsidRDefault="00996AD7">
            <w:pPr>
              <w:rPr>
                <w:rFonts w:ascii="宋体"/>
                <w:vanish/>
              </w:rPr>
            </w:pPr>
          </w:p>
        </w:tc>
        <w:tc>
          <w:tcPr>
            <w:tcW w:w="0" w:type="auto"/>
            <w:gridSpan w:val="3"/>
            <w:shd w:val="clear" w:color="auto" w:fill="auto"/>
            <w:vAlign w:val="bottom"/>
          </w:tcPr>
          <w:p w14:paraId="39D9A062" w14:textId="77777777" w:rsidR="00996AD7" w:rsidRDefault="00996AD7">
            <w:pPr>
              <w:rPr>
                <w:rFonts w:ascii="宋体"/>
                <w:vanish/>
              </w:rPr>
            </w:pPr>
          </w:p>
        </w:tc>
        <w:tc>
          <w:tcPr>
            <w:tcW w:w="0" w:type="auto"/>
            <w:gridSpan w:val="3"/>
            <w:shd w:val="clear" w:color="auto" w:fill="auto"/>
            <w:vAlign w:val="bottom"/>
          </w:tcPr>
          <w:p w14:paraId="39D9A063" w14:textId="77777777" w:rsidR="00996AD7" w:rsidRDefault="00996AD7">
            <w:pPr>
              <w:rPr>
                <w:rFonts w:ascii="宋体"/>
                <w:vanish/>
              </w:rPr>
            </w:pPr>
          </w:p>
        </w:tc>
        <w:tc>
          <w:tcPr>
            <w:tcW w:w="0" w:type="auto"/>
            <w:shd w:val="clear" w:color="auto" w:fill="auto"/>
            <w:vAlign w:val="bottom"/>
          </w:tcPr>
          <w:p w14:paraId="39D9A064" w14:textId="77777777" w:rsidR="00996AD7" w:rsidRDefault="00996AD7">
            <w:pPr>
              <w:rPr>
                <w:rFonts w:ascii="宋体"/>
                <w:vanish/>
              </w:rPr>
            </w:pPr>
          </w:p>
        </w:tc>
        <w:tc>
          <w:tcPr>
            <w:tcW w:w="0" w:type="auto"/>
            <w:shd w:val="clear" w:color="auto" w:fill="auto"/>
            <w:vAlign w:val="bottom"/>
          </w:tcPr>
          <w:p w14:paraId="39D9A065" w14:textId="77777777" w:rsidR="00996AD7" w:rsidRDefault="00996AD7">
            <w:pPr>
              <w:rPr>
                <w:rFonts w:ascii="宋体"/>
                <w:vanish/>
              </w:rPr>
            </w:pPr>
          </w:p>
        </w:tc>
        <w:tc>
          <w:tcPr>
            <w:tcW w:w="0" w:type="auto"/>
            <w:gridSpan w:val="3"/>
            <w:shd w:val="clear" w:color="auto" w:fill="auto"/>
            <w:vAlign w:val="bottom"/>
          </w:tcPr>
          <w:p w14:paraId="39D9A066" w14:textId="77777777" w:rsidR="00996AD7" w:rsidRDefault="00996AD7">
            <w:pPr>
              <w:rPr>
                <w:rFonts w:ascii="宋体"/>
                <w:vanish/>
              </w:rPr>
            </w:pPr>
          </w:p>
        </w:tc>
        <w:tc>
          <w:tcPr>
            <w:tcW w:w="0" w:type="auto"/>
            <w:gridSpan w:val="3"/>
            <w:shd w:val="clear" w:color="auto" w:fill="auto"/>
            <w:vAlign w:val="bottom"/>
          </w:tcPr>
          <w:p w14:paraId="39D9A067" w14:textId="77777777" w:rsidR="00996AD7" w:rsidRDefault="00996AD7">
            <w:pPr>
              <w:rPr>
                <w:rFonts w:ascii="宋体"/>
                <w:vanish/>
              </w:rPr>
            </w:pPr>
          </w:p>
        </w:tc>
      </w:tr>
      <w:tr w:rsidR="00996AD7" w14:paraId="39D9A074" w14:textId="77777777">
        <w:tc>
          <w:tcPr>
            <w:tcW w:w="0" w:type="auto"/>
            <w:gridSpan w:val="3"/>
            <w:shd w:val="clear" w:color="auto" w:fill="auto"/>
            <w:tcMar>
              <w:top w:w="40" w:type="dxa"/>
              <w:left w:w="245" w:type="dxa"/>
              <w:bottom w:w="40" w:type="dxa"/>
              <w:right w:w="20" w:type="dxa"/>
            </w:tcMar>
            <w:vAlign w:val="bottom"/>
          </w:tcPr>
          <w:p w14:paraId="39D9A069" w14:textId="77777777" w:rsidR="00996AD7" w:rsidRDefault="00D96458">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39D9A06A"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A06B" w14:textId="77777777" w:rsidR="00996AD7" w:rsidRDefault="00D96458">
            <w:pPr>
              <w:jc w:val="right"/>
              <w:textAlignment w:val="bottom"/>
            </w:pPr>
            <w:r>
              <w:rPr>
                <w:rFonts w:ascii="Arial" w:eastAsia="宋体" w:hAnsi="Arial" w:cs="Arial"/>
                <w:color w:val="0068B5"/>
                <w:sz w:val="18"/>
                <w:szCs w:val="18"/>
              </w:rPr>
              <w:t>(0.10)</w:t>
            </w:r>
          </w:p>
        </w:tc>
        <w:tc>
          <w:tcPr>
            <w:tcW w:w="0" w:type="auto"/>
            <w:shd w:val="clear" w:color="auto" w:fill="auto"/>
            <w:tcMar>
              <w:top w:w="40" w:type="dxa"/>
              <w:left w:w="0" w:type="dxa"/>
              <w:bottom w:w="40" w:type="dxa"/>
              <w:right w:w="20" w:type="dxa"/>
            </w:tcMar>
            <w:vAlign w:val="bottom"/>
          </w:tcPr>
          <w:p w14:paraId="39D9A06C"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A06D"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A06E" w14:textId="77777777" w:rsidR="00996AD7" w:rsidRDefault="00D96458">
            <w:pPr>
              <w:jc w:val="right"/>
              <w:textAlignment w:val="bottom"/>
            </w:pPr>
            <w:r>
              <w:rPr>
                <w:rFonts w:ascii="Arial" w:eastAsia="宋体" w:hAnsi="Arial" w:cs="Arial"/>
                <w:color w:val="262626"/>
                <w:sz w:val="18"/>
                <w:szCs w:val="18"/>
              </w:rPr>
              <w:t>(0.04)</w:t>
            </w:r>
          </w:p>
        </w:tc>
        <w:tc>
          <w:tcPr>
            <w:tcW w:w="0" w:type="auto"/>
            <w:shd w:val="clear" w:color="auto" w:fill="auto"/>
            <w:tcMar>
              <w:top w:w="40" w:type="dxa"/>
              <w:left w:w="0" w:type="dxa"/>
              <w:bottom w:w="40" w:type="dxa"/>
              <w:right w:w="20" w:type="dxa"/>
            </w:tcMar>
            <w:vAlign w:val="bottom"/>
          </w:tcPr>
          <w:p w14:paraId="39D9A06F" w14:textId="77777777" w:rsidR="00996AD7" w:rsidRDefault="00996AD7">
            <w:pPr>
              <w:jc w:val="right"/>
              <w:rPr>
                <w:rFonts w:ascii="宋体"/>
              </w:rPr>
            </w:pPr>
          </w:p>
        </w:tc>
        <w:tc>
          <w:tcPr>
            <w:tcW w:w="0" w:type="auto"/>
            <w:shd w:val="clear" w:color="auto" w:fill="auto"/>
            <w:vAlign w:val="bottom"/>
          </w:tcPr>
          <w:p w14:paraId="39D9A070" w14:textId="77777777" w:rsidR="00996AD7" w:rsidRDefault="00996AD7">
            <w:pPr>
              <w:rPr>
                <w:rFonts w:ascii="宋体"/>
                <w:vanish/>
              </w:rPr>
            </w:pPr>
          </w:p>
        </w:tc>
        <w:tc>
          <w:tcPr>
            <w:tcW w:w="0" w:type="auto"/>
            <w:shd w:val="clear" w:color="auto" w:fill="auto"/>
            <w:vAlign w:val="bottom"/>
          </w:tcPr>
          <w:p w14:paraId="39D9A071" w14:textId="77777777" w:rsidR="00996AD7" w:rsidRDefault="00996AD7">
            <w:pPr>
              <w:rPr>
                <w:rFonts w:ascii="宋体"/>
                <w:vanish/>
              </w:rPr>
            </w:pPr>
          </w:p>
        </w:tc>
        <w:tc>
          <w:tcPr>
            <w:tcW w:w="0" w:type="auto"/>
            <w:gridSpan w:val="3"/>
            <w:shd w:val="clear" w:color="auto" w:fill="auto"/>
            <w:vAlign w:val="bottom"/>
          </w:tcPr>
          <w:p w14:paraId="39D9A072" w14:textId="77777777" w:rsidR="00996AD7" w:rsidRDefault="00996AD7">
            <w:pPr>
              <w:rPr>
                <w:rFonts w:ascii="宋体"/>
                <w:vanish/>
              </w:rPr>
            </w:pPr>
          </w:p>
        </w:tc>
        <w:tc>
          <w:tcPr>
            <w:tcW w:w="0" w:type="auto"/>
            <w:gridSpan w:val="3"/>
            <w:shd w:val="clear" w:color="auto" w:fill="auto"/>
            <w:vAlign w:val="bottom"/>
          </w:tcPr>
          <w:p w14:paraId="39D9A073" w14:textId="77777777" w:rsidR="00996AD7" w:rsidRDefault="00996AD7">
            <w:pPr>
              <w:rPr>
                <w:rFonts w:ascii="宋体"/>
                <w:vanish/>
              </w:rPr>
            </w:pPr>
          </w:p>
        </w:tc>
      </w:tr>
      <w:tr w:rsidR="00996AD7" w14:paraId="39D9A080" w14:textId="77777777">
        <w:tc>
          <w:tcPr>
            <w:tcW w:w="0" w:type="auto"/>
            <w:gridSpan w:val="3"/>
            <w:shd w:val="clear" w:color="auto" w:fill="auto"/>
            <w:tcMar>
              <w:top w:w="40" w:type="dxa"/>
              <w:left w:w="245" w:type="dxa"/>
              <w:bottom w:w="40" w:type="dxa"/>
              <w:right w:w="20" w:type="dxa"/>
            </w:tcMar>
            <w:vAlign w:val="bottom"/>
          </w:tcPr>
          <w:p w14:paraId="39D9A075" w14:textId="77777777" w:rsidR="00996AD7" w:rsidRDefault="00D96458">
            <w:pPr>
              <w:textAlignment w:val="bottom"/>
            </w:pPr>
            <w:r>
              <w:rPr>
                <w:rFonts w:ascii="Arial" w:eastAsia="宋体" w:hAnsi="Arial" w:cs="Arial"/>
                <w:color w:val="262626"/>
                <w:sz w:val="18"/>
                <w:szCs w:val="18"/>
              </w:rPr>
              <w:t>Income tax effects</w:t>
            </w:r>
          </w:p>
        </w:tc>
        <w:tc>
          <w:tcPr>
            <w:tcW w:w="0" w:type="auto"/>
            <w:gridSpan w:val="3"/>
            <w:shd w:val="clear" w:color="auto" w:fill="auto"/>
            <w:tcMar>
              <w:top w:w="0" w:type="dxa"/>
              <w:left w:w="20" w:type="dxa"/>
              <w:bottom w:w="0" w:type="dxa"/>
              <w:right w:w="20" w:type="dxa"/>
            </w:tcMar>
            <w:vAlign w:val="bottom"/>
          </w:tcPr>
          <w:p w14:paraId="39D9A076"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A077" w14:textId="77777777" w:rsidR="00996AD7" w:rsidRDefault="00D964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39D9A07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A079"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A07A" w14:textId="77777777" w:rsidR="00996AD7" w:rsidRDefault="00D96458">
            <w:pPr>
              <w:jc w:val="right"/>
              <w:textAlignment w:val="bottom"/>
            </w:pPr>
            <w:r>
              <w:rPr>
                <w:rFonts w:ascii="Arial" w:eastAsia="宋体" w:hAnsi="Arial" w:cs="Arial"/>
                <w:color w:val="262626"/>
                <w:sz w:val="18"/>
                <w:szCs w:val="18"/>
              </w:rPr>
              <w:t>(0.01)</w:t>
            </w:r>
          </w:p>
        </w:tc>
        <w:tc>
          <w:tcPr>
            <w:tcW w:w="0" w:type="auto"/>
            <w:shd w:val="clear" w:color="auto" w:fill="auto"/>
            <w:tcMar>
              <w:top w:w="40" w:type="dxa"/>
              <w:left w:w="0" w:type="dxa"/>
              <w:bottom w:w="40" w:type="dxa"/>
              <w:right w:w="20" w:type="dxa"/>
            </w:tcMar>
            <w:vAlign w:val="bottom"/>
          </w:tcPr>
          <w:p w14:paraId="39D9A07B" w14:textId="77777777" w:rsidR="00996AD7" w:rsidRDefault="00996AD7">
            <w:pPr>
              <w:jc w:val="right"/>
              <w:rPr>
                <w:rFonts w:ascii="宋体"/>
              </w:rPr>
            </w:pPr>
          </w:p>
        </w:tc>
        <w:tc>
          <w:tcPr>
            <w:tcW w:w="0" w:type="auto"/>
            <w:shd w:val="clear" w:color="auto" w:fill="auto"/>
            <w:vAlign w:val="bottom"/>
          </w:tcPr>
          <w:p w14:paraId="39D9A07C" w14:textId="77777777" w:rsidR="00996AD7" w:rsidRDefault="00996AD7">
            <w:pPr>
              <w:rPr>
                <w:rFonts w:ascii="宋体"/>
                <w:vanish/>
              </w:rPr>
            </w:pPr>
          </w:p>
        </w:tc>
        <w:tc>
          <w:tcPr>
            <w:tcW w:w="0" w:type="auto"/>
            <w:shd w:val="clear" w:color="auto" w:fill="auto"/>
            <w:vAlign w:val="bottom"/>
          </w:tcPr>
          <w:p w14:paraId="39D9A07D" w14:textId="77777777" w:rsidR="00996AD7" w:rsidRDefault="00996AD7">
            <w:pPr>
              <w:rPr>
                <w:rFonts w:ascii="宋体"/>
                <w:vanish/>
              </w:rPr>
            </w:pPr>
          </w:p>
        </w:tc>
        <w:tc>
          <w:tcPr>
            <w:tcW w:w="0" w:type="auto"/>
            <w:gridSpan w:val="3"/>
            <w:shd w:val="clear" w:color="auto" w:fill="auto"/>
            <w:vAlign w:val="bottom"/>
          </w:tcPr>
          <w:p w14:paraId="39D9A07E" w14:textId="77777777" w:rsidR="00996AD7" w:rsidRDefault="00996AD7">
            <w:pPr>
              <w:rPr>
                <w:rFonts w:ascii="宋体"/>
                <w:vanish/>
              </w:rPr>
            </w:pPr>
          </w:p>
        </w:tc>
        <w:tc>
          <w:tcPr>
            <w:tcW w:w="0" w:type="auto"/>
            <w:gridSpan w:val="3"/>
            <w:shd w:val="clear" w:color="auto" w:fill="auto"/>
            <w:vAlign w:val="bottom"/>
          </w:tcPr>
          <w:p w14:paraId="39D9A07F" w14:textId="77777777" w:rsidR="00996AD7" w:rsidRDefault="00996AD7">
            <w:pPr>
              <w:rPr>
                <w:rFonts w:ascii="宋体"/>
                <w:vanish/>
              </w:rPr>
            </w:pPr>
          </w:p>
        </w:tc>
      </w:tr>
      <w:tr w:rsidR="00996AD7" w14:paraId="39D9A08A" w14:textId="77777777">
        <w:trPr>
          <w:hidden/>
        </w:trPr>
        <w:tc>
          <w:tcPr>
            <w:tcW w:w="0" w:type="auto"/>
            <w:gridSpan w:val="3"/>
            <w:shd w:val="clear" w:color="auto" w:fill="auto"/>
            <w:vAlign w:val="bottom"/>
          </w:tcPr>
          <w:p w14:paraId="39D9A081" w14:textId="77777777" w:rsidR="00996AD7" w:rsidRDefault="00996AD7">
            <w:pPr>
              <w:rPr>
                <w:rFonts w:ascii="宋体"/>
                <w:vanish/>
              </w:rPr>
            </w:pPr>
          </w:p>
        </w:tc>
        <w:tc>
          <w:tcPr>
            <w:tcW w:w="0" w:type="auto"/>
            <w:gridSpan w:val="3"/>
            <w:shd w:val="clear" w:color="auto" w:fill="auto"/>
            <w:vAlign w:val="bottom"/>
          </w:tcPr>
          <w:p w14:paraId="39D9A082" w14:textId="77777777" w:rsidR="00996AD7" w:rsidRDefault="00996AD7">
            <w:pPr>
              <w:rPr>
                <w:rFonts w:ascii="宋体"/>
                <w:vanish/>
              </w:rPr>
            </w:pPr>
          </w:p>
        </w:tc>
        <w:tc>
          <w:tcPr>
            <w:tcW w:w="0" w:type="auto"/>
            <w:gridSpan w:val="3"/>
            <w:shd w:val="clear" w:color="auto" w:fill="auto"/>
            <w:vAlign w:val="bottom"/>
          </w:tcPr>
          <w:p w14:paraId="39D9A083" w14:textId="77777777" w:rsidR="00996AD7" w:rsidRDefault="00996AD7">
            <w:pPr>
              <w:rPr>
                <w:rFonts w:ascii="宋体"/>
                <w:vanish/>
              </w:rPr>
            </w:pPr>
          </w:p>
        </w:tc>
        <w:tc>
          <w:tcPr>
            <w:tcW w:w="0" w:type="auto"/>
            <w:gridSpan w:val="3"/>
            <w:shd w:val="clear" w:color="auto" w:fill="auto"/>
            <w:vAlign w:val="bottom"/>
          </w:tcPr>
          <w:p w14:paraId="39D9A084" w14:textId="77777777" w:rsidR="00996AD7" w:rsidRDefault="00996AD7">
            <w:pPr>
              <w:rPr>
                <w:rFonts w:ascii="宋体"/>
                <w:vanish/>
              </w:rPr>
            </w:pPr>
          </w:p>
        </w:tc>
        <w:tc>
          <w:tcPr>
            <w:tcW w:w="0" w:type="auto"/>
            <w:gridSpan w:val="3"/>
            <w:shd w:val="clear" w:color="auto" w:fill="auto"/>
            <w:vAlign w:val="bottom"/>
          </w:tcPr>
          <w:p w14:paraId="39D9A085" w14:textId="77777777" w:rsidR="00996AD7" w:rsidRDefault="00996AD7">
            <w:pPr>
              <w:rPr>
                <w:rFonts w:ascii="宋体"/>
                <w:vanish/>
              </w:rPr>
            </w:pPr>
          </w:p>
        </w:tc>
        <w:tc>
          <w:tcPr>
            <w:tcW w:w="0" w:type="auto"/>
            <w:shd w:val="clear" w:color="auto" w:fill="auto"/>
            <w:vAlign w:val="bottom"/>
          </w:tcPr>
          <w:p w14:paraId="39D9A086" w14:textId="77777777" w:rsidR="00996AD7" w:rsidRDefault="00996AD7">
            <w:pPr>
              <w:rPr>
                <w:rFonts w:ascii="宋体"/>
                <w:vanish/>
              </w:rPr>
            </w:pPr>
          </w:p>
        </w:tc>
        <w:tc>
          <w:tcPr>
            <w:tcW w:w="0" w:type="auto"/>
            <w:shd w:val="clear" w:color="auto" w:fill="auto"/>
            <w:vAlign w:val="bottom"/>
          </w:tcPr>
          <w:p w14:paraId="39D9A087" w14:textId="77777777" w:rsidR="00996AD7" w:rsidRDefault="00996AD7">
            <w:pPr>
              <w:rPr>
                <w:rFonts w:ascii="宋体"/>
                <w:vanish/>
              </w:rPr>
            </w:pPr>
          </w:p>
        </w:tc>
        <w:tc>
          <w:tcPr>
            <w:tcW w:w="0" w:type="auto"/>
            <w:gridSpan w:val="3"/>
            <w:shd w:val="clear" w:color="auto" w:fill="auto"/>
            <w:vAlign w:val="bottom"/>
          </w:tcPr>
          <w:p w14:paraId="39D9A088" w14:textId="77777777" w:rsidR="00996AD7" w:rsidRDefault="00996AD7">
            <w:pPr>
              <w:rPr>
                <w:rFonts w:ascii="宋体"/>
                <w:vanish/>
              </w:rPr>
            </w:pPr>
          </w:p>
        </w:tc>
        <w:tc>
          <w:tcPr>
            <w:tcW w:w="0" w:type="auto"/>
            <w:gridSpan w:val="3"/>
            <w:shd w:val="clear" w:color="auto" w:fill="auto"/>
            <w:vAlign w:val="bottom"/>
          </w:tcPr>
          <w:p w14:paraId="39D9A089" w14:textId="77777777" w:rsidR="00996AD7" w:rsidRDefault="00996AD7">
            <w:pPr>
              <w:rPr>
                <w:rFonts w:ascii="宋体"/>
                <w:vanish/>
              </w:rPr>
            </w:pPr>
          </w:p>
        </w:tc>
      </w:tr>
      <w:tr w:rsidR="00996AD7" w14:paraId="39D9A098" w14:textId="77777777">
        <w:tc>
          <w:tcPr>
            <w:tcW w:w="0" w:type="auto"/>
            <w:gridSpan w:val="3"/>
            <w:shd w:val="clear" w:color="auto" w:fill="auto"/>
            <w:tcMar>
              <w:top w:w="40" w:type="dxa"/>
              <w:left w:w="20" w:type="dxa"/>
              <w:bottom w:w="40" w:type="dxa"/>
              <w:right w:w="20" w:type="dxa"/>
            </w:tcMar>
            <w:vAlign w:val="bottom"/>
          </w:tcPr>
          <w:p w14:paraId="39D9A08B" w14:textId="77777777" w:rsidR="00996AD7" w:rsidRDefault="00D96458">
            <w:pPr>
              <w:textAlignment w:val="bottom"/>
            </w:pPr>
            <w:r>
              <w:rPr>
                <w:rFonts w:ascii="Arial" w:eastAsia="宋体" w:hAnsi="Arial" w:cs="Arial"/>
                <w:b/>
                <w:bCs/>
                <w:color w:val="262626"/>
                <w:sz w:val="18"/>
                <w:szCs w:val="18"/>
              </w:rPr>
              <w:t>Non-GAAP earnings per share—diluted</w:t>
            </w:r>
          </w:p>
        </w:tc>
        <w:tc>
          <w:tcPr>
            <w:tcW w:w="0" w:type="auto"/>
            <w:gridSpan w:val="3"/>
            <w:shd w:val="clear" w:color="auto" w:fill="auto"/>
            <w:tcMar>
              <w:top w:w="0" w:type="dxa"/>
              <w:left w:w="20" w:type="dxa"/>
              <w:bottom w:w="0" w:type="dxa"/>
              <w:right w:w="20" w:type="dxa"/>
            </w:tcMar>
            <w:vAlign w:val="bottom"/>
          </w:tcPr>
          <w:p w14:paraId="39D9A08C"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A08D"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A08E" w14:textId="77777777" w:rsidR="00996AD7" w:rsidRDefault="00D96458">
            <w:pPr>
              <w:jc w:val="right"/>
              <w:textAlignment w:val="bottom"/>
            </w:pPr>
            <w:r>
              <w:rPr>
                <w:rFonts w:ascii="Arial" w:eastAsia="宋体" w:hAnsi="Arial" w:cs="Arial"/>
                <w:b/>
                <w:bCs/>
                <w:color w:val="0068B5"/>
                <w:sz w:val="18"/>
                <w:szCs w:val="18"/>
              </w:rPr>
              <w:t>1.71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A08F"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A090" w14:textId="77777777" w:rsidR="00996AD7" w:rsidRDefault="00996AD7">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39D9A091"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39D9A092" w14:textId="77777777" w:rsidR="00996AD7" w:rsidRDefault="00D96458">
            <w:pPr>
              <w:jc w:val="right"/>
              <w:textAlignment w:val="bottom"/>
            </w:pPr>
            <w:r>
              <w:rPr>
                <w:rFonts w:ascii="Arial" w:eastAsia="宋体" w:hAnsi="Arial" w:cs="Arial"/>
                <w:b/>
                <w:bCs/>
                <w:color w:val="262626"/>
                <w:sz w:val="18"/>
                <w:szCs w:val="18"/>
              </w:rPr>
              <w:t>1.08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39D9A093" w14:textId="77777777" w:rsidR="00996AD7" w:rsidRDefault="00996AD7">
            <w:pPr>
              <w:jc w:val="right"/>
              <w:rPr>
                <w:rFonts w:ascii="宋体"/>
              </w:rPr>
            </w:pPr>
          </w:p>
        </w:tc>
        <w:tc>
          <w:tcPr>
            <w:tcW w:w="0" w:type="auto"/>
            <w:shd w:val="clear" w:color="auto" w:fill="auto"/>
            <w:vAlign w:val="bottom"/>
          </w:tcPr>
          <w:p w14:paraId="39D9A094" w14:textId="77777777" w:rsidR="00996AD7" w:rsidRDefault="00996AD7">
            <w:pPr>
              <w:rPr>
                <w:rFonts w:ascii="宋体"/>
                <w:vanish/>
              </w:rPr>
            </w:pPr>
          </w:p>
        </w:tc>
        <w:tc>
          <w:tcPr>
            <w:tcW w:w="0" w:type="auto"/>
            <w:shd w:val="clear" w:color="auto" w:fill="auto"/>
            <w:vAlign w:val="bottom"/>
          </w:tcPr>
          <w:p w14:paraId="39D9A095" w14:textId="77777777" w:rsidR="00996AD7" w:rsidRDefault="00996AD7">
            <w:pPr>
              <w:rPr>
                <w:rFonts w:ascii="宋体"/>
                <w:vanish/>
              </w:rPr>
            </w:pPr>
          </w:p>
        </w:tc>
        <w:tc>
          <w:tcPr>
            <w:tcW w:w="0" w:type="auto"/>
            <w:gridSpan w:val="3"/>
            <w:shd w:val="clear" w:color="auto" w:fill="auto"/>
            <w:vAlign w:val="bottom"/>
          </w:tcPr>
          <w:p w14:paraId="39D9A096" w14:textId="77777777" w:rsidR="00996AD7" w:rsidRDefault="00996AD7">
            <w:pPr>
              <w:rPr>
                <w:rFonts w:ascii="宋体"/>
                <w:vanish/>
              </w:rPr>
            </w:pPr>
          </w:p>
        </w:tc>
        <w:tc>
          <w:tcPr>
            <w:tcW w:w="0" w:type="auto"/>
            <w:gridSpan w:val="3"/>
            <w:shd w:val="clear" w:color="auto" w:fill="auto"/>
            <w:vAlign w:val="bottom"/>
          </w:tcPr>
          <w:p w14:paraId="39D9A097" w14:textId="77777777" w:rsidR="00996AD7" w:rsidRDefault="00996AD7">
            <w:pPr>
              <w:rPr>
                <w:rFonts w:ascii="宋体"/>
                <w:vanish/>
              </w:rPr>
            </w:pPr>
          </w:p>
        </w:tc>
      </w:tr>
    </w:tbl>
    <w:p w14:paraId="39D9A099" w14:textId="77777777" w:rsidR="00996AD7" w:rsidRDefault="00D96458">
      <w:pPr>
        <w:spacing w:after="180"/>
      </w:pPr>
      <w:r>
        <w:rPr>
          <w:rFonts w:ascii="Arial" w:eastAsia="宋体" w:hAnsi="Arial" w:cs="Arial"/>
          <w:i/>
          <w:iCs/>
          <w:color w:val="262626"/>
          <w:sz w:val="10"/>
          <w:szCs w:val="10"/>
        </w:rPr>
        <w:t xml:space="preserve">1 </w:t>
      </w:r>
      <w:r>
        <w:rPr>
          <w:rFonts w:ascii="Arial" w:eastAsia="宋体" w:hAnsi="Arial" w:cs="Arial"/>
          <w:i/>
          <w:iCs/>
          <w:color w:val="262626"/>
          <w:sz w:val="16"/>
          <w:szCs w:val="16"/>
        </w:rPr>
        <w:t>Our reconciliation of GAAP to non-GAAP operating margin percentage reflects the exclusion of our NAND memory business from net revenue.</w:t>
      </w:r>
    </w:p>
    <w:tbl>
      <w:tblPr>
        <w:tblW w:w="5000" w:type="pct"/>
        <w:tblCellMar>
          <w:top w:w="15" w:type="dxa"/>
          <w:left w:w="15" w:type="dxa"/>
          <w:bottom w:w="15" w:type="dxa"/>
          <w:right w:w="15" w:type="dxa"/>
        </w:tblCellMar>
        <w:tblLook w:val="04A0" w:firstRow="1" w:lastRow="0" w:firstColumn="1" w:lastColumn="0" w:noHBand="0" w:noVBand="1"/>
      </w:tblPr>
      <w:tblGrid>
        <w:gridCol w:w="39"/>
        <w:gridCol w:w="6073"/>
        <w:gridCol w:w="38"/>
        <w:gridCol w:w="36"/>
        <w:gridCol w:w="36"/>
        <w:gridCol w:w="36"/>
        <w:gridCol w:w="121"/>
        <w:gridCol w:w="828"/>
        <w:gridCol w:w="36"/>
        <w:gridCol w:w="36"/>
        <w:gridCol w:w="36"/>
        <w:gridCol w:w="36"/>
        <w:gridCol w:w="121"/>
        <w:gridCol w:w="828"/>
        <w:gridCol w:w="36"/>
      </w:tblGrid>
      <w:tr w:rsidR="00996AD7" w14:paraId="39D9A0A9" w14:textId="77777777">
        <w:tc>
          <w:tcPr>
            <w:tcW w:w="50" w:type="pct"/>
            <w:shd w:val="clear" w:color="auto" w:fill="auto"/>
            <w:vAlign w:val="bottom"/>
          </w:tcPr>
          <w:p w14:paraId="39D9A09A" w14:textId="77777777" w:rsidR="00996AD7" w:rsidRDefault="00996AD7">
            <w:pPr>
              <w:rPr>
                <w:rFonts w:ascii="宋体"/>
              </w:rPr>
            </w:pPr>
          </w:p>
        </w:tc>
        <w:tc>
          <w:tcPr>
            <w:tcW w:w="3701" w:type="pct"/>
            <w:shd w:val="clear" w:color="auto" w:fill="auto"/>
            <w:vAlign w:val="bottom"/>
          </w:tcPr>
          <w:p w14:paraId="39D9A09B" w14:textId="77777777" w:rsidR="00996AD7" w:rsidRDefault="00996AD7">
            <w:pPr>
              <w:rPr>
                <w:rFonts w:ascii="宋体"/>
              </w:rPr>
            </w:pPr>
          </w:p>
        </w:tc>
        <w:tc>
          <w:tcPr>
            <w:tcW w:w="5" w:type="pct"/>
            <w:shd w:val="clear" w:color="auto" w:fill="auto"/>
            <w:vAlign w:val="bottom"/>
          </w:tcPr>
          <w:p w14:paraId="39D9A09C" w14:textId="77777777" w:rsidR="00996AD7" w:rsidRDefault="00996AD7">
            <w:pPr>
              <w:rPr>
                <w:rFonts w:ascii="宋体"/>
              </w:rPr>
            </w:pPr>
          </w:p>
        </w:tc>
        <w:tc>
          <w:tcPr>
            <w:tcW w:w="5" w:type="pct"/>
            <w:shd w:val="clear" w:color="auto" w:fill="auto"/>
            <w:vAlign w:val="bottom"/>
          </w:tcPr>
          <w:p w14:paraId="39D9A09D" w14:textId="77777777" w:rsidR="00996AD7" w:rsidRDefault="00996AD7">
            <w:pPr>
              <w:rPr>
                <w:rFonts w:ascii="宋体"/>
              </w:rPr>
            </w:pPr>
          </w:p>
        </w:tc>
        <w:tc>
          <w:tcPr>
            <w:tcW w:w="17" w:type="pct"/>
            <w:shd w:val="clear" w:color="auto" w:fill="auto"/>
            <w:vAlign w:val="bottom"/>
          </w:tcPr>
          <w:p w14:paraId="39D9A09E" w14:textId="77777777" w:rsidR="00996AD7" w:rsidRDefault="00996AD7">
            <w:pPr>
              <w:rPr>
                <w:rFonts w:ascii="宋体"/>
              </w:rPr>
            </w:pPr>
          </w:p>
        </w:tc>
        <w:tc>
          <w:tcPr>
            <w:tcW w:w="5" w:type="pct"/>
            <w:shd w:val="clear" w:color="auto" w:fill="auto"/>
            <w:vAlign w:val="bottom"/>
          </w:tcPr>
          <w:p w14:paraId="39D9A09F" w14:textId="77777777" w:rsidR="00996AD7" w:rsidRDefault="00996AD7">
            <w:pPr>
              <w:rPr>
                <w:rFonts w:ascii="宋体"/>
              </w:rPr>
            </w:pPr>
          </w:p>
        </w:tc>
        <w:tc>
          <w:tcPr>
            <w:tcW w:w="50" w:type="pct"/>
            <w:shd w:val="clear" w:color="auto" w:fill="auto"/>
            <w:vAlign w:val="bottom"/>
          </w:tcPr>
          <w:p w14:paraId="39D9A0A0" w14:textId="77777777" w:rsidR="00996AD7" w:rsidRDefault="00996AD7">
            <w:pPr>
              <w:rPr>
                <w:rFonts w:ascii="宋体"/>
              </w:rPr>
            </w:pPr>
          </w:p>
        </w:tc>
        <w:tc>
          <w:tcPr>
            <w:tcW w:w="539" w:type="pct"/>
            <w:shd w:val="clear" w:color="auto" w:fill="auto"/>
            <w:vAlign w:val="bottom"/>
          </w:tcPr>
          <w:p w14:paraId="39D9A0A1" w14:textId="77777777" w:rsidR="00996AD7" w:rsidRDefault="00996AD7">
            <w:pPr>
              <w:rPr>
                <w:rFonts w:ascii="宋体"/>
              </w:rPr>
            </w:pPr>
          </w:p>
        </w:tc>
        <w:tc>
          <w:tcPr>
            <w:tcW w:w="5" w:type="pct"/>
            <w:shd w:val="clear" w:color="auto" w:fill="auto"/>
            <w:vAlign w:val="bottom"/>
          </w:tcPr>
          <w:p w14:paraId="39D9A0A2" w14:textId="77777777" w:rsidR="00996AD7" w:rsidRDefault="00996AD7">
            <w:pPr>
              <w:rPr>
                <w:rFonts w:ascii="宋体"/>
              </w:rPr>
            </w:pPr>
          </w:p>
        </w:tc>
        <w:tc>
          <w:tcPr>
            <w:tcW w:w="5" w:type="pct"/>
            <w:shd w:val="clear" w:color="auto" w:fill="auto"/>
            <w:vAlign w:val="bottom"/>
          </w:tcPr>
          <w:p w14:paraId="39D9A0A3" w14:textId="77777777" w:rsidR="00996AD7" w:rsidRDefault="00996AD7">
            <w:pPr>
              <w:rPr>
                <w:rFonts w:ascii="宋体"/>
              </w:rPr>
            </w:pPr>
          </w:p>
        </w:tc>
        <w:tc>
          <w:tcPr>
            <w:tcW w:w="17" w:type="pct"/>
            <w:shd w:val="clear" w:color="auto" w:fill="auto"/>
            <w:vAlign w:val="bottom"/>
          </w:tcPr>
          <w:p w14:paraId="39D9A0A4" w14:textId="77777777" w:rsidR="00996AD7" w:rsidRDefault="00996AD7">
            <w:pPr>
              <w:rPr>
                <w:rFonts w:ascii="宋体"/>
              </w:rPr>
            </w:pPr>
          </w:p>
        </w:tc>
        <w:tc>
          <w:tcPr>
            <w:tcW w:w="5" w:type="pct"/>
            <w:shd w:val="clear" w:color="auto" w:fill="auto"/>
            <w:vAlign w:val="bottom"/>
          </w:tcPr>
          <w:p w14:paraId="39D9A0A5" w14:textId="77777777" w:rsidR="00996AD7" w:rsidRDefault="00996AD7">
            <w:pPr>
              <w:rPr>
                <w:rFonts w:ascii="宋体"/>
              </w:rPr>
            </w:pPr>
          </w:p>
        </w:tc>
        <w:tc>
          <w:tcPr>
            <w:tcW w:w="50" w:type="pct"/>
            <w:shd w:val="clear" w:color="auto" w:fill="auto"/>
            <w:vAlign w:val="bottom"/>
          </w:tcPr>
          <w:p w14:paraId="39D9A0A6" w14:textId="77777777" w:rsidR="00996AD7" w:rsidRDefault="00996AD7">
            <w:pPr>
              <w:rPr>
                <w:rFonts w:ascii="宋体"/>
              </w:rPr>
            </w:pPr>
          </w:p>
        </w:tc>
        <w:tc>
          <w:tcPr>
            <w:tcW w:w="539" w:type="pct"/>
            <w:shd w:val="clear" w:color="auto" w:fill="auto"/>
            <w:vAlign w:val="bottom"/>
          </w:tcPr>
          <w:p w14:paraId="39D9A0A7" w14:textId="77777777" w:rsidR="00996AD7" w:rsidRDefault="00996AD7">
            <w:pPr>
              <w:rPr>
                <w:rFonts w:ascii="宋体"/>
              </w:rPr>
            </w:pPr>
          </w:p>
        </w:tc>
        <w:tc>
          <w:tcPr>
            <w:tcW w:w="5" w:type="pct"/>
            <w:shd w:val="clear" w:color="auto" w:fill="auto"/>
            <w:vAlign w:val="bottom"/>
          </w:tcPr>
          <w:p w14:paraId="39D9A0A8" w14:textId="77777777" w:rsidR="00996AD7" w:rsidRDefault="00996AD7">
            <w:pPr>
              <w:rPr>
                <w:rFonts w:ascii="宋体"/>
              </w:rPr>
            </w:pPr>
          </w:p>
        </w:tc>
      </w:tr>
      <w:tr w:rsidR="00996AD7" w14:paraId="39D9A0AD" w14:textId="77777777">
        <w:tc>
          <w:tcPr>
            <w:tcW w:w="0" w:type="auto"/>
            <w:gridSpan w:val="3"/>
            <w:shd w:val="clear" w:color="auto" w:fill="auto"/>
            <w:tcMar>
              <w:top w:w="0" w:type="dxa"/>
              <w:left w:w="20" w:type="dxa"/>
              <w:bottom w:w="0" w:type="dxa"/>
              <w:right w:w="20" w:type="dxa"/>
            </w:tcMar>
            <w:vAlign w:val="bottom"/>
          </w:tcPr>
          <w:p w14:paraId="39D9A0A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0AB" w14:textId="77777777" w:rsidR="00996AD7" w:rsidRDefault="00996AD7">
            <w:pPr>
              <w:rPr>
                <w:rFonts w:ascii="宋体"/>
              </w:rPr>
            </w:pPr>
          </w:p>
        </w:tc>
        <w:tc>
          <w:tcPr>
            <w:tcW w:w="0" w:type="auto"/>
            <w:gridSpan w:val="9"/>
            <w:shd w:val="clear" w:color="auto" w:fill="auto"/>
            <w:tcMar>
              <w:top w:w="40" w:type="dxa"/>
              <w:left w:w="20" w:type="dxa"/>
              <w:bottom w:w="40" w:type="dxa"/>
              <w:right w:w="20" w:type="dxa"/>
            </w:tcMar>
            <w:vAlign w:val="bottom"/>
          </w:tcPr>
          <w:p w14:paraId="39D9A0AC" w14:textId="77777777" w:rsidR="00996AD7" w:rsidRDefault="00D96458">
            <w:pPr>
              <w:jc w:val="center"/>
              <w:textAlignment w:val="bottom"/>
            </w:pPr>
            <w:r>
              <w:rPr>
                <w:rFonts w:ascii="Arial" w:eastAsia="宋体" w:hAnsi="Arial" w:cs="Arial"/>
                <w:b/>
                <w:bCs/>
                <w:color w:val="262626"/>
                <w:sz w:val="18"/>
                <w:szCs w:val="18"/>
              </w:rPr>
              <w:t>Nine Months Ended</w:t>
            </w:r>
          </w:p>
        </w:tc>
      </w:tr>
      <w:tr w:rsidR="00996AD7" w14:paraId="39D9A0B3" w14:textId="77777777">
        <w:tc>
          <w:tcPr>
            <w:tcW w:w="0" w:type="auto"/>
            <w:gridSpan w:val="3"/>
            <w:shd w:val="clear" w:color="auto" w:fill="auto"/>
            <w:tcMar>
              <w:top w:w="40" w:type="dxa"/>
              <w:left w:w="20" w:type="dxa"/>
              <w:bottom w:w="40" w:type="dxa"/>
              <w:right w:w="20" w:type="dxa"/>
            </w:tcMar>
            <w:vAlign w:val="bottom"/>
          </w:tcPr>
          <w:p w14:paraId="39D9A0AE" w14:textId="77777777" w:rsidR="00996AD7" w:rsidRDefault="00D964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39D9A0AF"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A0B0" w14:textId="77777777" w:rsidR="00996AD7" w:rsidRDefault="00D96458">
            <w:pPr>
              <w:jc w:val="center"/>
              <w:textAlignment w:val="bottom"/>
            </w:pPr>
            <w:r>
              <w:rPr>
                <w:rFonts w:ascii="Arial" w:eastAsia="宋体" w:hAnsi="Arial" w:cs="Arial"/>
                <w:b/>
                <w:bCs/>
                <w:color w:val="262626"/>
                <w:sz w:val="18"/>
                <w:szCs w:val="18"/>
              </w:rPr>
              <w:t>Sep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A0B1"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A0B2" w14:textId="77777777" w:rsidR="00996AD7" w:rsidRDefault="00D96458">
            <w:pPr>
              <w:jc w:val="center"/>
              <w:textAlignment w:val="bottom"/>
            </w:pPr>
            <w:r>
              <w:rPr>
                <w:rFonts w:ascii="Arial" w:eastAsia="宋体" w:hAnsi="Arial" w:cs="Arial"/>
                <w:b/>
                <w:bCs/>
                <w:color w:val="262626"/>
                <w:sz w:val="18"/>
                <w:szCs w:val="18"/>
              </w:rPr>
              <w:t>Sep 26, 2020</w:t>
            </w:r>
          </w:p>
        </w:tc>
      </w:tr>
      <w:tr w:rsidR="00996AD7" w14:paraId="39D9A0B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39D9A0B4" w14:textId="77777777" w:rsidR="00996AD7" w:rsidRDefault="00D96458">
            <w:pPr>
              <w:textAlignment w:val="bottom"/>
            </w:pPr>
            <w:r>
              <w:rPr>
                <w:rFonts w:ascii="Arial" w:eastAsia="宋体" w:hAnsi="Arial" w:cs="Arial"/>
                <w:b/>
                <w:bCs/>
                <w:color w:val="262626"/>
                <w:sz w:val="18"/>
                <w:szCs w:val="18"/>
              </w:rPr>
              <w:t xml:space="preserve">Net cash provided by </w:t>
            </w:r>
            <w:r>
              <w:rPr>
                <w:rFonts w:ascii="Arial" w:eastAsia="宋体" w:hAnsi="Arial" w:cs="Arial"/>
                <w:b/>
                <w:bCs/>
                <w:color w:val="262626"/>
                <w:sz w:val="18"/>
                <w:szCs w:val="18"/>
              </w:rPr>
              <w:t>operating activities</w:t>
            </w:r>
          </w:p>
        </w:tc>
        <w:tc>
          <w:tcPr>
            <w:tcW w:w="0" w:type="auto"/>
            <w:gridSpan w:val="3"/>
            <w:shd w:val="clear" w:color="auto" w:fill="auto"/>
            <w:tcMar>
              <w:top w:w="0" w:type="dxa"/>
              <w:left w:w="20" w:type="dxa"/>
              <w:bottom w:w="0" w:type="dxa"/>
              <w:right w:w="20" w:type="dxa"/>
            </w:tcMar>
            <w:vAlign w:val="bottom"/>
          </w:tcPr>
          <w:p w14:paraId="39D9A0B5"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A0B6"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A0B7" w14:textId="77777777" w:rsidR="00996AD7" w:rsidRDefault="00D96458">
            <w:pPr>
              <w:jc w:val="right"/>
              <w:textAlignment w:val="bottom"/>
            </w:pPr>
            <w:r>
              <w:rPr>
                <w:rFonts w:ascii="Arial" w:eastAsia="宋体" w:hAnsi="Arial" w:cs="Arial"/>
                <w:b/>
                <w:bCs/>
                <w:color w:val="0068B5"/>
                <w:sz w:val="18"/>
                <w:szCs w:val="18"/>
              </w:rPr>
              <w:t>24,194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A0B8"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A0B9" w14:textId="77777777" w:rsidR="00996AD7" w:rsidRDefault="00996AD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39D9A0BA"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39D9A0BB" w14:textId="77777777" w:rsidR="00996AD7" w:rsidRDefault="00D96458">
            <w:pPr>
              <w:jc w:val="right"/>
              <w:textAlignment w:val="bottom"/>
            </w:pPr>
            <w:r>
              <w:rPr>
                <w:rFonts w:ascii="Arial" w:eastAsia="宋体" w:hAnsi="Arial" w:cs="Arial"/>
                <w:b/>
                <w:bCs/>
                <w:color w:val="262626"/>
                <w:sz w:val="18"/>
                <w:szCs w:val="18"/>
              </w:rPr>
              <w:t>25,494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39D9A0BC" w14:textId="77777777" w:rsidR="00996AD7" w:rsidRDefault="00996AD7">
            <w:pPr>
              <w:jc w:val="right"/>
              <w:rPr>
                <w:rFonts w:ascii="宋体"/>
              </w:rPr>
            </w:pPr>
          </w:p>
        </w:tc>
      </w:tr>
      <w:tr w:rsidR="00996AD7" w14:paraId="39D9A0C5" w14:textId="77777777">
        <w:tc>
          <w:tcPr>
            <w:tcW w:w="0" w:type="auto"/>
            <w:gridSpan w:val="3"/>
            <w:shd w:val="clear" w:color="auto" w:fill="auto"/>
            <w:tcMar>
              <w:top w:w="40" w:type="dxa"/>
              <w:left w:w="155" w:type="dxa"/>
              <w:bottom w:w="40" w:type="dxa"/>
              <w:right w:w="20" w:type="dxa"/>
            </w:tcMar>
            <w:vAlign w:val="bottom"/>
          </w:tcPr>
          <w:p w14:paraId="39D9A0BE" w14:textId="77777777" w:rsidR="00996AD7" w:rsidRDefault="00D96458">
            <w:pPr>
              <w:textAlignment w:val="bottom"/>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vAlign w:val="bottom"/>
          </w:tcPr>
          <w:p w14:paraId="39D9A0BF"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A0C0" w14:textId="77777777" w:rsidR="00996AD7" w:rsidRDefault="00D96458">
            <w:pPr>
              <w:jc w:val="right"/>
              <w:textAlignment w:val="bottom"/>
            </w:pPr>
            <w:r>
              <w:rPr>
                <w:rFonts w:ascii="Arial" w:eastAsia="宋体" w:hAnsi="Arial" w:cs="Arial"/>
                <w:color w:val="0068B5"/>
                <w:sz w:val="18"/>
                <w:szCs w:val="18"/>
              </w:rPr>
              <w:t>(11,579)</w:t>
            </w:r>
          </w:p>
        </w:tc>
        <w:tc>
          <w:tcPr>
            <w:tcW w:w="0" w:type="auto"/>
            <w:shd w:val="clear" w:color="auto" w:fill="auto"/>
            <w:tcMar>
              <w:top w:w="40" w:type="dxa"/>
              <w:left w:w="0" w:type="dxa"/>
              <w:bottom w:w="40" w:type="dxa"/>
              <w:right w:w="20" w:type="dxa"/>
            </w:tcMar>
            <w:vAlign w:val="bottom"/>
          </w:tcPr>
          <w:p w14:paraId="39D9A0C1"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A0C2" w14:textId="77777777" w:rsidR="00996AD7" w:rsidRDefault="00996AD7">
            <w:pPr>
              <w:rPr>
                <w:rFonts w:ascii="宋体"/>
              </w:rPr>
            </w:pPr>
          </w:p>
        </w:tc>
        <w:tc>
          <w:tcPr>
            <w:tcW w:w="0" w:type="auto"/>
            <w:gridSpan w:val="2"/>
            <w:shd w:val="clear" w:color="auto" w:fill="auto"/>
            <w:tcMar>
              <w:top w:w="40" w:type="dxa"/>
              <w:left w:w="20" w:type="dxa"/>
              <w:bottom w:w="40" w:type="dxa"/>
              <w:right w:w="0" w:type="dxa"/>
            </w:tcMar>
            <w:vAlign w:val="bottom"/>
          </w:tcPr>
          <w:p w14:paraId="39D9A0C3" w14:textId="77777777" w:rsidR="00996AD7" w:rsidRDefault="00D96458">
            <w:pPr>
              <w:jc w:val="right"/>
              <w:textAlignment w:val="bottom"/>
            </w:pPr>
            <w:r>
              <w:rPr>
                <w:rFonts w:ascii="Arial" w:eastAsia="宋体" w:hAnsi="Arial" w:cs="Arial"/>
                <w:color w:val="262626"/>
                <w:sz w:val="18"/>
                <w:szCs w:val="18"/>
              </w:rPr>
              <w:t>(10,392)</w:t>
            </w:r>
          </w:p>
        </w:tc>
        <w:tc>
          <w:tcPr>
            <w:tcW w:w="0" w:type="auto"/>
            <w:shd w:val="clear" w:color="auto" w:fill="auto"/>
            <w:tcMar>
              <w:top w:w="40" w:type="dxa"/>
              <w:left w:w="0" w:type="dxa"/>
              <w:bottom w:w="40" w:type="dxa"/>
              <w:right w:w="20" w:type="dxa"/>
            </w:tcMar>
            <w:vAlign w:val="bottom"/>
          </w:tcPr>
          <w:p w14:paraId="39D9A0C4" w14:textId="77777777" w:rsidR="00996AD7" w:rsidRDefault="00996AD7">
            <w:pPr>
              <w:jc w:val="right"/>
              <w:rPr>
                <w:rFonts w:ascii="宋体"/>
              </w:rPr>
            </w:pPr>
          </w:p>
        </w:tc>
      </w:tr>
      <w:tr w:rsidR="00996AD7" w14:paraId="39D9A0CF" w14:textId="77777777">
        <w:tc>
          <w:tcPr>
            <w:tcW w:w="0" w:type="auto"/>
            <w:gridSpan w:val="3"/>
            <w:shd w:val="clear" w:color="auto" w:fill="auto"/>
            <w:tcMar>
              <w:top w:w="40" w:type="dxa"/>
              <w:left w:w="20" w:type="dxa"/>
              <w:bottom w:w="40" w:type="dxa"/>
              <w:right w:w="20" w:type="dxa"/>
            </w:tcMar>
            <w:vAlign w:val="bottom"/>
          </w:tcPr>
          <w:p w14:paraId="39D9A0C6" w14:textId="77777777" w:rsidR="00996AD7" w:rsidRDefault="00D96458">
            <w:pPr>
              <w:textAlignment w:val="bottom"/>
            </w:pPr>
            <w:r>
              <w:rPr>
                <w:rFonts w:ascii="Arial" w:eastAsia="宋体" w:hAnsi="Arial" w:cs="Arial"/>
                <w:b/>
                <w:bCs/>
                <w:color w:val="262626"/>
                <w:sz w:val="18"/>
                <w:szCs w:val="18"/>
              </w:rPr>
              <w:t>Free cash flow</w:t>
            </w:r>
          </w:p>
        </w:tc>
        <w:tc>
          <w:tcPr>
            <w:tcW w:w="0" w:type="auto"/>
            <w:gridSpan w:val="3"/>
            <w:shd w:val="clear" w:color="auto" w:fill="auto"/>
            <w:tcMar>
              <w:top w:w="0" w:type="dxa"/>
              <w:left w:w="20" w:type="dxa"/>
              <w:bottom w:w="0" w:type="dxa"/>
              <w:right w:w="20" w:type="dxa"/>
            </w:tcMar>
            <w:vAlign w:val="bottom"/>
          </w:tcPr>
          <w:p w14:paraId="39D9A0C7"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A0C8" w14:textId="77777777" w:rsidR="00996AD7" w:rsidRDefault="00D964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A0C9" w14:textId="77777777" w:rsidR="00996AD7" w:rsidRDefault="00D96458">
            <w:pPr>
              <w:jc w:val="right"/>
              <w:textAlignment w:val="bottom"/>
            </w:pPr>
            <w:r>
              <w:rPr>
                <w:rFonts w:ascii="Arial" w:eastAsia="宋体" w:hAnsi="Arial" w:cs="Arial"/>
                <w:b/>
                <w:bCs/>
                <w:color w:val="0068B5"/>
                <w:sz w:val="18"/>
                <w:szCs w:val="18"/>
              </w:rPr>
              <w:t>12,615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A0C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A0CB" w14:textId="77777777" w:rsidR="00996AD7" w:rsidRDefault="00996AD7">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39D9A0CC" w14:textId="77777777" w:rsidR="00996AD7" w:rsidRDefault="00D964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39D9A0CD" w14:textId="77777777" w:rsidR="00996AD7" w:rsidRDefault="00D96458">
            <w:pPr>
              <w:jc w:val="right"/>
              <w:textAlignment w:val="bottom"/>
            </w:pPr>
            <w:r>
              <w:rPr>
                <w:rFonts w:ascii="Arial" w:eastAsia="宋体" w:hAnsi="Arial" w:cs="Arial"/>
                <w:b/>
                <w:bCs/>
                <w:color w:val="262626"/>
                <w:sz w:val="18"/>
                <w:szCs w:val="18"/>
              </w:rPr>
              <w:t>15,102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39D9A0CE" w14:textId="77777777" w:rsidR="00996AD7" w:rsidRDefault="00996AD7">
            <w:pPr>
              <w:jc w:val="right"/>
              <w:rPr>
                <w:rFonts w:ascii="宋体"/>
              </w:rPr>
            </w:pPr>
          </w:p>
        </w:tc>
      </w:tr>
      <w:tr w:rsidR="00996AD7" w14:paraId="39D9A0D5" w14:textId="77777777">
        <w:trPr>
          <w:trHeight w:val="100"/>
        </w:trPr>
        <w:tc>
          <w:tcPr>
            <w:tcW w:w="0" w:type="auto"/>
            <w:gridSpan w:val="3"/>
            <w:shd w:val="clear" w:color="auto" w:fill="auto"/>
            <w:tcMar>
              <w:top w:w="0" w:type="dxa"/>
              <w:left w:w="20" w:type="dxa"/>
              <w:bottom w:w="0" w:type="dxa"/>
              <w:right w:w="20" w:type="dxa"/>
            </w:tcMar>
            <w:vAlign w:val="bottom"/>
          </w:tcPr>
          <w:p w14:paraId="39D9A0D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0D1"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A0D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0D3" w14:textId="77777777" w:rsidR="00996AD7" w:rsidRDefault="00996AD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39D9A0D4" w14:textId="77777777" w:rsidR="00996AD7" w:rsidRDefault="00996AD7">
            <w:pPr>
              <w:rPr>
                <w:rFonts w:ascii="宋体"/>
              </w:rPr>
            </w:pPr>
          </w:p>
        </w:tc>
      </w:tr>
      <w:tr w:rsidR="00996AD7" w14:paraId="39D9A0DF" w14:textId="77777777">
        <w:tc>
          <w:tcPr>
            <w:tcW w:w="0" w:type="auto"/>
            <w:gridSpan w:val="3"/>
            <w:shd w:val="clear" w:color="auto" w:fill="auto"/>
            <w:tcMar>
              <w:top w:w="40" w:type="dxa"/>
              <w:left w:w="20" w:type="dxa"/>
              <w:bottom w:w="40" w:type="dxa"/>
              <w:right w:w="20" w:type="dxa"/>
            </w:tcMar>
            <w:vAlign w:val="bottom"/>
          </w:tcPr>
          <w:p w14:paraId="39D9A0D6" w14:textId="77777777" w:rsidR="00996AD7" w:rsidRDefault="00D96458">
            <w:pPr>
              <w:textAlignment w:val="bottom"/>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39D9A0D7"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A0D8" w14:textId="77777777" w:rsidR="00996AD7" w:rsidRDefault="00D9645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39D9A0D9" w14:textId="77777777" w:rsidR="00996AD7" w:rsidRDefault="00D96458">
            <w:pPr>
              <w:jc w:val="right"/>
              <w:textAlignment w:val="bottom"/>
            </w:pPr>
            <w:r>
              <w:rPr>
                <w:rFonts w:ascii="Arial" w:eastAsia="宋体" w:hAnsi="Arial" w:cs="Arial"/>
                <w:b/>
                <w:bCs/>
                <w:color w:val="0068B5"/>
                <w:sz w:val="18"/>
                <w:szCs w:val="18"/>
              </w:rPr>
              <w:t>(20,133)</w:t>
            </w:r>
          </w:p>
        </w:tc>
        <w:tc>
          <w:tcPr>
            <w:tcW w:w="0" w:type="auto"/>
            <w:shd w:val="clear" w:color="auto" w:fill="auto"/>
            <w:tcMar>
              <w:top w:w="40" w:type="dxa"/>
              <w:left w:w="0" w:type="dxa"/>
              <w:bottom w:w="40" w:type="dxa"/>
              <w:right w:w="20" w:type="dxa"/>
            </w:tcMar>
            <w:vAlign w:val="bottom"/>
          </w:tcPr>
          <w:p w14:paraId="39D9A0DA"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A0DB"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A0DC"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A0DD" w14:textId="77777777" w:rsidR="00996AD7" w:rsidRDefault="00D96458">
            <w:pPr>
              <w:jc w:val="right"/>
              <w:textAlignment w:val="bottom"/>
            </w:pPr>
            <w:r>
              <w:rPr>
                <w:rFonts w:ascii="Arial" w:eastAsia="宋体" w:hAnsi="Arial" w:cs="Arial"/>
                <w:b/>
                <w:bCs/>
                <w:color w:val="262626"/>
                <w:sz w:val="18"/>
                <w:szCs w:val="18"/>
              </w:rPr>
              <w:t>(15,112)</w:t>
            </w:r>
          </w:p>
        </w:tc>
        <w:tc>
          <w:tcPr>
            <w:tcW w:w="0" w:type="auto"/>
            <w:shd w:val="clear" w:color="auto" w:fill="auto"/>
            <w:tcMar>
              <w:top w:w="40" w:type="dxa"/>
              <w:left w:w="0" w:type="dxa"/>
              <w:bottom w:w="40" w:type="dxa"/>
              <w:right w:w="20" w:type="dxa"/>
            </w:tcMar>
            <w:vAlign w:val="bottom"/>
          </w:tcPr>
          <w:p w14:paraId="39D9A0DE" w14:textId="77777777" w:rsidR="00996AD7" w:rsidRDefault="00996AD7">
            <w:pPr>
              <w:jc w:val="right"/>
              <w:rPr>
                <w:rFonts w:ascii="宋体"/>
              </w:rPr>
            </w:pPr>
          </w:p>
        </w:tc>
      </w:tr>
      <w:tr w:rsidR="00996AD7" w14:paraId="39D9A0E9" w14:textId="77777777">
        <w:tc>
          <w:tcPr>
            <w:tcW w:w="0" w:type="auto"/>
            <w:gridSpan w:val="3"/>
            <w:shd w:val="clear" w:color="auto" w:fill="auto"/>
            <w:tcMar>
              <w:top w:w="40" w:type="dxa"/>
              <w:left w:w="20" w:type="dxa"/>
              <w:bottom w:w="40" w:type="dxa"/>
              <w:right w:w="20" w:type="dxa"/>
            </w:tcMar>
            <w:vAlign w:val="bottom"/>
          </w:tcPr>
          <w:p w14:paraId="39D9A0E0" w14:textId="77777777" w:rsidR="00996AD7" w:rsidRDefault="00D96458">
            <w:pPr>
              <w:textAlignment w:val="bottom"/>
            </w:pPr>
            <w:r>
              <w:rPr>
                <w:rFonts w:ascii="Arial" w:eastAsia="宋体" w:hAnsi="Arial" w:cs="Arial"/>
                <w:b/>
                <w:bCs/>
                <w:color w:val="262626"/>
                <w:sz w:val="18"/>
                <w:szCs w:val="18"/>
              </w:rPr>
              <w:t xml:space="preserve">Net cash provided by (used </w:t>
            </w:r>
            <w:r>
              <w:rPr>
                <w:rFonts w:ascii="Arial" w:eastAsia="宋体" w:hAnsi="Arial" w:cs="Arial"/>
                <w:b/>
                <w:bCs/>
                <w:color w:val="262626"/>
                <w:sz w:val="18"/>
                <w:szCs w:val="18"/>
              </w:rPr>
              <w:t>for) financing activities</w:t>
            </w:r>
          </w:p>
        </w:tc>
        <w:tc>
          <w:tcPr>
            <w:tcW w:w="0" w:type="auto"/>
            <w:gridSpan w:val="3"/>
            <w:shd w:val="clear" w:color="auto" w:fill="auto"/>
            <w:tcMar>
              <w:top w:w="0" w:type="dxa"/>
              <w:left w:w="20" w:type="dxa"/>
              <w:bottom w:w="0" w:type="dxa"/>
              <w:right w:w="20" w:type="dxa"/>
            </w:tcMar>
            <w:vAlign w:val="bottom"/>
          </w:tcPr>
          <w:p w14:paraId="39D9A0E1"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A0E2" w14:textId="77777777" w:rsidR="00996AD7" w:rsidRDefault="00D9645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39D9A0E3" w14:textId="77777777" w:rsidR="00996AD7" w:rsidRDefault="00D96458">
            <w:pPr>
              <w:jc w:val="right"/>
              <w:textAlignment w:val="bottom"/>
            </w:pPr>
            <w:r>
              <w:rPr>
                <w:rFonts w:ascii="Arial" w:eastAsia="宋体" w:hAnsi="Arial" w:cs="Arial"/>
                <w:b/>
                <w:bCs/>
                <w:color w:val="0068B5"/>
                <w:sz w:val="18"/>
                <w:szCs w:val="18"/>
              </w:rPr>
              <w:t>(2,056)</w:t>
            </w:r>
          </w:p>
        </w:tc>
        <w:tc>
          <w:tcPr>
            <w:tcW w:w="0" w:type="auto"/>
            <w:shd w:val="clear" w:color="auto" w:fill="auto"/>
            <w:tcMar>
              <w:top w:w="40" w:type="dxa"/>
              <w:left w:w="0" w:type="dxa"/>
              <w:bottom w:w="40" w:type="dxa"/>
              <w:right w:w="20" w:type="dxa"/>
            </w:tcMar>
            <w:vAlign w:val="bottom"/>
          </w:tcPr>
          <w:p w14:paraId="39D9A0E4" w14:textId="77777777" w:rsidR="00996AD7" w:rsidRDefault="00996AD7">
            <w:pPr>
              <w:jc w:val="right"/>
              <w:rPr>
                <w:rFonts w:ascii="宋体"/>
              </w:rPr>
            </w:pPr>
          </w:p>
        </w:tc>
        <w:tc>
          <w:tcPr>
            <w:tcW w:w="0" w:type="auto"/>
            <w:gridSpan w:val="3"/>
            <w:shd w:val="clear" w:color="auto" w:fill="auto"/>
            <w:tcMar>
              <w:top w:w="0" w:type="dxa"/>
              <w:left w:w="20" w:type="dxa"/>
              <w:bottom w:w="0" w:type="dxa"/>
              <w:right w:w="20" w:type="dxa"/>
            </w:tcMar>
            <w:vAlign w:val="bottom"/>
          </w:tcPr>
          <w:p w14:paraId="39D9A0E5" w14:textId="77777777" w:rsidR="00996AD7" w:rsidRDefault="00996AD7">
            <w:pPr>
              <w:rPr>
                <w:rFonts w:ascii="宋体"/>
              </w:rPr>
            </w:pPr>
          </w:p>
        </w:tc>
        <w:tc>
          <w:tcPr>
            <w:tcW w:w="0" w:type="auto"/>
            <w:shd w:val="clear" w:color="auto" w:fill="auto"/>
            <w:tcMar>
              <w:top w:w="40" w:type="dxa"/>
              <w:left w:w="20" w:type="dxa"/>
              <w:bottom w:w="40" w:type="dxa"/>
              <w:right w:w="0" w:type="dxa"/>
            </w:tcMar>
            <w:vAlign w:val="bottom"/>
          </w:tcPr>
          <w:p w14:paraId="39D9A0E6" w14:textId="77777777" w:rsidR="00996AD7" w:rsidRDefault="00D964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39D9A0E7" w14:textId="77777777" w:rsidR="00996AD7" w:rsidRDefault="00D96458">
            <w:pPr>
              <w:jc w:val="right"/>
              <w:textAlignment w:val="bottom"/>
            </w:pPr>
            <w:r>
              <w:rPr>
                <w:rFonts w:ascii="Arial" w:eastAsia="宋体" w:hAnsi="Arial" w:cs="Arial"/>
                <w:b/>
                <w:bCs/>
                <w:color w:val="262626"/>
                <w:sz w:val="18"/>
                <w:szCs w:val="18"/>
              </w:rPr>
              <w:t>(11,220)</w:t>
            </w:r>
          </w:p>
        </w:tc>
        <w:tc>
          <w:tcPr>
            <w:tcW w:w="0" w:type="auto"/>
            <w:shd w:val="clear" w:color="auto" w:fill="auto"/>
            <w:tcMar>
              <w:top w:w="40" w:type="dxa"/>
              <w:left w:w="0" w:type="dxa"/>
              <w:bottom w:w="40" w:type="dxa"/>
              <w:right w:w="20" w:type="dxa"/>
            </w:tcMar>
            <w:vAlign w:val="bottom"/>
          </w:tcPr>
          <w:p w14:paraId="39D9A0E8" w14:textId="77777777" w:rsidR="00996AD7" w:rsidRDefault="00996AD7">
            <w:pPr>
              <w:jc w:val="right"/>
              <w:rPr>
                <w:rFonts w:ascii="宋体"/>
              </w:rPr>
            </w:pPr>
          </w:p>
        </w:tc>
      </w:tr>
      <w:tr w:rsidR="00996AD7" w14:paraId="39D9A0EF" w14:textId="77777777">
        <w:trPr>
          <w:hidden/>
        </w:trPr>
        <w:tc>
          <w:tcPr>
            <w:tcW w:w="0" w:type="auto"/>
            <w:gridSpan w:val="3"/>
            <w:shd w:val="clear" w:color="auto" w:fill="auto"/>
            <w:vAlign w:val="bottom"/>
          </w:tcPr>
          <w:p w14:paraId="39D9A0EA" w14:textId="77777777" w:rsidR="00996AD7" w:rsidRDefault="00996AD7">
            <w:pPr>
              <w:rPr>
                <w:rFonts w:ascii="宋体"/>
                <w:vanish/>
              </w:rPr>
            </w:pPr>
          </w:p>
        </w:tc>
        <w:tc>
          <w:tcPr>
            <w:tcW w:w="0" w:type="auto"/>
            <w:gridSpan w:val="3"/>
            <w:shd w:val="clear" w:color="auto" w:fill="auto"/>
            <w:vAlign w:val="bottom"/>
          </w:tcPr>
          <w:p w14:paraId="39D9A0EB" w14:textId="77777777" w:rsidR="00996AD7" w:rsidRDefault="00996AD7">
            <w:pPr>
              <w:rPr>
                <w:rFonts w:ascii="宋体"/>
                <w:vanish/>
              </w:rPr>
            </w:pPr>
          </w:p>
        </w:tc>
        <w:tc>
          <w:tcPr>
            <w:tcW w:w="0" w:type="auto"/>
            <w:gridSpan w:val="3"/>
            <w:shd w:val="clear" w:color="auto" w:fill="auto"/>
            <w:vAlign w:val="bottom"/>
          </w:tcPr>
          <w:p w14:paraId="39D9A0EC" w14:textId="77777777" w:rsidR="00996AD7" w:rsidRDefault="00996AD7">
            <w:pPr>
              <w:rPr>
                <w:rFonts w:ascii="宋体"/>
                <w:vanish/>
              </w:rPr>
            </w:pPr>
          </w:p>
        </w:tc>
        <w:tc>
          <w:tcPr>
            <w:tcW w:w="0" w:type="auto"/>
            <w:gridSpan w:val="3"/>
            <w:shd w:val="clear" w:color="auto" w:fill="auto"/>
            <w:vAlign w:val="bottom"/>
          </w:tcPr>
          <w:p w14:paraId="39D9A0ED" w14:textId="77777777" w:rsidR="00996AD7" w:rsidRDefault="00996AD7">
            <w:pPr>
              <w:rPr>
                <w:rFonts w:ascii="宋体"/>
                <w:vanish/>
              </w:rPr>
            </w:pPr>
          </w:p>
        </w:tc>
        <w:tc>
          <w:tcPr>
            <w:tcW w:w="0" w:type="auto"/>
            <w:gridSpan w:val="3"/>
            <w:shd w:val="clear" w:color="auto" w:fill="auto"/>
            <w:vAlign w:val="bottom"/>
          </w:tcPr>
          <w:p w14:paraId="39D9A0EE" w14:textId="77777777" w:rsidR="00996AD7" w:rsidRDefault="00996AD7">
            <w:pPr>
              <w:rPr>
                <w:rFonts w:ascii="宋体"/>
                <w:vanish/>
              </w:rPr>
            </w:pPr>
          </w:p>
        </w:tc>
      </w:tr>
      <w:tr w:rsidR="00996AD7" w14:paraId="39D9A0F5" w14:textId="77777777">
        <w:trPr>
          <w:hidden/>
        </w:trPr>
        <w:tc>
          <w:tcPr>
            <w:tcW w:w="0" w:type="auto"/>
            <w:gridSpan w:val="3"/>
            <w:shd w:val="clear" w:color="auto" w:fill="auto"/>
            <w:vAlign w:val="bottom"/>
          </w:tcPr>
          <w:p w14:paraId="39D9A0F0" w14:textId="77777777" w:rsidR="00996AD7" w:rsidRDefault="00996AD7">
            <w:pPr>
              <w:rPr>
                <w:rFonts w:ascii="宋体"/>
                <w:vanish/>
              </w:rPr>
            </w:pPr>
          </w:p>
        </w:tc>
        <w:tc>
          <w:tcPr>
            <w:tcW w:w="0" w:type="auto"/>
            <w:gridSpan w:val="3"/>
            <w:shd w:val="clear" w:color="auto" w:fill="auto"/>
            <w:vAlign w:val="bottom"/>
          </w:tcPr>
          <w:p w14:paraId="39D9A0F1" w14:textId="77777777" w:rsidR="00996AD7" w:rsidRDefault="00996AD7">
            <w:pPr>
              <w:rPr>
                <w:rFonts w:ascii="宋体"/>
                <w:vanish/>
              </w:rPr>
            </w:pPr>
          </w:p>
        </w:tc>
        <w:tc>
          <w:tcPr>
            <w:tcW w:w="0" w:type="auto"/>
            <w:gridSpan w:val="3"/>
            <w:shd w:val="clear" w:color="auto" w:fill="auto"/>
            <w:vAlign w:val="bottom"/>
          </w:tcPr>
          <w:p w14:paraId="39D9A0F2" w14:textId="77777777" w:rsidR="00996AD7" w:rsidRDefault="00996AD7">
            <w:pPr>
              <w:rPr>
                <w:rFonts w:ascii="宋体"/>
                <w:vanish/>
              </w:rPr>
            </w:pPr>
          </w:p>
        </w:tc>
        <w:tc>
          <w:tcPr>
            <w:tcW w:w="0" w:type="auto"/>
            <w:gridSpan w:val="3"/>
            <w:shd w:val="clear" w:color="auto" w:fill="auto"/>
            <w:vAlign w:val="bottom"/>
          </w:tcPr>
          <w:p w14:paraId="39D9A0F3" w14:textId="77777777" w:rsidR="00996AD7" w:rsidRDefault="00996AD7">
            <w:pPr>
              <w:rPr>
                <w:rFonts w:ascii="宋体"/>
                <w:vanish/>
              </w:rPr>
            </w:pPr>
          </w:p>
        </w:tc>
        <w:tc>
          <w:tcPr>
            <w:tcW w:w="0" w:type="auto"/>
            <w:gridSpan w:val="3"/>
            <w:shd w:val="clear" w:color="auto" w:fill="auto"/>
            <w:vAlign w:val="bottom"/>
          </w:tcPr>
          <w:p w14:paraId="39D9A0F4" w14:textId="77777777" w:rsidR="00996AD7" w:rsidRDefault="00996AD7">
            <w:pPr>
              <w:rPr>
                <w:rFonts w:ascii="宋体"/>
                <w:vanish/>
              </w:rPr>
            </w:pPr>
          </w:p>
        </w:tc>
      </w:tr>
    </w:tbl>
    <w:p w14:paraId="39D9A0F6" w14:textId="77777777" w:rsidR="00996AD7" w:rsidRDefault="00996AD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996AD7" w14:paraId="39D9A100" w14:textId="77777777">
        <w:tc>
          <w:tcPr>
            <w:tcW w:w="50" w:type="pct"/>
            <w:shd w:val="clear" w:color="auto" w:fill="auto"/>
            <w:vAlign w:val="bottom"/>
          </w:tcPr>
          <w:p w14:paraId="39D9A0F7" w14:textId="77777777" w:rsidR="00996AD7" w:rsidRDefault="00996AD7">
            <w:pPr>
              <w:rPr>
                <w:rFonts w:ascii="宋体"/>
              </w:rPr>
            </w:pPr>
          </w:p>
        </w:tc>
        <w:tc>
          <w:tcPr>
            <w:tcW w:w="212" w:type="pct"/>
            <w:shd w:val="clear" w:color="auto" w:fill="auto"/>
            <w:vAlign w:val="bottom"/>
          </w:tcPr>
          <w:p w14:paraId="39D9A0F8" w14:textId="77777777" w:rsidR="00996AD7" w:rsidRDefault="00996AD7">
            <w:pPr>
              <w:rPr>
                <w:rFonts w:ascii="宋体"/>
              </w:rPr>
            </w:pPr>
          </w:p>
        </w:tc>
        <w:tc>
          <w:tcPr>
            <w:tcW w:w="5" w:type="pct"/>
            <w:shd w:val="clear" w:color="auto" w:fill="auto"/>
            <w:vAlign w:val="bottom"/>
          </w:tcPr>
          <w:p w14:paraId="39D9A0F9" w14:textId="77777777" w:rsidR="00996AD7" w:rsidRDefault="00996AD7">
            <w:pPr>
              <w:rPr>
                <w:rFonts w:ascii="宋体"/>
              </w:rPr>
            </w:pPr>
          </w:p>
        </w:tc>
        <w:tc>
          <w:tcPr>
            <w:tcW w:w="50" w:type="pct"/>
            <w:shd w:val="clear" w:color="auto" w:fill="auto"/>
            <w:vAlign w:val="bottom"/>
          </w:tcPr>
          <w:p w14:paraId="39D9A0FA" w14:textId="77777777" w:rsidR="00996AD7" w:rsidRDefault="00996AD7">
            <w:pPr>
              <w:rPr>
                <w:rFonts w:ascii="宋体"/>
              </w:rPr>
            </w:pPr>
          </w:p>
        </w:tc>
        <w:tc>
          <w:tcPr>
            <w:tcW w:w="2499" w:type="pct"/>
            <w:shd w:val="clear" w:color="auto" w:fill="auto"/>
            <w:vAlign w:val="bottom"/>
          </w:tcPr>
          <w:p w14:paraId="39D9A0FB" w14:textId="77777777" w:rsidR="00996AD7" w:rsidRDefault="00996AD7">
            <w:pPr>
              <w:rPr>
                <w:rFonts w:ascii="宋体"/>
              </w:rPr>
            </w:pPr>
          </w:p>
        </w:tc>
        <w:tc>
          <w:tcPr>
            <w:tcW w:w="5" w:type="pct"/>
            <w:shd w:val="clear" w:color="auto" w:fill="auto"/>
            <w:vAlign w:val="bottom"/>
          </w:tcPr>
          <w:p w14:paraId="39D9A0FC" w14:textId="77777777" w:rsidR="00996AD7" w:rsidRDefault="00996AD7">
            <w:pPr>
              <w:rPr>
                <w:rFonts w:ascii="宋体"/>
              </w:rPr>
            </w:pPr>
          </w:p>
        </w:tc>
        <w:tc>
          <w:tcPr>
            <w:tcW w:w="50" w:type="pct"/>
            <w:shd w:val="clear" w:color="auto" w:fill="auto"/>
            <w:vAlign w:val="bottom"/>
          </w:tcPr>
          <w:p w14:paraId="39D9A0FD" w14:textId="77777777" w:rsidR="00996AD7" w:rsidRDefault="00996AD7">
            <w:pPr>
              <w:rPr>
                <w:rFonts w:ascii="宋体"/>
              </w:rPr>
            </w:pPr>
          </w:p>
        </w:tc>
        <w:tc>
          <w:tcPr>
            <w:tcW w:w="2122" w:type="pct"/>
            <w:shd w:val="clear" w:color="auto" w:fill="auto"/>
            <w:vAlign w:val="bottom"/>
          </w:tcPr>
          <w:p w14:paraId="39D9A0FE" w14:textId="77777777" w:rsidR="00996AD7" w:rsidRDefault="00996AD7">
            <w:pPr>
              <w:rPr>
                <w:rFonts w:ascii="宋体"/>
              </w:rPr>
            </w:pPr>
          </w:p>
        </w:tc>
        <w:tc>
          <w:tcPr>
            <w:tcW w:w="5" w:type="pct"/>
            <w:shd w:val="clear" w:color="auto" w:fill="auto"/>
            <w:vAlign w:val="bottom"/>
          </w:tcPr>
          <w:p w14:paraId="39D9A0FF" w14:textId="77777777" w:rsidR="00996AD7" w:rsidRDefault="00996AD7">
            <w:pPr>
              <w:rPr>
                <w:rFonts w:ascii="宋体"/>
              </w:rPr>
            </w:pPr>
          </w:p>
        </w:tc>
      </w:tr>
      <w:tr w:rsidR="00996AD7" w14:paraId="39D9A10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A101"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35" wp14:editId="39D9A436">
                  <wp:extent cx="304800" cy="304800"/>
                  <wp:effectExtent l="0" t="0" r="0" b="0"/>
                  <wp:docPr id="19" name="图片 140"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0"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A102" w14:textId="77777777" w:rsidR="00996AD7" w:rsidRDefault="00D964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A103" w14:textId="77777777" w:rsidR="00996AD7" w:rsidRDefault="00D96458">
            <w:pPr>
              <w:jc w:val="right"/>
              <w:textAlignment w:val="center"/>
            </w:pPr>
            <w:r>
              <w:rPr>
                <w:rFonts w:ascii="Arial" w:eastAsia="宋体" w:hAnsi="Arial" w:cs="Arial"/>
                <w:color w:val="262626"/>
                <w:sz w:val="16"/>
                <w:szCs w:val="16"/>
              </w:rPr>
              <w:t>40</w:t>
            </w:r>
          </w:p>
        </w:tc>
      </w:tr>
    </w:tbl>
    <w:p w14:paraId="39D9A105" w14:textId="77777777" w:rsidR="00996AD7" w:rsidRDefault="00D96458">
      <w:r>
        <w:pict w14:anchorId="39D9A437">
          <v:rect id="_x0000_i1066" style="width:415.3pt;height:1.5pt" o:hralign="center" o:hrstd="t" o:hr="t" fillcolor="#a0a0a0" stroked="f"/>
        </w:pict>
      </w:r>
    </w:p>
    <w:p w14:paraId="39D9A106" w14:textId="77777777" w:rsidR="00996AD7" w:rsidRDefault="00D96458">
      <w:pPr>
        <w:spacing w:after="180"/>
        <w:jc w:val="right"/>
      </w:pPr>
      <w:hyperlink r:id="rId67" w:anchor="i94e6cc3aa83643b8b968bd5bab038338_7" w:history="1">
        <w:r>
          <w:rPr>
            <w:rStyle w:val="a5"/>
            <w:rFonts w:ascii="Arial" w:eastAsia="宋体" w:hAnsi="Arial" w:cs="Arial"/>
            <w:b/>
            <w:bCs/>
            <w:color w:val="0068B5"/>
            <w:sz w:val="16"/>
            <w:szCs w:val="16"/>
          </w:rPr>
          <w:t>Table of Contents</w:t>
        </w:r>
      </w:hyperlink>
    </w:p>
    <w:p w14:paraId="39D9A107" w14:textId="77777777" w:rsidR="00996AD7" w:rsidRDefault="00996AD7">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96AD7" w14:paraId="39D9A10E" w14:textId="77777777">
        <w:tc>
          <w:tcPr>
            <w:tcW w:w="50" w:type="pct"/>
            <w:shd w:val="clear" w:color="auto" w:fill="auto"/>
            <w:vAlign w:val="bottom"/>
          </w:tcPr>
          <w:p w14:paraId="39D9A108" w14:textId="77777777" w:rsidR="00996AD7" w:rsidRDefault="00996AD7">
            <w:pPr>
              <w:rPr>
                <w:rFonts w:ascii="宋体"/>
              </w:rPr>
            </w:pPr>
          </w:p>
        </w:tc>
        <w:tc>
          <w:tcPr>
            <w:tcW w:w="4870" w:type="pct"/>
            <w:shd w:val="clear" w:color="auto" w:fill="auto"/>
            <w:vAlign w:val="bottom"/>
          </w:tcPr>
          <w:p w14:paraId="39D9A109" w14:textId="77777777" w:rsidR="00996AD7" w:rsidRDefault="00996AD7">
            <w:pPr>
              <w:rPr>
                <w:rFonts w:ascii="宋体"/>
              </w:rPr>
            </w:pPr>
          </w:p>
        </w:tc>
        <w:tc>
          <w:tcPr>
            <w:tcW w:w="5" w:type="pct"/>
            <w:shd w:val="clear" w:color="auto" w:fill="auto"/>
            <w:vAlign w:val="bottom"/>
          </w:tcPr>
          <w:p w14:paraId="39D9A10A" w14:textId="77777777" w:rsidR="00996AD7" w:rsidRDefault="00996AD7">
            <w:pPr>
              <w:rPr>
                <w:rFonts w:ascii="宋体"/>
              </w:rPr>
            </w:pPr>
          </w:p>
        </w:tc>
        <w:tc>
          <w:tcPr>
            <w:tcW w:w="5" w:type="pct"/>
            <w:shd w:val="clear" w:color="auto" w:fill="auto"/>
            <w:vAlign w:val="bottom"/>
          </w:tcPr>
          <w:p w14:paraId="39D9A10B" w14:textId="77777777" w:rsidR="00996AD7" w:rsidRDefault="00996AD7">
            <w:pPr>
              <w:rPr>
                <w:rFonts w:ascii="宋体"/>
              </w:rPr>
            </w:pPr>
          </w:p>
        </w:tc>
        <w:tc>
          <w:tcPr>
            <w:tcW w:w="64" w:type="pct"/>
            <w:shd w:val="clear" w:color="auto" w:fill="auto"/>
            <w:vAlign w:val="bottom"/>
          </w:tcPr>
          <w:p w14:paraId="39D9A10C" w14:textId="77777777" w:rsidR="00996AD7" w:rsidRDefault="00996AD7">
            <w:pPr>
              <w:rPr>
                <w:rFonts w:ascii="宋体"/>
              </w:rPr>
            </w:pPr>
          </w:p>
        </w:tc>
        <w:tc>
          <w:tcPr>
            <w:tcW w:w="5" w:type="pct"/>
            <w:shd w:val="clear" w:color="auto" w:fill="auto"/>
            <w:vAlign w:val="bottom"/>
          </w:tcPr>
          <w:p w14:paraId="39D9A10D" w14:textId="77777777" w:rsidR="00996AD7" w:rsidRDefault="00996AD7">
            <w:pPr>
              <w:rPr>
                <w:rFonts w:ascii="宋体"/>
              </w:rPr>
            </w:pPr>
          </w:p>
        </w:tc>
      </w:tr>
      <w:tr w:rsidR="00996AD7" w14:paraId="39D9A111" w14:textId="77777777">
        <w:tc>
          <w:tcPr>
            <w:tcW w:w="0" w:type="auto"/>
            <w:gridSpan w:val="3"/>
            <w:shd w:val="clear" w:color="auto" w:fill="004A86"/>
            <w:tcMar>
              <w:top w:w="40" w:type="dxa"/>
              <w:left w:w="20" w:type="dxa"/>
              <w:bottom w:w="40" w:type="dxa"/>
              <w:right w:w="20" w:type="dxa"/>
            </w:tcMar>
            <w:vAlign w:val="center"/>
          </w:tcPr>
          <w:p w14:paraId="39D9A10F" w14:textId="77777777" w:rsidR="00996AD7" w:rsidRDefault="00D96458">
            <w:pPr>
              <w:textAlignment w:val="center"/>
            </w:pPr>
            <w:r>
              <w:rPr>
                <w:rFonts w:ascii="Arial" w:eastAsia="宋体" w:hAnsi="Arial" w:cs="Arial"/>
                <w:color w:val="FFFFFF"/>
                <w:sz w:val="36"/>
                <w:szCs w:val="36"/>
              </w:rPr>
              <w:t>Other Key Information</w:t>
            </w:r>
          </w:p>
        </w:tc>
        <w:tc>
          <w:tcPr>
            <w:tcW w:w="0" w:type="auto"/>
            <w:gridSpan w:val="3"/>
            <w:shd w:val="clear" w:color="auto" w:fill="auto"/>
            <w:tcMar>
              <w:top w:w="0" w:type="dxa"/>
              <w:left w:w="20" w:type="dxa"/>
              <w:bottom w:w="0" w:type="dxa"/>
              <w:right w:w="20" w:type="dxa"/>
            </w:tcMar>
            <w:vAlign w:val="bottom"/>
          </w:tcPr>
          <w:p w14:paraId="39D9A110" w14:textId="77777777" w:rsidR="00996AD7" w:rsidRDefault="00996AD7">
            <w:pPr>
              <w:rPr>
                <w:rFonts w:ascii="宋体"/>
              </w:rPr>
            </w:pPr>
          </w:p>
        </w:tc>
      </w:tr>
      <w:tr w:rsidR="00996AD7" w14:paraId="39D9A114" w14:textId="77777777">
        <w:trPr>
          <w:trHeight w:val="160"/>
        </w:trPr>
        <w:tc>
          <w:tcPr>
            <w:tcW w:w="0" w:type="auto"/>
            <w:gridSpan w:val="3"/>
            <w:shd w:val="clear" w:color="auto" w:fill="auto"/>
            <w:tcMar>
              <w:top w:w="0" w:type="dxa"/>
              <w:left w:w="20" w:type="dxa"/>
              <w:bottom w:w="0" w:type="dxa"/>
              <w:right w:w="20" w:type="dxa"/>
            </w:tcMar>
            <w:vAlign w:val="bottom"/>
          </w:tcPr>
          <w:p w14:paraId="39D9A112" w14:textId="77777777" w:rsidR="00996AD7" w:rsidRDefault="00996AD7">
            <w:pPr>
              <w:rPr>
                <w:rFonts w:ascii="宋体"/>
              </w:rPr>
            </w:pPr>
          </w:p>
        </w:tc>
        <w:tc>
          <w:tcPr>
            <w:tcW w:w="0" w:type="auto"/>
            <w:gridSpan w:val="3"/>
            <w:shd w:val="clear" w:color="auto" w:fill="00A3F6"/>
            <w:tcMar>
              <w:top w:w="0" w:type="dxa"/>
              <w:left w:w="20" w:type="dxa"/>
              <w:bottom w:w="0" w:type="dxa"/>
              <w:right w:w="20" w:type="dxa"/>
            </w:tcMar>
            <w:vAlign w:val="bottom"/>
          </w:tcPr>
          <w:p w14:paraId="39D9A113" w14:textId="77777777" w:rsidR="00996AD7" w:rsidRDefault="00996AD7">
            <w:pPr>
              <w:rPr>
                <w:rFonts w:ascii="宋体"/>
              </w:rPr>
            </w:pPr>
          </w:p>
        </w:tc>
      </w:tr>
    </w:tbl>
    <w:p w14:paraId="39D9A115" w14:textId="77777777" w:rsidR="00996AD7" w:rsidRDefault="00D96458">
      <w:pPr>
        <w:spacing w:before="180" w:after="180"/>
      </w:pPr>
      <w:r>
        <w:rPr>
          <w:rFonts w:ascii="Arial" w:eastAsia="宋体" w:hAnsi="Arial" w:cs="Arial"/>
          <w:color w:val="0068B5"/>
          <w:sz w:val="28"/>
          <w:szCs w:val="28"/>
        </w:rPr>
        <w:t xml:space="preserve">Quantitative and Qualitative </w:t>
      </w:r>
      <w:r>
        <w:rPr>
          <w:rFonts w:ascii="Arial" w:eastAsia="宋体" w:hAnsi="Arial" w:cs="Arial"/>
          <w:color w:val="0068B5"/>
          <w:sz w:val="28"/>
          <w:szCs w:val="28"/>
        </w:rPr>
        <w:t>Disclosures About Market Risk</w:t>
      </w:r>
    </w:p>
    <w:p w14:paraId="39D9A116" w14:textId="77777777" w:rsidR="00996AD7" w:rsidRDefault="00D96458">
      <w:pPr>
        <w:spacing w:after="180"/>
      </w:pPr>
      <w:r>
        <w:rPr>
          <w:rFonts w:ascii="Arial" w:eastAsia="宋体" w:hAnsi="Arial" w:cs="Arial"/>
          <w:color w:val="262626"/>
          <w:sz w:val="18"/>
          <w:szCs w:val="18"/>
        </w:rPr>
        <w:t>We are affected by changes in currency exchange and interest rates, as well as equity and commodity prices. Our risk management programs are designed to reduce, but may not entirely eliminate, the impacts of these risks. For discussion about market risk an</w:t>
      </w:r>
      <w:r>
        <w:rPr>
          <w:rFonts w:ascii="Arial" w:eastAsia="宋体" w:hAnsi="Arial" w:cs="Arial"/>
          <w:color w:val="262626"/>
          <w:sz w:val="18"/>
          <w:szCs w:val="18"/>
        </w:rPr>
        <w:t>d sensitivity analysis related to changes in currency exchange rates, interest rates, equity prices, and commodity prices refer to "Quantitative and Qualitative Disclosures About Market Risk" within MD&amp;A in our 2020 Form 10-K.</w:t>
      </w:r>
    </w:p>
    <w:p w14:paraId="39D9A117" w14:textId="77777777" w:rsidR="00996AD7" w:rsidRDefault="00D96458">
      <w:pPr>
        <w:spacing w:before="300" w:after="180"/>
      </w:pPr>
      <w:r>
        <w:rPr>
          <w:rFonts w:ascii="Arial" w:eastAsia="宋体" w:hAnsi="Arial" w:cs="Arial"/>
          <w:color w:val="0068B5"/>
          <w:sz w:val="28"/>
          <w:szCs w:val="28"/>
        </w:rPr>
        <w:t>Risk Factors</w:t>
      </w:r>
    </w:p>
    <w:p w14:paraId="39D9A118" w14:textId="77777777" w:rsidR="00996AD7" w:rsidRDefault="00D96458">
      <w:pPr>
        <w:spacing w:after="180"/>
      </w:pPr>
      <w:r>
        <w:rPr>
          <w:rFonts w:ascii="Arial" w:eastAsia="宋体" w:hAnsi="Arial" w:cs="Arial"/>
          <w:color w:val="262626"/>
          <w:sz w:val="18"/>
          <w:szCs w:val="18"/>
        </w:rPr>
        <w:t>The risks descri</w:t>
      </w:r>
      <w:r>
        <w:rPr>
          <w:rFonts w:ascii="Arial" w:eastAsia="宋体" w:hAnsi="Arial" w:cs="Arial"/>
          <w:color w:val="262626"/>
          <w:sz w:val="18"/>
          <w:szCs w:val="18"/>
        </w:rPr>
        <w:t>bed in "Risk Factors" within Other Key Information in our 2020 Form 10-K and our subsequent Form 10-Qs could materially and adversely affect our business, financial condition, and results of operations, and the trading price of our common stock could decli</w:t>
      </w:r>
      <w:r>
        <w:rPr>
          <w:rFonts w:ascii="Arial" w:eastAsia="宋体" w:hAnsi="Arial" w:cs="Arial"/>
          <w:color w:val="262626"/>
          <w:sz w:val="18"/>
          <w:szCs w:val="18"/>
        </w:rPr>
        <w:t>ne. These risk factors do not identify all risks that we face—our operations could also be affected by factors that are not presently known to us or that we currently consider to be immaterial to our operations. Due to risks and uncertainties, known and un</w:t>
      </w:r>
      <w:r>
        <w:rPr>
          <w:rFonts w:ascii="Arial" w:eastAsia="宋体" w:hAnsi="Arial" w:cs="Arial"/>
          <w:color w:val="262626"/>
          <w:sz w:val="18"/>
          <w:szCs w:val="18"/>
        </w:rPr>
        <w:t>known, our past financial results may not be a reliable indicator of future performance and historical trends should not be used to anticipate results or trends in future periods. Refer also to the other information set forth in this Form 10-Q, including i</w:t>
      </w:r>
      <w:r>
        <w:rPr>
          <w:rFonts w:ascii="Arial" w:eastAsia="宋体" w:hAnsi="Arial" w:cs="Arial"/>
          <w:color w:val="262626"/>
          <w:sz w:val="18"/>
          <w:szCs w:val="18"/>
        </w:rPr>
        <w:t>n the Forward-Looking Statements, MD&amp;A, and Consolidated Condensed Financial Statements and Supplemental Details sections.</w:t>
      </w:r>
    </w:p>
    <w:p w14:paraId="39D9A119" w14:textId="77777777" w:rsidR="00996AD7" w:rsidRDefault="00D96458">
      <w:pPr>
        <w:spacing w:before="300" w:after="180"/>
      </w:pPr>
      <w:r>
        <w:rPr>
          <w:rFonts w:ascii="Arial" w:eastAsia="宋体" w:hAnsi="Arial" w:cs="Arial"/>
          <w:color w:val="0068B5"/>
          <w:sz w:val="28"/>
          <w:szCs w:val="28"/>
        </w:rPr>
        <w:t>Controls and Procedures</w:t>
      </w:r>
    </w:p>
    <w:p w14:paraId="39D9A11A" w14:textId="77777777" w:rsidR="00996AD7" w:rsidRDefault="00D96458">
      <w:pPr>
        <w:spacing w:after="120"/>
      </w:pPr>
      <w:r>
        <w:rPr>
          <w:rFonts w:ascii="Arial" w:eastAsia="宋体" w:hAnsi="Arial" w:cs="Arial"/>
          <w:color w:val="0068B5"/>
          <w:sz w:val="20"/>
          <w:szCs w:val="20"/>
        </w:rPr>
        <w:t>Inherent Limitations on Effectiveness of Controls</w:t>
      </w:r>
    </w:p>
    <w:p w14:paraId="39D9A11B" w14:textId="77777777" w:rsidR="00996AD7" w:rsidRDefault="00D96458">
      <w:pPr>
        <w:spacing w:after="180"/>
      </w:pPr>
      <w:r>
        <w:rPr>
          <w:rFonts w:ascii="Arial" w:eastAsia="宋体" w:hAnsi="Arial" w:cs="Arial"/>
          <w:color w:val="262626"/>
          <w:sz w:val="18"/>
          <w:szCs w:val="18"/>
        </w:rPr>
        <w:t>Our management, including the principal executive officer a</w:t>
      </w:r>
      <w:r>
        <w:rPr>
          <w:rFonts w:ascii="Arial" w:eastAsia="宋体" w:hAnsi="Arial" w:cs="Arial"/>
          <w:color w:val="262626"/>
          <w:sz w:val="18"/>
          <w:szCs w:val="18"/>
        </w:rPr>
        <w:t>nd principal financial officer, does not expect that our disclosure controls and procedures or our internal control over financial reporting will prevent or detect all errors and all fraud. A control system, no matter how well-designed and operated, can pr</w:t>
      </w:r>
      <w:r>
        <w:rPr>
          <w:rFonts w:ascii="Arial" w:eastAsia="宋体" w:hAnsi="Arial" w:cs="Arial"/>
          <w:color w:val="262626"/>
          <w:sz w:val="18"/>
          <w:szCs w:val="18"/>
        </w:rPr>
        <w:t>ovide only reasonable, not absolute, assurance that the control system’s objectives will be met. The design of a control system must reflect the fact that there are resource constraints, and the benefits of controls must be considered relative to their cos</w:t>
      </w:r>
      <w:r>
        <w:rPr>
          <w:rFonts w:ascii="Arial" w:eastAsia="宋体" w:hAnsi="Arial" w:cs="Arial"/>
          <w:color w:val="262626"/>
          <w:sz w:val="18"/>
          <w:szCs w:val="18"/>
        </w:rPr>
        <w:t>ts. Further, because of the inherent limitations in all control systems, no evaluation of controls can provide absolute assurance that misstatements due to error or fraud will not occur or that all control issues and instances of fraud, if any, have been d</w:t>
      </w:r>
      <w:r>
        <w:rPr>
          <w:rFonts w:ascii="Arial" w:eastAsia="宋体" w:hAnsi="Arial" w:cs="Arial"/>
          <w:color w:val="262626"/>
          <w:sz w:val="18"/>
          <w:szCs w:val="18"/>
        </w:rPr>
        <w:t>etected.</w:t>
      </w:r>
    </w:p>
    <w:p w14:paraId="39D9A11C" w14:textId="77777777" w:rsidR="00996AD7" w:rsidRDefault="00D96458">
      <w:pPr>
        <w:spacing w:after="120"/>
      </w:pPr>
      <w:r>
        <w:rPr>
          <w:rFonts w:ascii="Arial" w:eastAsia="宋体" w:hAnsi="Arial" w:cs="Arial"/>
          <w:color w:val="0068B5"/>
          <w:sz w:val="20"/>
          <w:szCs w:val="20"/>
        </w:rPr>
        <w:t>Evaluation of Disclosure Controls and Procedures</w:t>
      </w:r>
    </w:p>
    <w:p w14:paraId="39D9A11D" w14:textId="77777777" w:rsidR="00996AD7" w:rsidRDefault="00D96458">
      <w:pPr>
        <w:spacing w:after="180"/>
      </w:pPr>
      <w:r>
        <w:rPr>
          <w:rFonts w:ascii="Arial" w:eastAsia="宋体" w:hAnsi="Arial" w:cs="Arial"/>
          <w:color w:val="262626"/>
          <w:sz w:val="18"/>
          <w:szCs w:val="18"/>
        </w:rPr>
        <w:t>Based on management’s evaluation (with the participation of our principal executive officer and principal financial officer), as of the end of the period covered by this report, our principal execut</w:t>
      </w:r>
      <w:r>
        <w:rPr>
          <w:rFonts w:ascii="Arial" w:eastAsia="宋体" w:hAnsi="Arial" w:cs="Arial"/>
          <w:color w:val="262626"/>
          <w:sz w:val="18"/>
          <w:szCs w:val="18"/>
        </w:rPr>
        <w:t>ive officer and principal financial officer have concluded that our disclosure controls and procedures (as defined in Rules 13a-15(e) and 15d-15(e) under the Securities Exchange Act of 1934, as amended (the Exchange Act)), are effective to provide reasonab</w:t>
      </w:r>
      <w:r>
        <w:rPr>
          <w:rFonts w:ascii="Arial" w:eastAsia="宋体" w:hAnsi="Arial" w:cs="Arial"/>
          <w:color w:val="262626"/>
          <w:sz w:val="18"/>
          <w:szCs w:val="18"/>
        </w:rPr>
        <w:t>le assurance that information required to be disclosed by us in reports that we file or submit under the Exchange Act is recorded, processed, summarized, and reported within the time periods specified in SEC rules and forms, and is accumulated and communic</w:t>
      </w:r>
      <w:r>
        <w:rPr>
          <w:rFonts w:ascii="Arial" w:eastAsia="宋体" w:hAnsi="Arial" w:cs="Arial"/>
          <w:color w:val="262626"/>
          <w:sz w:val="18"/>
          <w:szCs w:val="18"/>
        </w:rPr>
        <w:t>ated to management, including our principal executive officer and principal financial officer, as appropriate, to allow timely decisions regarding required disclosure.</w:t>
      </w:r>
    </w:p>
    <w:p w14:paraId="39D9A11E" w14:textId="77777777" w:rsidR="00996AD7" w:rsidRDefault="00D96458">
      <w:pPr>
        <w:spacing w:after="120"/>
      </w:pPr>
      <w:r>
        <w:rPr>
          <w:rFonts w:ascii="Arial" w:eastAsia="宋体" w:hAnsi="Arial" w:cs="Arial"/>
          <w:color w:val="0068B5"/>
          <w:sz w:val="20"/>
          <w:szCs w:val="20"/>
        </w:rPr>
        <w:t>Changes in Internal Control Over Financial Reporting</w:t>
      </w:r>
    </w:p>
    <w:p w14:paraId="39D9A11F" w14:textId="77777777" w:rsidR="00996AD7" w:rsidRDefault="00D96458">
      <w:pPr>
        <w:spacing w:after="180"/>
      </w:pPr>
      <w:r>
        <w:rPr>
          <w:rFonts w:ascii="Arial" w:eastAsia="宋体" w:hAnsi="Arial" w:cs="Arial"/>
          <w:color w:val="262626"/>
          <w:sz w:val="18"/>
          <w:szCs w:val="18"/>
        </w:rPr>
        <w:t>There were no changes to our intern</w:t>
      </w:r>
      <w:r>
        <w:rPr>
          <w:rFonts w:ascii="Arial" w:eastAsia="宋体" w:hAnsi="Arial" w:cs="Arial"/>
          <w:color w:val="262626"/>
          <w:sz w:val="18"/>
          <w:szCs w:val="18"/>
        </w:rPr>
        <w:t>al control over financial reporting (as defined in Rules 13a-15(f) and 15d-15(f) under the Exchange Act) that occurred during the quarter ended September 25, 2021 that have materially affected, or are reasonably likely to materially affect, our internal co</w:t>
      </w:r>
      <w:r>
        <w:rPr>
          <w:rFonts w:ascii="Arial" w:eastAsia="宋体" w:hAnsi="Arial" w:cs="Arial"/>
          <w:color w:val="262626"/>
          <w:sz w:val="18"/>
          <w:szCs w:val="18"/>
        </w:rPr>
        <w:t>ntrol over financial reporting.</w:t>
      </w:r>
    </w:p>
    <w:p w14:paraId="39D9A120" w14:textId="77777777" w:rsidR="00996AD7" w:rsidRDefault="00D96458">
      <w:pPr>
        <w:spacing w:before="300" w:after="180"/>
      </w:pPr>
      <w:r>
        <w:rPr>
          <w:rFonts w:ascii="Arial" w:eastAsia="宋体" w:hAnsi="Arial" w:cs="Arial"/>
          <w:color w:val="0068B5"/>
          <w:sz w:val="28"/>
          <w:szCs w:val="28"/>
        </w:rPr>
        <w:t>Issuer Purchases of Equity Securities</w:t>
      </w:r>
    </w:p>
    <w:p w14:paraId="39D9A121" w14:textId="77777777" w:rsidR="00996AD7" w:rsidRDefault="00D96458">
      <w:pPr>
        <w:spacing w:after="180"/>
      </w:pPr>
      <w:r>
        <w:rPr>
          <w:rFonts w:ascii="Arial" w:eastAsia="宋体" w:hAnsi="Arial" w:cs="Arial"/>
          <w:color w:val="262626"/>
          <w:sz w:val="18"/>
          <w:szCs w:val="18"/>
        </w:rPr>
        <w:t>We have an ongoing authorization, originally approved by our Board of Directors in 2005 and subsequently amended, to repurchase shares of our common stock in open market or negotiated tr</w:t>
      </w:r>
      <w:r>
        <w:rPr>
          <w:rFonts w:ascii="Arial" w:eastAsia="宋体" w:hAnsi="Arial" w:cs="Arial"/>
          <w:color w:val="262626"/>
          <w:sz w:val="18"/>
          <w:szCs w:val="18"/>
        </w:rPr>
        <w:t>ansactions. No shares were repurchased during the quarter ending September 25, 2021. As of September 25, 2021, we were authorized to repurchase up to $110.0 billion, of which $7.2 billion remained available.</w:t>
      </w:r>
    </w:p>
    <w:p w14:paraId="39D9A122" w14:textId="77777777" w:rsidR="00996AD7" w:rsidRDefault="00D96458">
      <w:pPr>
        <w:spacing w:after="180"/>
      </w:pPr>
      <w:r>
        <w:rPr>
          <w:rFonts w:ascii="Arial" w:eastAsia="宋体" w:hAnsi="Arial" w:cs="Arial"/>
          <w:color w:val="262626"/>
          <w:sz w:val="18"/>
          <w:szCs w:val="18"/>
        </w:rPr>
        <w:t>We issue RSUs as part of our equity incentive pl</w:t>
      </w:r>
      <w:r>
        <w:rPr>
          <w:rFonts w:ascii="Arial" w:eastAsia="宋体" w:hAnsi="Arial" w:cs="Arial"/>
          <w:color w:val="262626"/>
          <w:sz w:val="18"/>
          <w:szCs w:val="18"/>
        </w:rPr>
        <w:t>ans. In our Consolidated Condensed Financial Statements, we treat shares of common stock withheld for tax purposes on behalf of our employees in connection with the vesting of RSUs as common stock repurchases because they reduce the number of shares that w</w:t>
      </w:r>
      <w:r>
        <w:rPr>
          <w:rFonts w:ascii="Arial" w:eastAsia="宋体" w:hAnsi="Arial" w:cs="Arial"/>
          <w:color w:val="262626"/>
          <w:sz w:val="18"/>
          <w:szCs w:val="18"/>
        </w:rPr>
        <w:t>ould have been issued upon vesting. These withheld shares of common stock are not considered common stock repurchases under our authorized common stock repurchase program.</w:t>
      </w:r>
    </w:p>
    <w:p w14:paraId="39D9A123" w14:textId="77777777" w:rsidR="00996AD7" w:rsidRDefault="00996AD7">
      <w:pPr>
        <w:spacing w:after="180"/>
      </w:pPr>
    </w:p>
    <w:p w14:paraId="39D9A124" w14:textId="77777777" w:rsidR="00996AD7" w:rsidRDefault="00996AD7">
      <w:pPr>
        <w:spacing w:after="180"/>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996AD7" w14:paraId="39D9A12E" w14:textId="77777777">
        <w:tc>
          <w:tcPr>
            <w:tcW w:w="50" w:type="pct"/>
            <w:shd w:val="clear" w:color="auto" w:fill="auto"/>
            <w:vAlign w:val="bottom"/>
          </w:tcPr>
          <w:p w14:paraId="39D9A125" w14:textId="77777777" w:rsidR="00996AD7" w:rsidRDefault="00996AD7">
            <w:pPr>
              <w:rPr>
                <w:rFonts w:ascii="宋体"/>
              </w:rPr>
            </w:pPr>
          </w:p>
        </w:tc>
        <w:tc>
          <w:tcPr>
            <w:tcW w:w="212" w:type="pct"/>
            <w:shd w:val="clear" w:color="auto" w:fill="auto"/>
            <w:vAlign w:val="bottom"/>
          </w:tcPr>
          <w:p w14:paraId="39D9A126" w14:textId="77777777" w:rsidR="00996AD7" w:rsidRDefault="00996AD7">
            <w:pPr>
              <w:rPr>
                <w:rFonts w:ascii="宋体"/>
              </w:rPr>
            </w:pPr>
          </w:p>
        </w:tc>
        <w:tc>
          <w:tcPr>
            <w:tcW w:w="5" w:type="pct"/>
            <w:shd w:val="clear" w:color="auto" w:fill="auto"/>
            <w:vAlign w:val="bottom"/>
          </w:tcPr>
          <w:p w14:paraId="39D9A127" w14:textId="77777777" w:rsidR="00996AD7" w:rsidRDefault="00996AD7">
            <w:pPr>
              <w:rPr>
                <w:rFonts w:ascii="宋体"/>
              </w:rPr>
            </w:pPr>
          </w:p>
        </w:tc>
        <w:tc>
          <w:tcPr>
            <w:tcW w:w="50" w:type="pct"/>
            <w:shd w:val="clear" w:color="auto" w:fill="auto"/>
            <w:vAlign w:val="bottom"/>
          </w:tcPr>
          <w:p w14:paraId="39D9A128" w14:textId="77777777" w:rsidR="00996AD7" w:rsidRDefault="00996AD7">
            <w:pPr>
              <w:rPr>
                <w:rFonts w:ascii="宋体"/>
              </w:rPr>
            </w:pPr>
          </w:p>
        </w:tc>
        <w:tc>
          <w:tcPr>
            <w:tcW w:w="2492" w:type="pct"/>
            <w:shd w:val="clear" w:color="auto" w:fill="auto"/>
            <w:vAlign w:val="bottom"/>
          </w:tcPr>
          <w:p w14:paraId="39D9A129" w14:textId="77777777" w:rsidR="00996AD7" w:rsidRDefault="00996AD7">
            <w:pPr>
              <w:rPr>
                <w:rFonts w:ascii="宋体"/>
              </w:rPr>
            </w:pPr>
          </w:p>
        </w:tc>
        <w:tc>
          <w:tcPr>
            <w:tcW w:w="5" w:type="pct"/>
            <w:shd w:val="clear" w:color="auto" w:fill="auto"/>
            <w:vAlign w:val="bottom"/>
          </w:tcPr>
          <w:p w14:paraId="39D9A12A" w14:textId="77777777" w:rsidR="00996AD7" w:rsidRDefault="00996AD7">
            <w:pPr>
              <w:rPr>
                <w:rFonts w:ascii="宋体"/>
              </w:rPr>
            </w:pPr>
          </w:p>
        </w:tc>
        <w:tc>
          <w:tcPr>
            <w:tcW w:w="50" w:type="pct"/>
            <w:shd w:val="clear" w:color="auto" w:fill="auto"/>
            <w:vAlign w:val="bottom"/>
          </w:tcPr>
          <w:p w14:paraId="39D9A12B" w14:textId="77777777" w:rsidR="00996AD7" w:rsidRDefault="00996AD7">
            <w:pPr>
              <w:rPr>
                <w:rFonts w:ascii="宋体"/>
              </w:rPr>
            </w:pPr>
          </w:p>
        </w:tc>
        <w:tc>
          <w:tcPr>
            <w:tcW w:w="2130" w:type="pct"/>
            <w:shd w:val="clear" w:color="auto" w:fill="auto"/>
            <w:vAlign w:val="bottom"/>
          </w:tcPr>
          <w:p w14:paraId="39D9A12C" w14:textId="77777777" w:rsidR="00996AD7" w:rsidRDefault="00996AD7">
            <w:pPr>
              <w:rPr>
                <w:rFonts w:ascii="宋体"/>
              </w:rPr>
            </w:pPr>
          </w:p>
        </w:tc>
        <w:tc>
          <w:tcPr>
            <w:tcW w:w="5" w:type="pct"/>
            <w:shd w:val="clear" w:color="auto" w:fill="auto"/>
            <w:vAlign w:val="bottom"/>
          </w:tcPr>
          <w:p w14:paraId="39D9A12D" w14:textId="77777777" w:rsidR="00996AD7" w:rsidRDefault="00996AD7">
            <w:pPr>
              <w:rPr>
                <w:rFonts w:ascii="宋体"/>
              </w:rPr>
            </w:pPr>
          </w:p>
        </w:tc>
      </w:tr>
      <w:tr w:rsidR="00996AD7" w14:paraId="39D9A13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A12F"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38" wp14:editId="39D9A439">
                  <wp:extent cx="304800" cy="304800"/>
                  <wp:effectExtent l="0" t="0" r="0" b="0"/>
                  <wp:docPr id="16" name="图片 142"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2"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A130" w14:textId="77777777" w:rsidR="00996AD7" w:rsidRDefault="00D9645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A131" w14:textId="77777777" w:rsidR="00996AD7" w:rsidRDefault="00D96458">
            <w:pPr>
              <w:jc w:val="right"/>
              <w:textAlignment w:val="center"/>
            </w:pPr>
            <w:r>
              <w:rPr>
                <w:rFonts w:ascii="Arial" w:eastAsia="宋体" w:hAnsi="Arial" w:cs="Arial"/>
                <w:color w:val="262626"/>
                <w:sz w:val="16"/>
                <w:szCs w:val="16"/>
              </w:rPr>
              <w:t>41</w:t>
            </w:r>
          </w:p>
        </w:tc>
      </w:tr>
    </w:tbl>
    <w:p w14:paraId="39D9A133" w14:textId="77777777" w:rsidR="00996AD7" w:rsidRDefault="00D96458">
      <w:r>
        <w:pict w14:anchorId="39D9A43A">
          <v:rect id="_x0000_i1067" style="width:415.3pt;height:1.5pt" o:hralign="center" o:hrstd="t" o:hr="t" fillcolor="#a0a0a0" stroked="f"/>
        </w:pict>
      </w:r>
    </w:p>
    <w:p w14:paraId="39D9A134" w14:textId="77777777" w:rsidR="00996AD7" w:rsidRDefault="00D96458">
      <w:pPr>
        <w:spacing w:after="180"/>
        <w:jc w:val="right"/>
      </w:pPr>
      <w:hyperlink r:id="rId68" w:anchor="i94e6cc3aa83643b8b968bd5bab038338_7" w:history="1">
        <w:r>
          <w:rPr>
            <w:rStyle w:val="a5"/>
            <w:rFonts w:ascii="Arial" w:eastAsia="宋体" w:hAnsi="Arial" w:cs="Arial"/>
            <w:b/>
            <w:bCs/>
            <w:color w:val="0068B5"/>
            <w:sz w:val="16"/>
            <w:szCs w:val="16"/>
          </w:rPr>
          <w:t>Table of Contents</w:t>
        </w:r>
      </w:hyperlink>
    </w:p>
    <w:p w14:paraId="39D9A135" w14:textId="77777777" w:rsidR="00996AD7" w:rsidRDefault="00996AD7">
      <w:pPr>
        <w:spacing w:after="180"/>
        <w:jc w:val="right"/>
      </w:pPr>
    </w:p>
    <w:p w14:paraId="39D9A136" w14:textId="77777777" w:rsidR="00996AD7" w:rsidRDefault="00D96458">
      <w:pPr>
        <w:spacing w:before="180" w:after="180"/>
      </w:pPr>
      <w:r>
        <w:rPr>
          <w:rFonts w:ascii="Arial" w:eastAsia="宋体" w:hAnsi="Arial" w:cs="Arial"/>
          <w:color w:val="0068B5"/>
          <w:sz w:val="28"/>
          <w:szCs w:val="28"/>
        </w:rPr>
        <w:t>Disclosure Pursuant to Section 13(r) of the Securities Exchange Act of 1934</w:t>
      </w:r>
    </w:p>
    <w:p w14:paraId="39D9A137" w14:textId="77777777" w:rsidR="00996AD7" w:rsidRDefault="00D96458">
      <w:pPr>
        <w:spacing w:after="180"/>
      </w:pPr>
      <w:r>
        <w:rPr>
          <w:rFonts w:ascii="Arial" w:eastAsia="宋体" w:hAnsi="Arial" w:cs="Arial"/>
          <w:color w:val="262626"/>
          <w:sz w:val="18"/>
          <w:szCs w:val="18"/>
        </w:rPr>
        <w:t>Section 13(r) of the Exchange Act requires an issuer to disclose certain information in its periodic reports if it or any of its affiliates knowingly engaged in certain activities, transactions or dealings with individuals or entities subject to specific U</w:t>
      </w:r>
      <w:r>
        <w:rPr>
          <w:rFonts w:ascii="Arial" w:eastAsia="宋体" w:hAnsi="Arial" w:cs="Arial"/>
          <w:color w:val="262626"/>
          <w:sz w:val="18"/>
          <w:szCs w:val="18"/>
        </w:rPr>
        <w:t>.S. economic sanctions during the reporting period, even when the activities, transactions, or dealings are conducted in compliance with applicable law. On March 2, 2021, the U.S. Secretary of State designated the Federal Security Service of the Russian Fe</w:t>
      </w:r>
      <w:r>
        <w:rPr>
          <w:rFonts w:ascii="Arial" w:eastAsia="宋体" w:hAnsi="Arial" w:cs="Arial"/>
          <w:color w:val="262626"/>
          <w:sz w:val="18"/>
          <w:szCs w:val="18"/>
        </w:rPr>
        <w:t>deration (FSB) as a party subject to one such sanction. From time to time, our local subsidiary is required to engage with the FSB as a licensing authority and file documents in order to conduct business within the Russian Federation. All such dealings are</w:t>
      </w:r>
      <w:r>
        <w:rPr>
          <w:rFonts w:ascii="Arial" w:eastAsia="宋体" w:hAnsi="Arial" w:cs="Arial"/>
          <w:color w:val="262626"/>
          <w:sz w:val="18"/>
          <w:szCs w:val="18"/>
        </w:rPr>
        <w:t xml:space="preserve"> explicitly authorized by General License 1B issued by the U.S. Department of the Treasury’s Office of Foreign Assets Control (OFAC), and there are no gross revenues or net profits directly associated with any such dealings by us with the FSB. We plan to c</w:t>
      </w:r>
      <w:r>
        <w:rPr>
          <w:rFonts w:ascii="Arial" w:eastAsia="宋体" w:hAnsi="Arial" w:cs="Arial"/>
          <w:color w:val="262626"/>
          <w:sz w:val="18"/>
          <w:szCs w:val="18"/>
        </w:rPr>
        <w:t>ontinue these activities as required to conduct business in the Russian Federation to the extent permitted by applicable law.</w:t>
      </w:r>
    </w:p>
    <w:p w14:paraId="39D9A138" w14:textId="77777777" w:rsidR="00996AD7" w:rsidRDefault="00D96458">
      <w:pPr>
        <w:spacing w:after="180"/>
      </w:pPr>
      <w:r>
        <w:rPr>
          <w:rFonts w:ascii="Arial" w:eastAsia="宋体" w:hAnsi="Arial" w:cs="Arial"/>
          <w:color w:val="262626"/>
          <w:sz w:val="18"/>
          <w:szCs w:val="18"/>
        </w:rPr>
        <w:t>On April 15, 2021, the U.S. Department of the Treasury designated Pozitiv Teknolodzhiz, AO (Positive Technologies), a Russian IT s</w:t>
      </w:r>
      <w:r>
        <w:rPr>
          <w:rFonts w:ascii="Arial" w:eastAsia="宋体" w:hAnsi="Arial" w:cs="Arial"/>
          <w:color w:val="262626"/>
          <w:sz w:val="18"/>
          <w:szCs w:val="18"/>
        </w:rPr>
        <w:t>ecurity firm, as a party subject to one of the sanctions specified in Section 13(r). Prior to the designation, we communicated with Positive Technologies regarding its IT security research and coordinated disclosure of security vulnerabilities identified b</w:t>
      </w:r>
      <w:r>
        <w:rPr>
          <w:rFonts w:ascii="Arial" w:eastAsia="宋体" w:hAnsi="Arial" w:cs="Arial"/>
          <w:color w:val="262626"/>
          <w:sz w:val="18"/>
          <w:szCs w:val="18"/>
        </w:rPr>
        <w:t xml:space="preserve">y the firm. Based on a license issued by OFAC, we resumed such communications. There are no gross revenues or net profits directly associated with any such activities. We plan to continue these communications in accordance with the terms and conditions of </w:t>
      </w:r>
      <w:r>
        <w:rPr>
          <w:rFonts w:ascii="Arial" w:eastAsia="宋体" w:hAnsi="Arial" w:cs="Arial"/>
          <w:color w:val="262626"/>
          <w:sz w:val="18"/>
          <w:szCs w:val="18"/>
        </w:rPr>
        <w:t>the OFAC license.</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996AD7" w14:paraId="39D9A142" w14:textId="77777777">
        <w:tc>
          <w:tcPr>
            <w:tcW w:w="50" w:type="pct"/>
            <w:shd w:val="clear" w:color="auto" w:fill="auto"/>
            <w:vAlign w:val="bottom"/>
          </w:tcPr>
          <w:p w14:paraId="39D9A139" w14:textId="77777777" w:rsidR="00996AD7" w:rsidRDefault="00996AD7">
            <w:pPr>
              <w:rPr>
                <w:rFonts w:ascii="宋体"/>
              </w:rPr>
            </w:pPr>
          </w:p>
        </w:tc>
        <w:tc>
          <w:tcPr>
            <w:tcW w:w="212" w:type="pct"/>
            <w:shd w:val="clear" w:color="auto" w:fill="auto"/>
            <w:vAlign w:val="bottom"/>
          </w:tcPr>
          <w:p w14:paraId="39D9A13A" w14:textId="77777777" w:rsidR="00996AD7" w:rsidRDefault="00996AD7">
            <w:pPr>
              <w:rPr>
                <w:rFonts w:ascii="宋体"/>
              </w:rPr>
            </w:pPr>
          </w:p>
        </w:tc>
        <w:tc>
          <w:tcPr>
            <w:tcW w:w="5" w:type="pct"/>
            <w:shd w:val="clear" w:color="auto" w:fill="auto"/>
            <w:vAlign w:val="bottom"/>
          </w:tcPr>
          <w:p w14:paraId="39D9A13B" w14:textId="77777777" w:rsidR="00996AD7" w:rsidRDefault="00996AD7">
            <w:pPr>
              <w:rPr>
                <w:rFonts w:ascii="宋体"/>
              </w:rPr>
            </w:pPr>
          </w:p>
        </w:tc>
        <w:tc>
          <w:tcPr>
            <w:tcW w:w="50" w:type="pct"/>
            <w:shd w:val="clear" w:color="auto" w:fill="auto"/>
            <w:vAlign w:val="bottom"/>
          </w:tcPr>
          <w:p w14:paraId="39D9A13C" w14:textId="77777777" w:rsidR="00996AD7" w:rsidRDefault="00996AD7">
            <w:pPr>
              <w:rPr>
                <w:rFonts w:ascii="宋体"/>
              </w:rPr>
            </w:pPr>
          </w:p>
        </w:tc>
        <w:tc>
          <w:tcPr>
            <w:tcW w:w="2492" w:type="pct"/>
            <w:shd w:val="clear" w:color="auto" w:fill="auto"/>
            <w:vAlign w:val="bottom"/>
          </w:tcPr>
          <w:p w14:paraId="39D9A13D" w14:textId="77777777" w:rsidR="00996AD7" w:rsidRDefault="00996AD7">
            <w:pPr>
              <w:rPr>
                <w:rFonts w:ascii="宋体"/>
              </w:rPr>
            </w:pPr>
          </w:p>
        </w:tc>
        <w:tc>
          <w:tcPr>
            <w:tcW w:w="5" w:type="pct"/>
            <w:shd w:val="clear" w:color="auto" w:fill="auto"/>
            <w:vAlign w:val="bottom"/>
          </w:tcPr>
          <w:p w14:paraId="39D9A13E" w14:textId="77777777" w:rsidR="00996AD7" w:rsidRDefault="00996AD7">
            <w:pPr>
              <w:rPr>
                <w:rFonts w:ascii="宋体"/>
              </w:rPr>
            </w:pPr>
          </w:p>
        </w:tc>
        <w:tc>
          <w:tcPr>
            <w:tcW w:w="50" w:type="pct"/>
            <w:shd w:val="clear" w:color="auto" w:fill="auto"/>
            <w:vAlign w:val="bottom"/>
          </w:tcPr>
          <w:p w14:paraId="39D9A13F" w14:textId="77777777" w:rsidR="00996AD7" w:rsidRDefault="00996AD7">
            <w:pPr>
              <w:rPr>
                <w:rFonts w:ascii="宋体"/>
              </w:rPr>
            </w:pPr>
          </w:p>
        </w:tc>
        <w:tc>
          <w:tcPr>
            <w:tcW w:w="2130" w:type="pct"/>
            <w:shd w:val="clear" w:color="auto" w:fill="auto"/>
            <w:vAlign w:val="bottom"/>
          </w:tcPr>
          <w:p w14:paraId="39D9A140" w14:textId="77777777" w:rsidR="00996AD7" w:rsidRDefault="00996AD7">
            <w:pPr>
              <w:rPr>
                <w:rFonts w:ascii="宋体"/>
              </w:rPr>
            </w:pPr>
          </w:p>
        </w:tc>
        <w:tc>
          <w:tcPr>
            <w:tcW w:w="5" w:type="pct"/>
            <w:shd w:val="clear" w:color="auto" w:fill="auto"/>
            <w:vAlign w:val="bottom"/>
          </w:tcPr>
          <w:p w14:paraId="39D9A141" w14:textId="77777777" w:rsidR="00996AD7" w:rsidRDefault="00996AD7">
            <w:pPr>
              <w:rPr>
                <w:rFonts w:ascii="宋体"/>
              </w:rPr>
            </w:pPr>
          </w:p>
        </w:tc>
      </w:tr>
      <w:tr w:rsidR="00996AD7" w14:paraId="39D9A14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A143"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3B" wp14:editId="39D9A43C">
                  <wp:extent cx="304800" cy="304800"/>
                  <wp:effectExtent l="0" t="0" r="0" b="0"/>
                  <wp:docPr id="72" name="图片 144"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44"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A144" w14:textId="77777777" w:rsidR="00996AD7" w:rsidRDefault="00D9645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A145" w14:textId="77777777" w:rsidR="00996AD7" w:rsidRDefault="00D96458">
            <w:pPr>
              <w:jc w:val="right"/>
              <w:textAlignment w:val="center"/>
            </w:pPr>
            <w:r>
              <w:rPr>
                <w:rFonts w:ascii="Arial" w:eastAsia="宋体" w:hAnsi="Arial" w:cs="Arial"/>
                <w:color w:val="262626"/>
                <w:sz w:val="16"/>
                <w:szCs w:val="16"/>
              </w:rPr>
              <w:t>42</w:t>
            </w:r>
          </w:p>
        </w:tc>
      </w:tr>
    </w:tbl>
    <w:p w14:paraId="39D9A147" w14:textId="77777777" w:rsidR="00996AD7" w:rsidRDefault="00D96458">
      <w:r>
        <w:pict w14:anchorId="39D9A43D">
          <v:rect id="_x0000_i1068" style="width:415.3pt;height:1.5pt" o:hralign="center" o:hrstd="t" o:hr="t" fillcolor="#a0a0a0" stroked="f"/>
        </w:pict>
      </w:r>
    </w:p>
    <w:p w14:paraId="39D9A148" w14:textId="77777777" w:rsidR="00996AD7" w:rsidRDefault="00D96458">
      <w:pPr>
        <w:spacing w:after="180"/>
        <w:jc w:val="right"/>
      </w:pPr>
      <w:hyperlink r:id="rId69" w:anchor="i94e6cc3aa83643b8b968bd5bab038338_7" w:history="1">
        <w:r>
          <w:rPr>
            <w:rStyle w:val="a5"/>
            <w:rFonts w:ascii="Arial" w:eastAsia="宋体" w:hAnsi="Arial" w:cs="Arial"/>
            <w:b/>
            <w:bCs/>
            <w:color w:val="0068B5"/>
            <w:sz w:val="16"/>
            <w:szCs w:val="16"/>
          </w:rPr>
          <w:t>Table of Contents</w:t>
        </w:r>
      </w:hyperlink>
    </w:p>
    <w:p w14:paraId="39D9A149" w14:textId="77777777" w:rsidR="00996AD7" w:rsidRDefault="00996AD7">
      <w:pPr>
        <w:spacing w:after="180"/>
        <w:jc w:val="right"/>
      </w:pPr>
    </w:p>
    <w:p w14:paraId="39D9A14A" w14:textId="77777777" w:rsidR="00996AD7" w:rsidRDefault="00D96458">
      <w:pPr>
        <w:spacing w:after="180"/>
      </w:pPr>
      <w:r>
        <w:rPr>
          <w:rFonts w:ascii="Arial" w:eastAsia="宋体" w:hAnsi="Arial" w:cs="Arial"/>
          <w:color w:val="0068B5"/>
          <w:sz w:val="28"/>
          <w:szCs w:val="28"/>
        </w:rPr>
        <w:t>Exhibits</w:t>
      </w:r>
    </w:p>
    <w:tbl>
      <w:tblPr>
        <w:tblW w:w="4986" w:type="pct"/>
        <w:tblCellMar>
          <w:top w:w="15" w:type="dxa"/>
          <w:left w:w="15" w:type="dxa"/>
          <w:bottom w:w="15" w:type="dxa"/>
          <w:right w:w="15" w:type="dxa"/>
        </w:tblCellMar>
        <w:tblLook w:val="04A0" w:firstRow="1" w:lastRow="0" w:firstColumn="1" w:lastColumn="0" w:noHBand="0" w:noVBand="1"/>
      </w:tblPr>
      <w:tblGrid>
        <w:gridCol w:w="78"/>
        <w:gridCol w:w="686"/>
        <w:gridCol w:w="36"/>
        <w:gridCol w:w="36"/>
        <w:gridCol w:w="36"/>
        <w:gridCol w:w="36"/>
        <w:gridCol w:w="39"/>
        <w:gridCol w:w="2859"/>
        <w:gridCol w:w="38"/>
        <w:gridCol w:w="36"/>
        <w:gridCol w:w="36"/>
        <w:gridCol w:w="36"/>
        <w:gridCol w:w="92"/>
        <w:gridCol w:w="389"/>
        <w:gridCol w:w="37"/>
        <w:gridCol w:w="37"/>
        <w:gridCol w:w="37"/>
        <w:gridCol w:w="37"/>
        <w:gridCol w:w="88"/>
        <w:gridCol w:w="805"/>
        <w:gridCol w:w="38"/>
        <w:gridCol w:w="37"/>
        <w:gridCol w:w="37"/>
        <w:gridCol w:w="36"/>
        <w:gridCol w:w="96"/>
        <w:gridCol w:w="536"/>
        <w:gridCol w:w="36"/>
        <w:gridCol w:w="36"/>
        <w:gridCol w:w="36"/>
        <w:gridCol w:w="36"/>
        <w:gridCol w:w="81"/>
        <w:gridCol w:w="752"/>
        <w:gridCol w:w="36"/>
        <w:gridCol w:w="36"/>
        <w:gridCol w:w="36"/>
        <w:gridCol w:w="36"/>
        <w:gridCol w:w="100"/>
        <w:gridCol w:w="802"/>
        <w:gridCol w:w="36"/>
      </w:tblGrid>
      <w:tr w:rsidR="00996AD7" w14:paraId="39D9A172" w14:textId="77777777">
        <w:tc>
          <w:tcPr>
            <w:tcW w:w="50" w:type="pct"/>
            <w:shd w:val="clear" w:color="auto" w:fill="auto"/>
            <w:vAlign w:val="bottom"/>
          </w:tcPr>
          <w:p w14:paraId="39D9A14B" w14:textId="77777777" w:rsidR="00996AD7" w:rsidRDefault="00996AD7">
            <w:pPr>
              <w:rPr>
                <w:rFonts w:ascii="宋体"/>
              </w:rPr>
            </w:pPr>
          </w:p>
        </w:tc>
        <w:tc>
          <w:tcPr>
            <w:tcW w:w="445" w:type="pct"/>
            <w:shd w:val="clear" w:color="auto" w:fill="auto"/>
            <w:vAlign w:val="bottom"/>
          </w:tcPr>
          <w:p w14:paraId="39D9A14C" w14:textId="77777777" w:rsidR="00996AD7" w:rsidRDefault="00996AD7">
            <w:pPr>
              <w:rPr>
                <w:rFonts w:ascii="宋体"/>
              </w:rPr>
            </w:pPr>
          </w:p>
        </w:tc>
        <w:tc>
          <w:tcPr>
            <w:tcW w:w="5" w:type="pct"/>
            <w:shd w:val="clear" w:color="auto" w:fill="auto"/>
            <w:vAlign w:val="bottom"/>
          </w:tcPr>
          <w:p w14:paraId="39D9A14D" w14:textId="77777777" w:rsidR="00996AD7" w:rsidRDefault="00996AD7">
            <w:pPr>
              <w:rPr>
                <w:rFonts w:ascii="宋体"/>
              </w:rPr>
            </w:pPr>
          </w:p>
        </w:tc>
        <w:tc>
          <w:tcPr>
            <w:tcW w:w="5" w:type="pct"/>
            <w:shd w:val="clear" w:color="auto" w:fill="auto"/>
            <w:vAlign w:val="bottom"/>
          </w:tcPr>
          <w:p w14:paraId="39D9A14E" w14:textId="77777777" w:rsidR="00996AD7" w:rsidRDefault="00996AD7">
            <w:pPr>
              <w:rPr>
                <w:rFonts w:ascii="宋体"/>
              </w:rPr>
            </w:pPr>
          </w:p>
        </w:tc>
        <w:tc>
          <w:tcPr>
            <w:tcW w:w="24" w:type="pct"/>
            <w:shd w:val="clear" w:color="auto" w:fill="auto"/>
            <w:vAlign w:val="bottom"/>
          </w:tcPr>
          <w:p w14:paraId="39D9A14F" w14:textId="77777777" w:rsidR="00996AD7" w:rsidRDefault="00996AD7">
            <w:pPr>
              <w:rPr>
                <w:rFonts w:ascii="宋体"/>
              </w:rPr>
            </w:pPr>
          </w:p>
        </w:tc>
        <w:tc>
          <w:tcPr>
            <w:tcW w:w="5" w:type="pct"/>
            <w:shd w:val="clear" w:color="auto" w:fill="auto"/>
            <w:vAlign w:val="bottom"/>
          </w:tcPr>
          <w:p w14:paraId="39D9A150" w14:textId="77777777" w:rsidR="00996AD7" w:rsidRDefault="00996AD7">
            <w:pPr>
              <w:rPr>
                <w:rFonts w:ascii="宋体"/>
              </w:rPr>
            </w:pPr>
          </w:p>
        </w:tc>
        <w:tc>
          <w:tcPr>
            <w:tcW w:w="50" w:type="pct"/>
            <w:shd w:val="clear" w:color="auto" w:fill="auto"/>
            <w:vAlign w:val="bottom"/>
          </w:tcPr>
          <w:p w14:paraId="39D9A151" w14:textId="77777777" w:rsidR="00996AD7" w:rsidRDefault="00996AD7">
            <w:pPr>
              <w:rPr>
                <w:rFonts w:ascii="宋体"/>
              </w:rPr>
            </w:pPr>
          </w:p>
        </w:tc>
        <w:tc>
          <w:tcPr>
            <w:tcW w:w="2143" w:type="pct"/>
            <w:shd w:val="clear" w:color="auto" w:fill="auto"/>
            <w:vAlign w:val="bottom"/>
          </w:tcPr>
          <w:p w14:paraId="39D9A152" w14:textId="77777777" w:rsidR="00996AD7" w:rsidRDefault="00996AD7">
            <w:pPr>
              <w:rPr>
                <w:rFonts w:ascii="宋体"/>
              </w:rPr>
            </w:pPr>
          </w:p>
        </w:tc>
        <w:tc>
          <w:tcPr>
            <w:tcW w:w="5" w:type="pct"/>
            <w:shd w:val="clear" w:color="auto" w:fill="auto"/>
            <w:vAlign w:val="bottom"/>
          </w:tcPr>
          <w:p w14:paraId="39D9A153" w14:textId="77777777" w:rsidR="00996AD7" w:rsidRDefault="00996AD7">
            <w:pPr>
              <w:rPr>
                <w:rFonts w:ascii="宋体"/>
              </w:rPr>
            </w:pPr>
          </w:p>
        </w:tc>
        <w:tc>
          <w:tcPr>
            <w:tcW w:w="5" w:type="pct"/>
            <w:shd w:val="clear" w:color="auto" w:fill="auto"/>
            <w:vAlign w:val="bottom"/>
          </w:tcPr>
          <w:p w14:paraId="39D9A154" w14:textId="77777777" w:rsidR="00996AD7" w:rsidRDefault="00996AD7">
            <w:pPr>
              <w:rPr>
                <w:rFonts w:ascii="宋体"/>
              </w:rPr>
            </w:pPr>
          </w:p>
        </w:tc>
        <w:tc>
          <w:tcPr>
            <w:tcW w:w="24" w:type="pct"/>
            <w:shd w:val="clear" w:color="auto" w:fill="auto"/>
            <w:vAlign w:val="bottom"/>
          </w:tcPr>
          <w:p w14:paraId="39D9A155" w14:textId="77777777" w:rsidR="00996AD7" w:rsidRDefault="00996AD7">
            <w:pPr>
              <w:rPr>
                <w:rFonts w:ascii="宋体"/>
              </w:rPr>
            </w:pPr>
          </w:p>
        </w:tc>
        <w:tc>
          <w:tcPr>
            <w:tcW w:w="5" w:type="pct"/>
            <w:shd w:val="clear" w:color="auto" w:fill="auto"/>
            <w:vAlign w:val="bottom"/>
          </w:tcPr>
          <w:p w14:paraId="39D9A156" w14:textId="77777777" w:rsidR="00996AD7" w:rsidRDefault="00996AD7">
            <w:pPr>
              <w:rPr>
                <w:rFonts w:ascii="宋体"/>
              </w:rPr>
            </w:pPr>
          </w:p>
        </w:tc>
        <w:tc>
          <w:tcPr>
            <w:tcW w:w="50" w:type="pct"/>
            <w:shd w:val="clear" w:color="auto" w:fill="auto"/>
            <w:vAlign w:val="bottom"/>
          </w:tcPr>
          <w:p w14:paraId="39D9A157" w14:textId="77777777" w:rsidR="00996AD7" w:rsidRDefault="00996AD7">
            <w:pPr>
              <w:rPr>
                <w:rFonts w:ascii="宋体"/>
              </w:rPr>
            </w:pPr>
          </w:p>
        </w:tc>
        <w:tc>
          <w:tcPr>
            <w:tcW w:w="212" w:type="pct"/>
            <w:shd w:val="clear" w:color="auto" w:fill="auto"/>
            <w:vAlign w:val="bottom"/>
          </w:tcPr>
          <w:p w14:paraId="39D9A158" w14:textId="77777777" w:rsidR="00996AD7" w:rsidRDefault="00996AD7">
            <w:pPr>
              <w:rPr>
                <w:rFonts w:ascii="宋体"/>
              </w:rPr>
            </w:pPr>
          </w:p>
        </w:tc>
        <w:tc>
          <w:tcPr>
            <w:tcW w:w="5" w:type="pct"/>
            <w:shd w:val="clear" w:color="auto" w:fill="auto"/>
            <w:vAlign w:val="bottom"/>
          </w:tcPr>
          <w:p w14:paraId="39D9A159" w14:textId="77777777" w:rsidR="00996AD7" w:rsidRDefault="00996AD7">
            <w:pPr>
              <w:rPr>
                <w:rFonts w:ascii="宋体"/>
              </w:rPr>
            </w:pPr>
          </w:p>
        </w:tc>
        <w:tc>
          <w:tcPr>
            <w:tcW w:w="5" w:type="pct"/>
            <w:shd w:val="clear" w:color="auto" w:fill="auto"/>
            <w:vAlign w:val="bottom"/>
          </w:tcPr>
          <w:p w14:paraId="39D9A15A" w14:textId="77777777" w:rsidR="00996AD7" w:rsidRDefault="00996AD7">
            <w:pPr>
              <w:rPr>
                <w:rFonts w:ascii="宋体"/>
              </w:rPr>
            </w:pPr>
          </w:p>
        </w:tc>
        <w:tc>
          <w:tcPr>
            <w:tcW w:w="24" w:type="pct"/>
            <w:shd w:val="clear" w:color="auto" w:fill="auto"/>
            <w:vAlign w:val="bottom"/>
          </w:tcPr>
          <w:p w14:paraId="39D9A15B" w14:textId="77777777" w:rsidR="00996AD7" w:rsidRDefault="00996AD7">
            <w:pPr>
              <w:rPr>
                <w:rFonts w:ascii="宋体"/>
              </w:rPr>
            </w:pPr>
          </w:p>
        </w:tc>
        <w:tc>
          <w:tcPr>
            <w:tcW w:w="5" w:type="pct"/>
            <w:shd w:val="clear" w:color="auto" w:fill="auto"/>
            <w:vAlign w:val="bottom"/>
          </w:tcPr>
          <w:p w14:paraId="39D9A15C" w14:textId="77777777" w:rsidR="00996AD7" w:rsidRDefault="00996AD7">
            <w:pPr>
              <w:rPr>
                <w:rFonts w:ascii="宋体"/>
              </w:rPr>
            </w:pPr>
          </w:p>
        </w:tc>
        <w:tc>
          <w:tcPr>
            <w:tcW w:w="50" w:type="pct"/>
            <w:shd w:val="clear" w:color="auto" w:fill="auto"/>
            <w:vAlign w:val="bottom"/>
          </w:tcPr>
          <w:p w14:paraId="39D9A15D" w14:textId="77777777" w:rsidR="00996AD7" w:rsidRDefault="00996AD7">
            <w:pPr>
              <w:rPr>
                <w:rFonts w:ascii="宋体"/>
              </w:rPr>
            </w:pPr>
          </w:p>
        </w:tc>
        <w:tc>
          <w:tcPr>
            <w:tcW w:w="458" w:type="pct"/>
            <w:shd w:val="clear" w:color="auto" w:fill="auto"/>
            <w:vAlign w:val="bottom"/>
          </w:tcPr>
          <w:p w14:paraId="39D9A15E" w14:textId="77777777" w:rsidR="00996AD7" w:rsidRDefault="00996AD7">
            <w:pPr>
              <w:rPr>
                <w:rFonts w:ascii="宋体"/>
              </w:rPr>
            </w:pPr>
          </w:p>
        </w:tc>
        <w:tc>
          <w:tcPr>
            <w:tcW w:w="5" w:type="pct"/>
            <w:shd w:val="clear" w:color="auto" w:fill="auto"/>
            <w:vAlign w:val="bottom"/>
          </w:tcPr>
          <w:p w14:paraId="39D9A15F" w14:textId="77777777" w:rsidR="00996AD7" w:rsidRDefault="00996AD7">
            <w:pPr>
              <w:rPr>
                <w:rFonts w:ascii="宋体"/>
              </w:rPr>
            </w:pPr>
          </w:p>
        </w:tc>
        <w:tc>
          <w:tcPr>
            <w:tcW w:w="5" w:type="pct"/>
            <w:shd w:val="clear" w:color="auto" w:fill="auto"/>
            <w:vAlign w:val="bottom"/>
          </w:tcPr>
          <w:p w14:paraId="39D9A160" w14:textId="77777777" w:rsidR="00996AD7" w:rsidRDefault="00996AD7">
            <w:pPr>
              <w:rPr>
                <w:rFonts w:ascii="宋体"/>
              </w:rPr>
            </w:pPr>
          </w:p>
        </w:tc>
        <w:tc>
          <w:tcPr>
            <w:tcW w:w="24" w:type="pct"/>
            <w:shd w:val="clear" w:color="auto" w:fill="auto"/>
            <w:vAlign w:val="bottom"/>
          </w:tcPr>
          <w:p w14:paraId="39D9A161" w14:textId="77777777" w:rsidR="00996AD7" w:rsidRDefault="00996AD7">
            <w:pPr>
              <w:rPr>
                <w:rFonts w:ascii="宋体"/>
              </w:rPr>
            </w:pPr>
          </w:p>
        </w:tc>
        <w:tc>
          <w:tcPr>
            <w:tcW w:w="5" w:type="pct"/>
            <w:shd w:val="clear" w:color="auto" w:fill="auto"/>
            <w:vAlign w:val="bottom"/>
          </w:tcPr>
          <w:p w14:paraId="39D9A162" w14:textId="77777777" w:rsidR="00996AD7" w:rsidRDefault="00996AD7">
            <w:pPr>
              <w:rPr>
                <w:rFonts w:ascii="宋体"/>
              </w:rPr>
            </w:pPr>
          </w:p>
        </w:tc>
        <w:tc>
          <w:tcPr>
            <w:tcW w:w="50" w:type="pct"/>
            <w:shd w:val="clear" w:color="auto" w:fill="auto"/>
            <w:vAlign w:val="bottom"/>
          </w:tcPr>
          <w:p w14:paraId="39D9A163" w14:textId="77777777" w:rsidR="00996AD7" w:rsidRDefault="00996AD7">
            <w:pPr>
              <w:rPr>
                <w:rFonts w:ascii="宋体"/>
              </w:rPr>
            </w:pPr>
          </w:p>
        </w:tc>
        <w:tc>
          <w:tcPr>
            <w:tcW w:w="280" w:type="pct"/>
            <w:shd w:val="clear" w:color="auto" w:fill="auto"/>
            <w:vAlign w:val="bottom"/>
          </w:tcPr>
          <w:p w14:paraId="39D9A164" w14:textId="77777777" w:rsidR="00996AD7" w:rsidRDefault="00996AD7">
            <w:pPr>
              <w:rPr>
                <w:rFonts w:ascii="宋体"/>
              </w:rPr>
            </w:pPr>
          </w:p>
        </w:tc>
        <w:tc>
          <w:tcPr>
            <w:tcW w:w="5" w:type="pct"/>
            <w:shd w:val="clear" w:color="auto" w:fill="auto"/>
            <w:vAlign w:val="bottom"/>
          </w:tcPr>
          <w:p w14:paraId="39D9A165" w14:textId="77777777" w:rsidR="00996AD7" w:rsidRDefault="00996AD7">
            <w:pPr>
              <w:rPr>
                <w:rFonts w:ascii="宋体"/>
              </w:rPr>
            </w:pPr>
          </w:p>
        </w:tc>
        <w:tc>
          <w:tcPr>
            <w:tcW w:w="5" w:type="pct"/>
            <w:shd w:val="clear" w:color="auto" w:fill="auto"/>
            <w:vAlign w:val="bottom"/>
          </w:tcPr>
          <w:p w14:paraId="39D9A166" w14:textId="77777777" w:rsidR="00996AD7" w:rsidRDefault="00996AD7">
            <w:pPr>
              <w:rPr>
                <w:rFonts w:ascii="宋体"/>
              </w:rPr>
            </w:pPr>
          </w:p>
        </w:tc>
        <w:tc>
          <w:tcPr>
            <w:tcW w:w="24" w:type="pct"/>
            <w:shd w:val="clear" w:color="auto" w:fill="auto"/>
            <w:vAlign w:val="bottom"/>
          </w:tcPr>
          <w:p w14:paraId="39D9A167" w14:textId="77777777" w:rsidR="00996AD7" w:rsidRDefault="00996AD7">
            <w:pPr>
              <w:rPr>
                <w:rFonts w:ascii="宋体"/>
              </w:rPr>
            </w:pPr>
          </w:p>
        </w:tc>
        <w:tc>
          <w:tcPr>
            <w:tcW w:w="5" w:type="pct"/>
            <w:shd w:val="clear" w:color="auto" w:fill="auto"/>
            <w:vAlign w:val="bottom"/>
          </w:tcPr>
          <w:p w14:paraId="39D9A168" w14:textId="77777777" w:rsidR="00996AD7" w:rsidRDefault="00996AD7">
            <w:pPr>
              <w:rPr>
                <w:rFonts w:ascii="宋体"/>
              </w:rPr>
            </w:pPr>
          </w:p>
        </w:tc>
        <w:tc>
          <w:tcPr>
            <w:tcW w:w="50" w:type="pct"/>
            <w:shd w:val="clear" w:color="auto" w:fill="auto"/>
            <w:vAlign w:val="bottom"/>
          </w:tcPr>
          <w:p w14:paraId="39D9A169" w14:textId="77777777" w:rsidR="00996AD7" w:rsidRDefault="00996AD7">
            <w:pPr>
              <w:rPr>
                <w:rFonts w:ascii="宋体"/>
              </w:rPr>
            </w:pPr>
          </w:p>
        </w:tc>
        <w:tc>
          <w:tcPr>
            <w:tcW w:w="465" w:type="pct"/>
            <w:shd w:val="clear" w:color="auto" w:fill="auto"/>
            <w:vAlign w:val="bottom"/>
          </w:tcPr>
          <w:p w14:paraId="39D9A16A" w14:textId="77777777" w:rsidR="00996AD7" w:rsidRDefault="00996AD7">
            <w:pPr>
              <w:rPr>
                <w:rFonts w:ascii="宋体"/>
              </w:rPr>
            </w:pPr>
          </w:p>
        </w:tc>
        <w:tc>
          <w:tcPr>
            <w:tcW w:w="5" w:type="pct"/>
            <w:shd w:val="clear" w:color="auto" w:fill="auto"/>
            <w:vAlign w:val="bottom"/>
          </w:tcPr>
          <w:p w14:paraId="39D9A16B" w14:textId="77777777" w:rsidR="00996AD7" w:rsidRDefault="00996AD7">
            <w:pPr>
              <w:rPr>
                <w:rFonts w:ascii="宋体"/>
              </w:rPr>
            </w:pPr>
          </w:p>
        </w:tc>
        <w:tc>
          <w:tcPr>
            <w:tcW w:w="5" w:type="pct"/>
            <w:shd w:val="clear" w:color="auto" w:fill="auto"/>
            <w:vAlign w:val="bottom"/>
          </w:tcPr>
          <w:p w14:paraId="39D9A16C" w14:textId="77777777" w:rsidR="00996AD7" w:rsidRDefault="00996AD7">
            <w:pPr>
              <w:rPr>
                <w:rFonts w:ascii="宋体"/>
              </w:rPr>
            </w:pPr>
          </w:p>
        </w:tc>
        <w:tc>
          <w:tcPr>
            <w:tcW w:w="24" w:type="pct"/>
            <w:shd w:val="clear" w:color="auto" w:fill="auto"/>
            <w:vAlign w:val="bottom"/>
          </w:tcPr>
          <w:p w14:paraId="39D9A16D" w14:textId="77777777" w:rsidR="00996AD7" w:rsidRDefault="00996AD7">
            <w:pPr>
              <w:rPr>
                <w:rFonts w:ascii="宋体"/>
              </w:rPr>
            </w:pPr>
          </w:p>
        </w:tc>
        <w:tc>
          <w:tcPr>
            <w:tcW w:w="5" w:type="pct"/>
            <w:shd w:val="clear" w:color="auto" w:fill="auto"/>
            <w:vAlign w:val="bottom"/>
          </w:tcPr>
          <w:p w14:paraId="39D9A16E" w14:textId="77777777" w:rsidR="00996AD7" w:rsidRDefault="00996AD7">
            <w:pPr>
              <w:rPr>
                <w:rFonts w:ascii="宋体"/>
              </w:rPr>
            </w:pPr>
          </w:p>
        </w:tc>
        <w:tc>
          <w:tcPr>
            <w:tcW w:w="50" w:type="pct"/>
            <w:shd w:val="clear" w:color="auto" w:fill="auto"/>
            <w:vAlign w:val="bottom"/>
          </w:tcPr>
          <w:p w14:paraId="39D9A16F" w14:textId="77777777" w:rsidR="00996AD7" w:rsidRDefault="00996AD7">
            <w:pPr>
              <w:rPr>
                <w:rFonts w:ascii="宋体"/>
              </w:rPr>
            </w:pPr>
          </w:p>
        </w:tc>
        <w:tc>
          <w:tcPr>
            <w:tcW w:w="404" w:type="pct"/>
            <w:shd w:val="clear" w:color="auto" w:fill="auto"/>
            <w:vAlign w:val="bottom"/>
          </w:tcPr>
          <w:p w14:paraId="39D9A170" w14:textId="77777777" w:rsidR="00996AD7" w:rsidRDefault="00996AD7">
            <w:pPr>
              <w:rPr>
                <w:rFonts w:ascii="宋体"/>
              </w:rPr>
            </w:pPr>
          </w:p>
        </w:tc>
        <w:tc>
          <w:tcPr>
            <w:tcW w:w="5" w:type="pct"/>
            <w:shd w:val="clear" w:color="auto" w:fill="auto"/>
            <w:vAlign w:val="bottom"/>
          </w:tcPr>
          <w:p w14:paraId="39D9A171" w14:textId="77777777" w:rsidR="00996AD7" w:rsidRDefault="00996AD7">
            <w:pPr>
              <w:rPr>
                <w:rFonts w:ascii="宋体"/>
              </w:rPr>
            </w:pPr>
          </w:p>
        </w:tc>
      </w:tr>
      <w:tr w:rsidR="00996AD7" w14:paraId="39D9A17A" w14:textId="77777777">
        <w:tc>
          <w:tcPr>
            <w:tcW w:w="0" w:type="auto"/>
            <w:gridSpan w:val="3"/>
            <w:shd w:val="clear" w:color="auto" w:fill="auto"/>
            <w:tcMar>
              <w:top w:w="40" w:type="dxa"/>
              <w:left w:w="20" w:type="dxa"/>
              <w:bottom w:w="40" w:type="dxa"/>
              <w:right w:w="20" w:type="dxa"/>
            </w:tcMar>
            <w:vAlign w:val="bottom"/>
          </w:tcPr>
          <w:p w14:paraId="39D9A173" w14:textId="77777777" w:rsidR="00996AD7" w:rsidRDefault="00D96458">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39D9A174"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A175" w14:textId="77777777" w:rsidR="00996AD7" w:rsidRDefault="00D96458">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39D9A176" w14:textId="77777777" w:rsidR="00996AD7" w:rsidRDefault="00996AD7">
            <w:pPr>
              <w:rPr>
                <w:rFonts w:ascii="宋体"/>
              </w:rPr>
            </w:pPr>
          </w:p>
        </w:tc>
        <w:tc>
          <w:tcPr>
            <w:tcW w:w="0" w:type="auto"/>
            <w:gridSpan w:val="21"/>
            <w:shd w:val="clear" w:color="auto" w:fill="auto"/>
            <w:tcMar>
              <w:top w:w="40" w:type="dxa"/>
              <w:left w:w="20" w:type="dxa"/>
              <w:bottom w:w="40" w:type="dxa"/>
              <w:right w:w="20" w:type="dxa"/>
            </w:tcMar>
            <w:vAlign w:val="bottom"/>
          </w:tcPr>
          <w:p w14:paraId="39D9A177" w14:textId="77777777" w:rsidR="00996AD7" w:rsidRDefault="00D96458">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39D9A17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A179" w14:textId="77777777" w:rsidR="00996AD7" w:rsidRDefault="00D96458">
            <w:pPr>
              <w:textAlignment w:val="bottom"/>
            </w:pPr>
            <w:r>
              <w:rPr>
                <w:rFonts w:ascii="Arial" w:eastAsia="宋体" w:hAnsi="Arial" w:cs="Arial"/>
                <w:color w:val="262626"/>
                <w:sz w:val="18"/>
                <w:szCs w:val="18"/>
              </w:rPr>
              <w:t> </w:t>
            </w:r>
          </w:p>
        </w:tc>
      </w:tr>
      <w:tr w:rsidR="00996AD7" w14:paraId="39D9A188" w14:textId="77777777">
        <w:tc>
          <w:tcPr>
            <w:tcW w:w="0" w:type="auto"/>
            <w:gridSpan w:val="3"/>
            <w:shd w:val="clear" w:color="auto" w:fill="auto"/>
            <w:tcMar>
              <w:top w:w="40" w:type="dxa"/>
              <w:left w:w="20" w:type="dxa"/>
              <w:bottom w:w="40" w:type="dxa"/>
              <w:right w:w="20" w:type="dxa"/>
            </w:tcMar>
            <w:vAlign w:val="bottom"/>
          </w:tcPr>
          <w:p w14:paraId="39D9A17B" w14:textId="77777777" w:rsidR="00996AD7" w:rsidRDefault="00D96458">
            <w:pPr>
              <w:jc w:val="center"/>
              <w:textAlignment w:val="bottom"/>
            </w:pPr>
            <w:r>
              <w:rPr>
                <w:rFonts w:ascii="Arial" w:eastAsia="宋体" w:hAnsi="Arial" w:cs="Arial"/>
                <w:b/>
                <w:bCs/>
                <w:color w:val="262626"/>
                <w:sz w:val="18"/>
                <w:szCs w:val="18"/>
              </w:rPr>
              <w:t>Exhibit</w:t>
            </w:r>
            <w:r>
              <w:rPr>
                <w:rFonts w:ascii="Arial" w:eastAsia="宋体" w:hAnsi="Arial" w:cs="Arial"/>
                <w:b/>
                <w:bCs/>
                <w:color w:val="262626"/>
                <w:sz w:val="18"/>
                <w:szCs w:val="18"/>
              </w:rPr>
              <w:br/>
              <w:t>Number</w:t>
            </w:r>
          </w:p>
        </w:tc>
        <w:tc>
          <w:tcPr>
            <w:tcW w:w="0" w:type="auto"/>
            <w:gridSpan w:val="3"/>
            <w:shd w:val="clear" w:color="auto" w:fill="auto"/>
            <w:tcMar>
              <w:top w:w="0" w:type="dxa"/>
              <w:left w:w="20" w:type="dxa"/>
              <w:bottom w:w="0" w:type="dxa"/>
              <w:right w:w="20" w:type="dxa"/>
            </w:tcMar>
            <w:vAlign w:val="bottom"/>
          </w:tcPr>
          <w:p w14:paraId="39D9A17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A17D" w14:textId="77777777" w:rsidR="00996AD7" w:rsidRDefault="00D96458">
            <w:pPr>
              <w:jc w:val="center"/>
              <w:textAlignment w:val="bottom"/>
            </w:pPr>
            <w:r>
              <w:rPr>
                <w:rFonts w:ascii="Arial" w:eastAsia="宋体" w:hAnsi="Arial" w:cs="Arial"/>
                <w:b/>
                <w:bCs/>
                <w:color w:val="262626"/>
                <w:sz w:val="18"/>
                <w:szCs w:val="18"/>
              </w:rPr>
              <w:t>Exhibit Description</w:t>
            </w:r>
          </w:p>
        </w:tc>
        <w:tc>
          <w:tcPr>
            <w:tcW w:w="0" w:type="auto"/>
            <w:gridSpan w:val="3"/>
            <w:shd w:val="clear" w:color="auto" w:fill="auto"/>
            <w:tcMar>
              <w:top w:w="0" w:type="dxa"/>
              <w:left w:w="20" w:type="dxa"/>
              <w:bottom w:w="0" w:type="dxa"/>
              <w:right w:w="20" w:type="dxa"/>
            </w:tcMar>
            <w:vAlign w:val="bottom"/>
          </w:tcPr>
          <w:p w14:paraId="39D9A17E"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A17F" w14:textId="77777777" w:rsidR="00996AD7" w:rsidRDefault="00D96458">
            <w:pPr>
              <w:jc w:val="center"/>
              <w:textAlignment w:val="bottom"/>
            </w:pPr>
            <w:r>
              <w:rPr>
                <w:rFonts w:ascii="Arial" w:eastAsia="宋体" w:hAnsi="Arial" w:cs="Arial"/>
                <w:b/>
                <w:bCs/>
                <w:color w:val="262626"/>
                <w:sz w:val="18"/>
                <w:szCs w:val="18"/>
              </w:rPr>
              <w:t>Form</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A180"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A181" w14:textId="77777777" w:rsidR="00996AD7" w:rsidRDefault="00D96458">
            <w:pPr>
              <w:jc w:val="center"/>
              <w:textAlignment w:val="bottom"/>
            </w:pPr>
            <w:r>
              <w:rPr>
                <w:rFonts w:ascii="Arial" w:eastAsia="宋体" w:hAnsi="Arial" w:cs="Arial"/>
                <w:b/>
                <w:bCs/>
                <w:color w:val="262626"/>
                <w:sz w:val="18"/>
                <w:szCs w:val="18"/>
              </w:rPr>
              <w:t xml:space="preserve">File </w:t>
            </w:r>
            <w:r>
              <w:rPr>
                <w:rFonts w:ascii="Arial" w:eastAsia="宋体" w:hAnsi="Arial" w:cs="Arial"/>
                <w:b/>
                <w:bCs/>
                <w:color w:val="262626"/>
                <w:sz w:val="18"/>
                <w:szCs w:val="18"/>
              </w:rPr>
              <w:t>Number</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A182"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A183" w14:textId="77777777" w:rsidR="00996AD7" w:rsidRDefault="00D96458">
            <w:pPr>
              <w:jc w:val="center"/>
              <w:textAlignment w:val="bottom"/>
            </w:pPr>
            <w:r>
              <w:rPr>
                <w:rFonts w:ascii="Arial" w:eastAsia="宋体" w:hAnsi="Arial" w:cs="Arial"/>
                <w:b/>
                <w:bCs/>
                <w:color w:val="262626"/>
                <w:sz w:val="18"/>
                <w:szCs w:val="18"/>
              </w:rPr>
              <w:t>Exhibit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A184"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39D9A185" w14:textId="77777777" w:rsidR="00996AD7" w:rsidRDefault="00D96458">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vAlign w:val="bottom"/>
          </w:tcPr>
          <w:p w14:paraId="39D9A186"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A187" w14:textId="77777777" w:rsidR="00996AD7" w:rsidRDefault="00D96458">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996AD7" w14:paraId="39D9A196" w14:textId="77777777">
        <w:tc>
          <w:tcPr>
            <w:tcW w:w="0" w:type="auto"/>
            <w:gridSpan w:val="3"/>
            <w:tcBorders>
              <w:top w:val="single" w:sz="8" w:space="0" w:color="0068B5"/>
            </w:tcBorders>
            <w:shd w:val="clear" w:color="auto" w:fill="auto"/>
            <w:tcMar>
              <w:top w:w="40" w:type="dxa"/>
              <w:left w:w="20" w:type="dxa"/>
              <w:bottom w:w="40" w:type="dxa"/>
              <w:right w:w="20" w:type="dxa"/>
            </w:tcMar>
          </w:tcPr>
          <w:p w14:paraId="39D9A189" w14:textId="77777777" w:rsidR="00996AD7" w:rsidRDefault="00D96458">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vAlign w:val="bottom"/>
          </w:tcPr>
          <w:p w14:paraId="39D9A18A"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39D9A18B" w14:textId="77777777" w:rsidR="00996AD7" w:rsidRDefault="00D96458">
            <w:pPr>
              <w:textAlignment w:val="top"/>
            </w:pPr>
            <w:hyperlink r:id="rId70" w:history="1">
              <w:r>
                <w:rPr>
                  <w:rStyle w:val="a5"/>
                  <w:rFonts w:ascii="Arial" w:eastAsia="宋体" w:hAnsi="Arial" w:cs="Arial"/>
                  <w:color w:val="0068B5"/>
                  <w:sz w:val="18"/>
                  <w:szCs w:val="18"/>
                </w:rPr>
                <w:t>Third Restated Certificate of Incorporation of Intel Corporation, dated May 17, 2006</w:t>
              </w:r>
            </w:hyperlink>
          </w:p>
        </w:tc>
        <w:tc>
          <w:tcPr>
            <w:tcW w:w="0" w:type="auto"/>
            <w:gridSpan w:val="3"/>
            <w:shd w:val="clear" w:color="auto" w:fill="auto"/>
            <w:tcMar>
              <w:top w:w="0" w:type="dxa"/>
              <w:left w:w="20" w:type="dxa"/>
              <w:bottom w:w="0" w:type="dxa"/>
              <w:right w:w="20" w:type="dxa"/>
            </w:tcMar>
            <w:vAlign w:val="bottom"/>
          </w:tcPr>
          <w:p w14:paraId="39D9A18C"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39D9A18D" w14:textId="77777777" w:rsidR="00996AD7" w:rsidRDefault="00D96458">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39D9A18E"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39D9A18F" w14:textId="77777777" w:rsidR="00996AD7" w:rsidRDefault="00D96458">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39D9A190"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39D9A191" w14:textId="77777777" w:rsidR="00996AD7" w:rsidRDefault="00D96458">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vAlign w:val="bottom"/>
          </w:tcPr>
          <w:p w14:paraId="39D9A192" w14:textId="77777777" w:rsidR="00996AD7" w:rsidRDefault="00996AD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39D9A193" w14:textId="77777777" w:rsidR="00996AD7" w:rsidRDefault="00D96458">
            <w:pPr>
              <w:jc w:val="center"/>
              <w:textAlignment w:val="top"/>
            </w:pPr>
            <w:r>
              <w:rPr>
                <w:rFonts w:ascii="Arial" w:eastAsia="宋体" w:hAnsi="Arial" w:cs="Arial"/>
                <w:color w:val="262626"/>
                <w:sz w:val="18"/>
                <w:szCs w:val="18"/>
              </w:rPr>
              <w:t>5/22/2006</w:t>
            </w:r>
          </w:p>
        </w:tc>
        <w:tc>
          <w:tcPr>
            <w:tcW w:w="0" w:type="auto"/>
            <w:gridSpan w:val="3"/>
            <w:shd w:val="clear" w:color="auto" w:fill="auto"/>
            <w:tcMar>
              <w:top w:w="0" w:type="dxa"/>
              <w:left w:w="20" w:type="dxa"/>
              <w:bottom w:w="0" w:type="dxa"/>
              <w:right w:w="20" w:type="dxa"/>
            </w:tcMar>
            <w:vAlign w:val="bottom"/>
          </w:tcPr>
          <w:p w14:paraId="39D9A194" w14:textId="77777777" w:rsidR="00996AD7" w:rsidRDefault="00996AD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A195" w14:textId="77777777" w:rsidR="00996AD7" w:rsidRDefault="00996AD7">
            <w:pPr>
              <w:rPr>
                <w:rFonts w:ascii="宋体"/>
              </w:rPr>
            </w:pPr>
          </w:p>
        </w:tc>
      </w:tr>
      <w:tr w:rsidR="00996AD7" w14:paraId="39D9A1A4" w14:textId="77777777">
        <w:tc>
          <w:tcPr>
            <w:tcW w:w="0" w:type="auto"/>
            <w:gridSpan w:val="3"/>
            <w:shd w:val="clear" w:color="auto" w:fill="auto"/>
            <w:tcMar>
              <w:top w:w="40" w:type="dxa"/>
              <w:left w:w="20" w:type="dxa"/>
              <w:bottom w:w="40" w:type="dxa"/>
              <w:right w:w="20" w:type="dxa"/>
            </w:tcMar>
          </w:tcPr>
          <w:p w14:paraId="39D9A197" w14:textId="77777777" w:rsidR="00996AD7" w:rsidRDefault="00D96458">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vAlign w:val="bottom"/>
          </w:tcPr>
          <w:p w14:paraId="39D9A19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99" w14:textId="77777777" w:rsidR="00996AD7" w:rsidRDefault="00D96458">
            <w:pPr>
              <w:textAlignment w:val="top"/>
            </w:pPr>
            <w:hyperlink r:id="rId71" w:history="1">
              <w:r>
                <w:rPr>
                  <w:rStyle w:val="a5"/>
                  <w:rFonts w:ascii="Arial" w:eastAsia="宋体" w:hAnsi="Arial" w:cs="Arial"/>
                  <w:color w:val="0068B5"/>
                  <w:sz w:val="18"/>
                  <w:szCs w:val="18"/>
                </w:rPr>
                <w:t>Intel Corporation Bylaws, as amended and restated on March 10, 2021</w:t>
              </w:r>
            </w:hyperlink>
          </w:p>
        </w:tc>
        <w:tc>
          <w:tcPr>
            <w:tcW w:w="0" w:type="auto"/>
            <w:gridSpan w:val="3"/>
            <w:shd w:val="clear" w:color="auto" w:fill="auto"/>
            <w:tcMar>
              <w:top w:w="0" w:type="dxa"/>
              <w:left w:w="20" w:type="dxa"/>
              <w:bottom w:w="0" w:type="dxa"/>
              <w:right w:w="20" w:type="dxa"/>
            </w:tcMar>
            <w:vAlign w:val="bottom"/>
          </w:tcPr>
          <w:p w14:paraId="39D9A19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9B" w14:textId="77777777" w:rsidR="00996AD7" w:rsidRDefault="00D96458">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39D9A19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9D" w14:textId="77777777" w:rsidR="00996AD7" w:rsidRDefault="00D96458">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39D9A19E"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9F" w14:textId="77777777" w:rsidR="00996AD7" w:rsidRDefault="00D96458">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vAlign w:val="bottom"/>
          </w:tcPr>
          <w:p w14:paraId="39D9A1A0"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A1" w14:textId="77777777" w:rsidR="00996AD7" w:rsidRDefault="00D96458">
            <w:pPr>
              <w:jc w:val="center"/>
              <w:textAlignment w:val="top"/>
            </w:pPr>
            <w:r>
              <w:rPr>
                <w:rFonts w:ascii="Arial" w:eastAsia="宋体" w:hAnsi="Arial" w:cs="Arial"/>
                <w:color w:val="262626"/>
                <w:sz w:val="18"/>
                <w:szCs w:val="18"/>
              </w:rPr>
              <w:t>3/16/2021</w:t>
            </w:r>
          </w:p>
        </w:tc>
        <w:tc>
          <w:tcPr>
            <w:tcW w:w="0" w:type="auto"/>
            <w:gridSpan w:val="3"/>
            <w:shd w:val="clear" w:color="auto" w:fill="auto"/>
            <w:tcMar>
              <w:top w:w="0" w:type="dxa"/>
              <w:left w:w="20" w:type="dxa"/>
              <w:bottom w:w="0" w:type="dxa"/>
              <w:right w:w="20" w:type="dxa"/>
            </w:tcMar>
            <w:vAlign w:val="bottom"/>
          </w:tcPr>
          <w:p w14:paraId="39D9A1A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A3" w14:textId="77777777" w:rsidR="00996AD7" w:rsidRDefault="00996AD7">
            <w:pPr>
              <w:rPr>
                <w:rFonts w:ascii="宋体"/>
              </w:rPr>
            </w:pPr>
          </w:p>
        </w:tc>
      </w:tr>
      <w:tr w:rsidR="00996AD7" w14:paraId="39D9A1B2" w14:textId="77777777">
        <w:tc>
          <w:tcPr>
            <w:tcW w:w="0" w:type="auto"/>
            <w:gridSpan w:val="3"/>
            <w:shd w:val="clear" w:color="auto" w:fill="auto"/>
            <w:tcMar>
              <w:top w:w="40" w:type="dxa"/>
              <w:left w:w="20" w:type="dxa"/>
              <w:bottom w:w="40" w:type="dxa"/>
              <w:right w:w="20" w:type="dxa"/>
            </w:tcMar>
          </w:tcPr>
          <w:p w14:paraId="39D9A1A5" w14:textId="77777777" w:rsidR="00996AD7" w:rsidRDefault="00D96458">
            <w:pPr>
              <w:jc w:val="center"/>
              <w:textAlignment w:val="top"/>
            </w:pPr>
            <w:r>
              <w:rPr>
                <w:rFonts w:ascii="Arial" w:eastAsia="宋体" w:hAnsi="Arial" w:cs="Arial"/>
                <w:color w:val="262626"/>
                <w:sz w:val="18"/>
                <w:szCs w:val="18"/>
              </w:rPr>
              <w:t>4.1</w:t>
            </w:r>
          </w:p>
        </w:tc>
        <w:tc>
          <w:tcPr>
            <w:tcW w:w="0" w:type="auto"/>
            <w:gridSpan w:val="3"/>
            <w:shd w:val="clear" w:color="auto" w:fill="auto"/>
            <w:tcMar>
              <w:top w:w="0" w:type="dxa"/>
              <w:left w:w="20" w:type="dxa"/>
              <w:bottom w:w="0" w:type="dxa"/>
              <w:right w:w="20" w:type="dxa"/>
            </w:tcMar>
            <w:vAlign w:val="bottom"/>
          </w:tcPr>
          <w:p w14:paraId="39D9A1A6"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A7" w14:textId="77777777" w:rsidR="00996AD7" w:rsidRDefault="00D96458">
            <w:pPr>
              <w:textAlignment w:val="top"/>
            </w:pPr>
            <w:hyperlink r:id="rId72" w:history="1">
              <w:r>
                <w:rPr>
                  <w:rStyle w:val="a5"/>
                  <w:rFonts w:ascii="Arial" w:eastAsia="宋体" w:hAnsi="Arial" w:cs="Arial"/>
                  <w:color w:val="0068B5"/>
                  <w:sz w:val="18"/>
                  <w:szCs w:val="18"/>
                </w:rPr>
                <w:t>Seventeenth Supplemental Indenture, dated as of August 12, 2021, between Intel Corporation and Wells Fargo Bank, National Association, a</w:t>
              </w:r>
              <w:r>
                <w:rPr>
                  <w:rStyle w:val="a5"/>
                  <w:rFonts w:ascii="Arial" w:eastAsia="宋体" w:hAnsi="Arial" w:cs="Arial"/>
                  <w:color w:val="0068B5"/>
                  <w:sz w:val="18"/>
                  <w:szCs w:val="18"/>
                </w:rPr>
                <w:t>s successor trustee</w:t>
              </w:r>
            </w:hyperlink>
          </w:p>
        </w:tc>
        <w:tc>
          <w:tcPr>
            <w:tcW w:w="0" w:type="auto"/>
            <w:gridSpan w:val="3"/>
            <w:shd w:val="clear" w:color="auto" w:fill="auto"/>
            <w:tcMar>
              <w:top w:w="0" w:type="dxa"/>
              <w:left w:w="20" w:type="dxa"/>
              <w:bottom w:w="0" w:type="dxa"/>
              <w:right w:w="20" w:type="dxa"/>
            </w:tcMar>
            <w:vAlign w:val="bottom"/>
          </w:tcPr>
          <w:p w14:paraId="39D9A1A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A9" w14:textId="77777777" w:rsidR="00996AD7" w:rsidRDefault="00D96458">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39D9A1A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AB" w14:textId="77777777" w:rsidR="00996AD7" w:rsidRDefault="00D96458">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39D9A1A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AD" w14:textId="77777777" w:rsidR="00996AD7" w:rsidRDefault="00D96458">
            <w:pPr>
              <w:jc w:val="center"/>
              <w:textAlignment w:val="top"/>
            </w:pPr>
            <w:r>
              <w:rPr>
                <w:rFonts w:ascii="Arial" w:eastAsia="宋体" w:hAnsi="Arial" w:cs="Arial"/>
                <w:color w:val="262626"/>
                <w:sz w:val="18"/>
                <w:szCs w:val="18"/>
              </w:rPr>
              <w:t>4.1</w:t>
            </w:r>
          </w:p>
        </w:tc>
        <w:tc>
          <w:tcPr>
            <w:tcW w:w="0" w:type="auto"/>
            <w:gridSpan w:val="3"/>
            <w:shd w:val="clear" w:color="auto" w:fill="auto"/>
            <w:tcMar>
              <w:top w:w="0" w:type="dxa"/>
              <w:left w:w="20" w:type="dxa"/>
              <w:bottom w:w="0" w:type="dxa"/>
              <w:right w:w="20" w:type="dxa"/>
            </w:tcMar>
            <w:vAlign w:val="bottom"/>
          </w:tcPr>
          <w:p w14:paraId="39D9A1AE"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AF" w14:textId="77777777" w:rsidR="00996AD7" w:rsidRDefault="00D96458">
            <w:pPr>
              <w:jc w:val="center"/>
              <w:textAlignment w:val="top"/>
            </w:pPr>
            <w:r>
              <w:rPr>
                <w:rFonts w:ascii="Arial" w:eastAsia="宋体" w:hAnsi="Arial" w:cs="Arial"/>
                <w:color w:val="262626"/>
                <w:sz w:val="18"/>
                <w:szCs w:val="18"/>
              </w:rPr>
              <w:t>8/12/2021</w:t>
            </w:r>
          </w:p>
        </w:tc>
        <w:tc>
          <w:tcPr>
            <w:tcW w:w="0" w:type="auto"/>
            <w:gridSpan w:val="3"/>
            <w:shd w:val="clear" w:color="auto" w:fill="auto"/>
            <w:tcMar>
              <w:top w:w="0" w:type="dxa"/>
              <w:left w:w="20" w:type="dxa"/>
              <w:bottom w:w="0" w:type="dxa"/>
              <w:right w:w="20" w:type="dxa"/>
            </w:tcMar>
            <w:vAlign w:val="bottom"/>
          </w:tcPr>
          <w:p w14:paraId="39D9A1B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B1" w14:textId="77777777" w:rsidR="00996AD7" w:rsidRDefault="00996AD7">
            <w:pPr>
              <w:rPr>
                <w:rFonts w:ascii="宋体"/>
              </w:rPr>
            </w:pPr>
          </w:p>
        </w:tc>
      </w:tr>
      <w:tr w:rsidR="00996AD7" w14:paraId="39D9A1C0" w14:textId="77777777">
        <w:tc>
          <w:tcPr>
            <w:tcW w:w="0" w:type="auto"/>
            <w:gridSpan w:val="3"/>
            <w:shd w:val="clear" w:color="auto" w:fill="auto"/>
            <w:tcMar>
              <w:top w:w="40" w:type="dxa"/>
              <w:left w:w="20" w:type="dxa"/>
              <w:bottom w:w="40" w:type="dxa"/>
              <w:right w:w="20" w:type="dxa"/>
            </w:tcMar>
          </w:tcPr>
          <w:p w14:paraId="39D9A1B3" w14:textId="77777777" w:rsidR="00996AD7" w:rsidRDefault="00D96458">
            <w:pPr>
              <w:jc w:val="center"/>
              <w:textAlignment w:val="top"/>
            </w:pPr>
            <w:r>
              <w:rPr>
                <w:rFonts w:ascii="Arial" w:eastAsia="宋体" w:hAnsi="Arial" w:cs="Arial"/>
                <w:color w:val="262626"/>
                <w:sz w:val="18"/>
                <w:szCs w:val="18"/>
              </w:rPr>
              <w:t>10.1</w:t>
            </w:r>
            <w:r>
              <w:rPr>
                <w:rFonts w:ascii="Arial" w:eastAsia="宋体" w:hAnsi="Arial" w:cs="Arial"/>
                <w:i/>
                <w:iCs/>
                <w:color w:val="262626"/>
                <w:sz w:val="11"/>
                <w:szCs w:val="11"/>
              </w:rPr>
              <w:t>†</w:t>
            </w:r>
          </w:p>
        </w:tc>
        <w:tc>
          <w:tcPr>
            <w:tcW w:w="0" w:type="auto"/>
            <w:gridSpan w:val="3"/>
            <w:shd w:val="clear" w:color="auto" w:fill="auto"/>
            <w:tcMar>
              <w:top w:w="0" w:type="dxa"/>
              <w:left w:w="20" w:type="dxa"/>
              <w:bottom w:w="0" w:type="dxa"/>
              <w:right w:w="20" w:type="dxa"/>
            </w:tcMar>
            <w:vAlign w:val="bottom"/>
          </w:tcPr>
          <w:p w14:paraId="39D9A1B4"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B5" w14:textId="77777777" w:rsidR="00996AD7" w:rsidRDefault="00D96458">
            <w:pPr>
              <w:textAlignment w:val="top"/>
            </w:pPr>
            <w:hyperlink r:id="rId73" w:history="1">
              <w:r>
                <w:rPr>
                  <w:rStyle w:val="a5"/>
                  <w:rFonts w:ascii="Arial" w:eastAsia="宋体" w:hAnsi="Arial" w:cs="Arial"/>
                  <w:color w:val="0068B5"/>
                  <w:sz w:val="18"/>
                  <w:szCs w:val="18"/>
                </w:rPr>
                <w:t>Separation Agreement and General Release of Claims between Intel Corporation and Navin Shenoy, dated July 9, 2021</w:t>
              </w:r>
            </w:hyperlink>
          </w:p>
        </w:tc>
        <w:tc>
          <w:tcPr>
            <w:tcW w:w="0" w:type="auto"/>
            <w:gridSpan w:val="3"/>
            <w:shd w:val="clear" w:color="auto" w:fill="auto"/>
            <w:tcMar>
              <w:top w:w="0" w:type="dxa"/>
              <w:left w:w="20" w:type="dxa"/>
              <w:bottom w:w="0" w:type="dxa"/>
              <w:right w:w="20" w:type="dxa"/>
            </w:tcMar>
            <w:vAlign w:val="bottom"/>
          </w:tcPr>
          <w:p w14:paraId="39D9A1B6"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B7" w14:textId="77777777" w:rsidR="00996AD7" w:rsidRDefault="00D96458">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39D9A1B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B9" w14:textId="77777777" w:rsidR="00996AD7" w:rsidRDefault="00D96458">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39D9A1B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BB" w14:textId="77777777" w:rsidR="00996AD7" w:rsidRDefault="00D96458">
            <w:pPr>
              <w:jc w:val="center"/>
              <w:textAlignment w:val="top"/>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vAlign w:val="bottom"/>
          </w:tcPr>
          <w:p w14:paraId="39D9A1B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BD" w14:textId="77777777" w:rsidR="00996AD7" w:rsidRDefault="00D96458">
            <w:pPr>
              <w:jc w:val="center"/>
              <w:textAlignment w:val="top"/>
            </w:pPr>
            <w:r>
              <w:rPr>
                <w:rFonts w:ascii="Arial" w:eastAsia="宋体" w:hAnsi="Arial" w:cs="Arial"/>
                <w:color w:val="262626"/>
                <w:sz w:val="18"/>
                <w:szCs w:val="18"/>
              </w:rPr>
              <w:t>7/13/2021</w:t>
            </w:r>
          </w:p>
        </w:tc>
        <w:tc>
          <w:tcPr>
            <w:tcW w:w="0" w:type="auto"/>
            <w:gridSpan w:val="3"/>
            <w:shd w:val="clear" w:color="auto" w:fill="auto"/>
            <w:tcMar>
              <w:top w:w="0" w:type="dxa"/>
              <w:left w:w="20" w:type="dxa"/>
              <w:bottom w:w="0" w:type="dxa"/>
              <w:right w:w="20" w:type="dxa"/>
            </w:tcMar>
            <w:vAlign w:val="bottom"/>
          </w:tcPr>
          <w:p w14:paraId="39D9A1B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BF" w14:textId="77777777" w:rsidR="00996AD7" w:rsidRDefault="00996AD7">
            <w:pPr>
              <w:rPr>
                <w:rFonts w:ascii="宋体"/>
              </w:rPr>
            </w:pPr>
          </w:p>
        </w:tc>
      </w:tr>
      <w:tr w:rsidR="00996AD7" w14:paraId="39D9A1CE" w14:textId="77777777">
        <w:tc>
          <w:tcPr>
            <w:tcW w:w="0" w:type="auto"/>
            <w:gridSpan w:val="3"/>
            <w:shd w:val="clear" w:color="auto" w:fill="auto"/>
            <w:tcMar>
              <w:top w:w="40" w:type="dxa"/>
              <w:left w:w="20" w:type="dxa"/>
              <w:bottom w:w="40" w:type="dxa"/>
              <w:right w:w="20" w:type="dxa"/>
            </w:tcMar>
          </w:tcPr>
          <w:p w14:paraId="39D9A1C1" w14:textId="77777777" w:rsidR="00996AD7" w:rsidRDefault="00D96458">
            <w:pPr>
              <w:jc w:val="center"/>
              <w:textAlignment w:val="top"/>
            </w:pPr>
            <w:r>
              <w:rPr>
                <w:rFonts w:ascii="Arial" w:eastAsia="宋体" w:hAnsi="Arial" w:cs="Arial"/>
                <w:color w:val="262626"/>
                <w:sz w:val="18"/>
                <w:szCs w:val="18"/>
              </w:rPr>
              <w:t>31.1</w:t>
            </w:r>
          </w:p>
        </w:tc>
        <w:tc>
          <w:tcPr>
            <w:tcW w:w="0" w:type="auto"/>
            <w:gridSpan w:val="3"/>
            <w:shd w:val="clear" w:color="auto" w:fill="auto"/>
            <w:tcMar>
              <w:top w:w="0" w:type="dxa"/>
              <w:left w:w="20" w:type="dxa"/>
              <w:bottom w:w="0" w:type="dxa"/>
              <w:right w:w="20" w:type="dxa"/>
            </w:tcMar>
            <w:vAlign w:val="bottom"/>
          </w:tcPr>
          <w:p w14:paraId="39D9A1C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C3" w14:textId="77777777" w:rsidR="00996AD7" w:rsidRDefault="00D96458">
            <w:pPr>
              <w:textAlignment w:val="top"/>
            </w:pPr>
            <w:hyperlink r:id="rId74" w:history="1">
              <w:r>
                <w:rPr>
                  <w:rStyle w:val="a5"/>
                  <w:rFonts w:ascii="Arial" w:eastAsia="宋体" w:hAnsi="Arial" w:cs="Arial"/>
                  <w:color w:val="0068B5"/>
                  <w:sz w:val="18"/>
                  <w:szCs w:val="18"/>
                </w:rPr>
                <w:t>Certification of the Chief Executive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39D9A1C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C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C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C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C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C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C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C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C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CD" w14:textId="77777777" w:rsidR="00996AD7" w:rsidRDefault="00D96458">
            <w:pPr>
              <w:jc w:val="center"/>
              <w:textAlignment w:val="top"/>
            </w:pPr>
            <w:r>
              <w:rPr>
                <w:rFonts w:ascii="Arial" w:eastAsia="宋体" w:hAnsi="Arial" w:cs="Arial"/>
                <w:color w:val="262626"/>
                <w:sz w:val="18"/>
                <w:szCs w:val="18"/>
              </w:rPr>
              <w:t>X</w:t>
            </w:r>
          </w:p>
        </w:tc>
      </w:tr>
      <w:tr w:rsidR="00996AD7" w14:paraId="39D9A1DC" w14:textId="77777777">
        <w:tc>
          <w:tcPr>
            <w:tcW w:w="0" w:type="auto"/>
            <w:gridSpan w:val="3"/>
            <w:shd w:val="clear" w:color="auto" w:fill="auto"/>
            <w:tcMar>
              <w:top w:w="40" w:type="dxa"/>
              <w:left w:w="20" w:type="dxa"/>
              <w:bottom w:w="40" w:type="dxa"/>
              <w:right w:w="20" w:type="dxa"/>
            </w:tcMar>
          </w:tcPr>
          <w:p w14:paraId="39D9A1CF" w14:textId="77777777" w:rsidR="00996AD7" w:rsidRDefault="00D96458">
            <w:pPr>
              <w:jc w:val="center"/>
              <w:textAlignment w:val="top"/>
            </w:pPr>
            <w:r>
              <w:rPr>
                <w:rFonts w:ascii="Arial" w:eastAsia="宋体" w:hAnsi="Arial" w:cs="Arial"/>
                <w:color w:val="262626"/>
                <w:sz w:val="18"/>
                <w:szCs w:val="18"/>
              </w:rPr>
              <w:t>31.2</w:t>
            </w:r>
          </w:p>
        </w:tc>
        <w:tc>
          <w:tcPr>
            <w:tcW w:w="0" w:type="auto"/>
            <w:gridSpan w:val="3"/>
            <w:shd w:val="clear" w:color="auto" w:fill="auto"/>
            <w:tcMar>
              <w:top w:w="0" w:type="dxa"/>
              <w:left w:w="20" w:type="dxa"/>
              <w:bottom w:w="0" w:type="dxa"/>
              <w:right w:w="20" w:type="dxa"/>
            </w:tcMar>
            <w:vAlign w:val="bottom"/>
          </w:tcPr>
          <w:p w14:paraId="39D9A1D0"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D1" w14:textId="77777777" w:rsidR="00996AD7" w:rsidRDefault="00D96458">
            <w:pPr>
              <w:textAlignment w:val="top"/>
            </w:pPr>
            <w:hyperlink r:id="rId75" w:history="1">
              <w:r>
                <w:rPr>
                  <w:rStyle w:val="a5"/>
                  <w:rFonts w:ascii="Arial" w:eastAsia="宋体" w:hAnsi="Arial" w:cs="Arial"/>
                  <w:color w:val="0068B5"/>
                  <w:sz w:val="18"/>
                  <w:szCs w:val="18"/>
                </w:rPr>
                <w:t>Certification of the Chief Financial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39D9A1D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D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D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D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D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D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D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D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D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DB" w14:textId="77777777" w:rsidR="00996AD7" w:rsidRDefault="00D96458">
            <w:pPr>
              <w:jc w:val="center"/>
              <w:textAlignment w:val="top"/>
            </w:pPr>
            <w:r>
              <w:rPr>
                <w:rFonts w:ascii="Arial" w:eastAsia="宋体" w:hAnsi="Arial" w:cs="Arial"/>
                <w:color w:val="262626"/>
                <w:sz w:val="18"/>
                <w:szCs w:val="18"/>
              </w:rPr>
              <w:t>X</w:t>
            </w:r>
          </w:p>
        </w:tc>
      </w:tr>
      <w:tr w:rsidR="00996AD7" w14:paraId="39D9A1EA" w14:textId="77777777">
        <w:trPr>
          <w:hidden/>
        </w:trPr>
        <w:tc>
          <w:tcPr>
            <w:tcW w:w="0" w:type="auto"/>
            <w:gridSpan w:val="3"/>
            <w:shd w:val="clear" w:color="auto" w:fill="auto"/>
            <w:vAlign w:val="bottom"/>
          </w:tcPr>
          <w:p w14:paraId="39D9A1DD" w14:textId="77777777" w:rsidR="00996AD7" w:rsidRDefault="00996AD7">
            <w:pPr>
              <w:rPr>
                <w:rFonts w:ascii="宋体"/>
                <w:vanish/>
              </w:rPr>
            </w:pPr>
          </w:p>
        </w:tc>
        <w:tc>
          <w:tcPr>
            <w:tcW w:w="0" w:type="auto"/>
            <w:gridSpan w:val="3"/>
            <w:shd w:val="clear" w:color="auto" w:fill="auto"/>
            <w:vAlign w:val="bottom"/>
          </w:tcPr>
          <w:p w14:paraId="39D9A1DE" w14:textId="77777777" w:rsidR="00996AD7" w:rsidRDefault="00996AD7">
            <w:pPr>
              <w:rPr>
                <w:rFonts w:ascii="宋体"/>
                <w:vanish/>
              </w:rPr>
            </w:pPr>
          </w:p>
        </w:tc>
        <w:tc>
          <w:tcPr>
            <w:tcW w:w="0" w:type="auto"/>
            <w:gridSpan w:val="3"/>
            <w:shd w:val="clear" w:color="auto" w:fill="auto"/>
            <w:vAlign w:val="bottom"/>
          </w:tcPr>
          <w:p w14:paraId="39D9A1DF" w14:textId="77777777" w:rsidR="00996AD7" w:rsidRDefault="00996AD7">
            <w:pPr>
              <w:rPr>
                <w:rFonts w:ascii="宋体"/>
                <w:vanish/>
              </w:rPr>
            </w:pPr>
          </w:p>
        </w:tc>
        <w:tc>
          <w:tcPr>
            <w:tcW w:w="0" w:type="auto"/>
            <w:gridSpan w:val="3"/>
            <w:shd w:val="clear" w:color="auto" w:fill="auto"/>
            <w:vAlign w:val="bottom"/>
          </w:tcPr>
          <w:p w14:paraId="39D9A1E0" w14:textId="77777777" w:rsidR="00996AD7" w:rsidRDefault="00996AD7">
            <w:pPr>
              <w:rPr>
                <w:rFonts w:ascii="宋体"/>
                <w:vanish/>
              </w:rPr>
            </w:pPr>
          </w:p>
        </w:tc>
        <w:tc>
          <w:tcPr>
            <w:tcW w:w="0" w:type="auto"/>
            <w:gridSpan w:val="3"/>
            <w:shd w:val="clear" w:color="auto" w:fill="auto"/>
            <w:vAlign w:val="bottom"/>
          </w:tcPr>
          <w:p w14:paraId="39D9A1E1" w14:textId="77777777" w:rsidR="00996AD7" w:rsidRDefault="00996AD7">
            <w:pPr>
              <w:rPr>
                <w:rFonts w:ascii="宋体"/>
                <w:vanish/>
              </w:rPr>
            </w:pPr>
          </w:p>
        </w:tc>
        <w:tc>
          <w:tcPr>
            <w:tcW w:w="0" w:type="auto"/>
            <w:gridSpan w:val="3"/>
            <w:shd w:val="clear" w:color="auto" w:fill="auto"/>
            <w:vAlign w:val="bottom"/>
          </w:tcPr>
          <w:p w14:paraId="39D9A1E2" w14:textId="77777777" w:rsidR="00996AD7" w:rsidRDefault="00996AD7">
            <w:pPr>
              <w:rPr>
                <w:rFonts w:ascii="宋体"/>
                <w:vanish/>
              </w:rPr>
            </w:pPr>
          </w:p>
        </w:tc>
        <w:tc>
          <w:tcPr>
            <w:tcW w:w="0" w:type="auto"/>
            <w:gridSpan w:val="3"/>
            <w:shd w:val="clear" w:color="auto" w:fill="auto"/>
            <w:vAlign w:val="bottom"/>
          </w:tcPr>
          <w:p w14:paraId="39D9A1E3" w14:textId="77777777" w:rsidR="00996AD7" w:rsidRDefault="00996AD7">
            <w:pPr>
              <w:rPr>
                <w:rFonts w:ascii="宋体"/>
                <w:vanish/>
              </w:rPr>
            </w:pPr>
          </w:p>
        </w:tc>
        <w:tc>
          <w:tcPr>
            <w:tcW w:w="0" w:type="auto"/>
            <w:gridSpan w:val="3"/>
            <w:shd w:val="clear" w:color="auto" w:fill="auto"/>
            <w:vAlign w:val="bottom"/>
          </w:tcPr>
          <w:p w14:paraId="39D9A1E4" w14:textId="77777777" w:rsidR="00996AD7" w:rsidRDefault="00996AD7">
            <w:pPr>
              <w:rPr>
                <w:rFonts w:ascii="宋体"/>
                <w:vanish/>
              </w:rPr>
            </w:pPr>
          </w:p>
        </w:tc>
        <w:tc>
          <w:tcPr>
            <w:tcW w:w="0" w:type="auto"/>
            <w:gridSpan w:val="3"/>
            <w:shd w:val="clear" w:color="auto" w:fill="auto"/>
            <w:vAlign w:val="bottom"/>
          </w:tcPr>
          <w:p w14:paraId="39D9A1E5" w14:textId="77777777" w:rsidR="00996AD7" w:rsidRDefault="00996AD7">
            <w:pPr>
              <w:rPr>
                <w:rFonts w:ascii="宋体"/>
                <w:vanish/>
              </w:rPr>
            </w:pPr>
          </w:p>
        </w:tc>
        <w:tc>
          <w:tcPr>
            <w:tcW w:w="0" w:type="auto"/>
            <w:gridSpan w:val="3"/>
            <w:shd w:val="clear" w:color="auto" w:fill="auto"/>
            <w:vAlign w:val="bottom"/>
          </w:tcPr>
          <w:p w14:paraId="39D9A1E6" w14:textId="77777777" w:rsidR="00996AD7" w:rsidRDefault="00996AD7">
            <w:pPr>
              <w:rPr>
                <w:rFonts w:ascii="宋体"/>
                <w:vanish/>
              </w:rPr>
            </w:pPr>
          </w:p>
        </w:tc>
        <w:tc>
          <w:tcPr>
            <w:tcW w:w="0" w:type="auto"/>
            <w:gridSpan w:val="3"/>
            <w:shd w:val="clear" w:color="auto" w:fill="auto"/>
            <w:vAlign w:val="bottom"/>
          </w:tcPr>
          <w:p w14:paraId="39D9A1E7" w14:textId="77777777" w:rsidR="00996AD7" w:rsidRDefault="00996AD7">
            <w:pPr>
              <w:rPr>
                <w:rFonts w:ascii="宋体"/>
                <w:vanish/>
              </w:rPr>
            </w:pPr>
          </w:p>
        </w:tc>
        <w:tc>
          <w:tcPr>
            <w:tcW w:w="0" w:type="auto"/>
            <w:gridSpan w:val="3"/>
            <w:shd w:val="clear" w:color="auto" w:fill="auto"/>
            <w:vAlign w:val="bottom"/>
          </w:tcPr>
          <w:p w14:paraId="39D9A1E8" w14:textId="77777777" w:rsidR="00996AD7" w:rsidRDefault="00996AD7">
            <w:pPr>
              <w:rPr>
                <w:rFonts w:ascii="宋体"/>
                <w:vanish/>
              </w:rPr>
            </w:pPr>
          </w:p>
        </w:tc>
        <w:tc>
          <w:tcPr>
            <w:tcW w:w="0" w:type="auto"/>
            <w:gridSpan w:val="3"/>
            <w:shd w:val="clear" w:color="auto" w:fill="auto"/>
            <w:vAlign w:val="bottom"/>
          </w:tcPr>
          <w:p w14:paraId="39D9A1E9" w14:textId="77777777" w:rsidR="00996AD7" w:rsidRDefault="00996AD7">
            <w:pPr>
              <w:rPr>
                <w:rFonts w:ascii="宋体"/>
                <w:vanish/>
              </w:rPr>
            </w:pPr>
          </w:p>
        </w:tc>
      </w:tr>
      <w:tr w:rsidR="00996AD7" w14:paraId="39D9A1F8" w14:textId="77777777">
        <w:tc>
          <w:tcPr>
            <w:tcW w:w="0" w:type="auto"/>
            <w:gridSpan w:val="3"/>
            <w:shd w:val="clear" w:color="auto" w:fill="auto"/>
            <w:tcMar>
              <w:top w:w="40" w:type="dxa"/>
              <w:left w:w="20" w:type="dxa"/>
              <w:bottom w:w="40" w:type="dxa"/>
              <w:right w:w="20" w:type="dxa"/>
            </w:tcMar>
          </w:tcPr>
          <w:p w14:paraId="39D9A1EB" w14:textId="77777777" w:rsidR="00996AD7" w:rsidRDefault="00D96458">
            <w:pPr>
              <w:jc w:val="center"/>
              <w:textAlignment w:val="top"/>
            </w:pPr>
            <w:r>
              <w:rPr>
                <w:rFonts w:ascii="Arial" w:eastAsia="宋体" w:hAnsi="Arial" w:cs="Arial"/>
                <w:color w:val="262626"/>
                <w:sz w:val="18"/>
                <w:szCs w:val="18"/>
              </w:rPr>
              <w:t>32.1</w:t>
            </w:r>
          </w:p>
        </w:tc>
        <w:tc>
          <w:tcPr>
            <w:tcW w:w="0" w:type="auto"/>
            <w:gridSpan w:val="3"/>
            <w:shd w:val="clear" w:color="auto" w:fill="auto"/>
            <w:tcMar>
              <w:top w:w="0" w:type="dxa"/>
              <w:left w:w="20" w:type="dxa"/>
              <w:bottom w:w="0" w:type="dxa"/>
              <w:right w:w="20" w:type="dxa"/>
            </w:tcMar>
            <w:vAlign w:val="bottom"/>
          </w:tcPr>
          <w:p w14:paraId="39D9A1E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ED" w14:textId="77777777" w:rsidR="00996AD7" w:rsidRDefault="00D96458">
            <w:pPr>
              <w:textAlignment w:val="top"/>
            </w:pPr>
            <w:hyperlink r:id="rId76" w:history="1">
              <w:r>
                <w:rPr>
                  <w:rStyle w:val="a5"/>
                  <w:rFonts w:ascii="Arial" w:eastAsia="宋体" w:hAnsi="Arial" w:cs="Arial"/>
                  <w:color w:val="0068B5"/>
                  <w:sz w:val="18"/>
                  <w:szCs w:val="18"/>
                </w:rPr>
                <w:t>Certification of the Chief Executive Officer and the Chief Financial Officer pursuant to Rule 13a-14(b) of the Exchange Act and 18 U.S.C. Section 1350</w:t>
              </w:r>
            </w:hyperlink>
          </w:p>
        </w:tc>
        <w:tc>
          <w:tcPr>
            <w:tcW w:w="0" w:type="auto"/>
            <w:gridSpan w:val="3"/>
            <w:shd w:val="clear" w:color="auto" w:fill="auto"/>
            <w:tcMar>
              <w:top w:w="0" w:type="dxa"/>
              <w:left w:w="20" w:type="dxa"/>
              <w:bottom w:w="0" w:type="dxa"/>
              <w:right w:w="20" w:type="dxa"/>
            </w:tcMar>
            <w:vAlign w:val="bottom"/>
          </w:tcPr>
          <w:p w14:paraId="39D9A1E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E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F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F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F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F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F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F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F6"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F7" w14:textId="77777777" w:rsidR="00996AD7" w:rsidRDefault="00D96458">
            <w:pPr>
              <w:jc w:val="center"/>
              <w:textAlignment w:val="top"/>
            </w:pPr>
            <w:r>
              <w:rPr>
                <w:rFonts w:ascii="Arial" w:eastAsia="宋体" w:hAnsi="Arial" w:cs="Arial"/>
                <w:color w:val="262626"/>
                <w:sz w:val="18"/>
                <w:szCs w:val="18"/>
              </w:rPr>
              <w:t>X</w:t>
            </w:r>
          </w:p>
        </w:tc>
      </w:tr>
      <w:tr w:rsidR="00996AD7" w14:paraId="39D9A206" w14:textId="77777777">
        <w:tc>
          <w:tcPr>
            <w:tcW w:w="0" w:type="auto"/>
            <w:gridSpan w:val="3"/>
            <w:shd w:val="clear" w:color="auto" w:fill="auto"/>
            <w:tcMar>
              <w:top w:w="40" w:type="dxa"/>
              <w:left w:w="20" w:type="dxa"/>
              <w:bottom w:w="40" w:type="dxa"/>
              <w:right w:w="20" w:type="dxa"/>
            </w:tcMar>
          </w:tcPr>
          <w:p w14:paraId="39D9A1F9" w14:textId="77777777" w:rsidR="00996AD7" w:rsidRDefault="00D96458">
            <w:pPr>
              <w:jc w:val="center"/>
              <w:textAlignment w:val="top"/>
            </w:pPr>
            <w:r>
              <w:rPr>
                <w:rFonts w:ascii="Arial" w:eastAsia="宋体" w:hAnsi="Arial" w:cs="Arial"/>
                <w:color w:val="262626"/>
                <w:sz w:val="18"/>
                <w:szCs w:val="18"/>
              </w:rPr>
              <w:t>101.INS</w:t>
            </w:r>
          </w:p>
        </w:tc>
        <w:tc>
          <w:tcPr>
            <w:tcW w:w="0" w:type="auto"/>
            <w:gridSpan w:val="3"/>
            <w:shd w:val="clear" w:color="auto" w:fill="auto"/>
            <w:tcMar>
              <w:top w:w="0" w:type="dxa"/>
              <w:left w:w="20" w:type="dxa"/>
              <w:bottom w:w="0" w:type="dxa"/>
              <w:right w:w="20" w:type="dxa"/>
            </w:tcMar>
            <w:vAlign w:val="bottom"/>
          </w:tcPr>
          <w:p w14:paraId="39D9A1F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1FB" w14:textId="77777777" w:rsidR="00996AD7" w:rsidRDefault="00D96458">
            <w:pPr>
              <w:textAlignment w:val="top"/>
            </w:pPr>
            <w:r>
              <w:rPr>
                <w:rFonts w:ascii="Arial" w:eastAsia="宋体" w:hAnsi="Arial" w:cs="Arial"/>
                <w:color w:val="262626"/>
                <w:sz w:val="18"/>
                <w:szCs w:val="18"/>
              </w:rPr>
              <w:t>XBRL Instance Document -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39D9A1F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F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F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1F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0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0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0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0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04"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205" w14:textId="77777777" w:rsidR="00996AD7" w:rsidRDefault="00D96458">
            <w:pPr>
              <w:jc w:val="center"/>
              <w:textAlignment w:val="top"/>
            </w:pPr>
            <w:r>
              <w:rPr>
                <w:rFonts w:ascii="Arial" w:eastAsia="宋体" w:hAnsi="Arial" w:cs="Arial"/>
                <w:color w:val="262626"/>
                <w:sz w:val="18"/>
                <w:szCs w:val="18"/>
              </w:rPr>
              <w:t>X</w:t>
            </w:r>
          </w:p>
        </w:tc>
      </w:tr>
      <w:tr w:rsidR="00996AD7" w14:paraId="39D9A214" w14:textId="77777777">
        <w:tc>
          <w:tcPr>
            <w:tcW w:w="0" w:type="auto"/>
            <w:gridSpan w:val="3"/>
            <w:shd w:val="clear" w:color="auto" w:fill="auto"/>
            <w:tcMar>
              <w:top w:w="40" w:type="dxa"/>
              <w:left w:w="20" w:type="dxa"/>
              <w:bottom w:w="40" w:type="dxa"/>
              <w:right w:w="20" w:type="dxa"/>
            </w:tcMar>
          </w:tcPr>
          <w:p w14:paraId="39D9A207" w14:textId="77777777" w:rsidR="00996AD7" w:rsidRDefault="00D96458">
            <w:pPr>
              <w:jc w:val="center"/>
              <w:textAlignment w:val="top"/>
            </w:pPr>
            <w:r>
              <w:rPr>
                <w:rFonts w:ascii="Arial" w:eastAsia="宋体" w:hAnsi="Arial" w:cs="Arial"/>
                <w:color w:val="262626"/>
                <w:sz w:val="18"/>
                <w:szCs w:val="18"/>
              </w:rPr>
              <w:t>101.SCH</w:t>
            </w:r>
          </w:p>
        </w:tc>
        <w:tc>
          <w:tcPr>
            <w:tcW w:w="0" w:type="auto"/>
            <w:gridSpan w:val="3"/>
            <w:shd w:val="clear" w:color="auto" w:fill="auto"/>
            <w:tcMar>
              <w:top w:w="0" w:type="dxa"/>
              <w:left w:w="20" w:type="dxa"/>
              <w:bottom w:w="0" w:type="dxa"/>
              <w:right w:w="20" w:type="dxa"/>
            </w:tcMar>
            <w:vAlign w:val="bottom"/>
          </w:tcPr>
          <w:p w14:paraId="39D9A20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209" w14:textId="77777777" w:rsidR="00996AD7" w:rsidRDefault="00D96458">
            <w:pPr>
              <w:textAlignment w:val="top"/>
            </w:pPr>
            <w:r>
              <w:rPr>
                <w:rFonts w:ascii="Arial" w:eastAsia="宋体" w:hAnsi="Arial" w:cs="Arial"/>
                <w:color w:val="262626"/>
                <w:sz w:val="18"/>
                <w:szCs w:val="18"/>
              </w:rPr>
              <w:t>XBRL Taxonomy Extension Schema Document</w:t>
            </w:r>
          </w:p>
        </w:tc>
        <w:tc>
          <w:tcPr>
            <w:tcW w:w="0" w:type="auto"/>
            <w:gridSpan w:val="3"/>
            <w:shd w:val="clear" w:color="auto" w:fill="auto"/>
            <w:tcMar>
              <w:top w:w="0" w:type="dxa"/>
              <w:left w:w="20" w:type="dxa"/>
              <w:bottom w:w="0" w:type="dxa"/>
              <w:right w:w="20" w:type="dxa"/>
            </w:tcMar>
            <w:vAlign w:val="bottom"/>
          </w:tcPr>
          <w:p w14:paraId="39D9A20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0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0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0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0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0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1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1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1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213" w14:textId="77777777" w:rsidR="00996AD7" w:rsidRDefault="00D96458">
            <w:pPr>
              <w:jc w:val="center"/>
              <w:textAlignment w:val="top"/>
            </w:pPr>
            <w:r>
              <w:rPr>
                <w:rFonts w:ascii="Arial" w:eastAsia="宋体" w:hAnsi="Arial" w:cs="Arial"/>
                <w:color w:val="262626"/>
                <w:sz w:val="18"/>
                <w:szCs w:val="18"/>
              </w:rPr>
              <w:t>X</w:t>
            </w:r>
          </w:p>
        </w:tc>
      </w:tr>
      <w:tr w:rsidR="00996AD7" w14:paraId="39D9A222" w14:textId="77777777">
        <w:tc>
          <w:tcPr>
            <w:tcW w:w="0" w:type="auto"/>
            <w:gridSpan w:val="3"/>
            <w:shd w:val="clear" w:color="auto" w:fill="auto"/>
            <w:tcMar>
              <w:top w:w="40" w:type="dxa"/>
              <w:left w:w="20" w:type="dxa"/>
              <w:bottom w:w="40" w:type="dxa"/>
              <w:right w:w="20" w:type="dxa"/>
            </w:tcMar>
          </w:tcPr>
          <w:p w14:paraId="39D9A215" w14:textId="77777777" w:rsidR="00996AD7" w:rsidRDefault="00D96458">
            <w:pPr>
              <w:jc w:val="center"/>
              <w:textAlignment w:val="top"/>
            </w:pPr>
            <w:r>
              <w:rPr>
                <w:rFonts w:ascii="Arial" w:eastAsia="宋体" w:hAnsi="Arial" w:cs="Arial"/>
                <w:color w:val="262626"/>
                <w:sz w:val="18"/>
                <w:szCs w:val="18"/>
              </w:rPr>
              <w:t>101.CAL</w:t>
            </w:r>
          </w:p>
        </w:tc>
        <w:tc>
          <w:tcPr>
            <w:tcW w:w="0" w:type="auto"/>
            <w:gridSpan w:val="3"/>
            <w:shd w:val="clear" w:color="auto" w:fill="auto"/>
            <w:tcMar>
              <w:top w:w="0" w:type="dxa"/>
              <w:left w:w="20" w:type="dxa"/>
              <w:bottom w:w="0" w:type="dxa"/>
              <w:right w:w="20" w:type="dxa"/>
            </w:tcMar>
            <w:vAlign w:val="bottom"/>
          </w:tcPr>
          <w:p w14:paraId="39D9A216"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217" w14:textId="77777777" w:rsidR="00996AD7" w:rsidRDefault="00D96458">
            <w:pPr>
              <w:textAlignment w:val="top"/>
            </w:pPr>
            <w:r>
              <w:rPr>
                <w:rFonts w:ascii="Arial" w:eastAsia="宋体" w:hAnsi="Arial" w:cs="Arial"/>
                <w:color w:val="262626"/>
                <w:sz w:val="18"/>
                <w:szCs w:val="18"/>
              </w:rPr>
              <w:t>XBRL Taxonomy Extension Calculation Linkbase Document</w:t>
            </w:r>
          </w:p>
        </w:tc>
        <w:tc>
          <w:tcPr>
            <w:tcW w:w="0" w:type="auto"/>
            <w:gridSpan w:val="3"/>
            <w:shd w:val="clear" w:color="auto" w:fill="auto"/>
            <w:tcMar>
              <w:top w:w="0" w:type="dxa"/>
              <w:left w:w="20" w:type="dxa"/>
              <w:bottom w:w="0" w:type="dxa"/>
              <w:right w:w="20" w:type="dxa"/>
            </w:tcMar>
            <w:vAlign w:val="bottom"/>
          </w:tcPr>
          <w:p w14:paraId="39D9A21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1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1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1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1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1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1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1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20"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221" w14:textId="77777777" w:rsidR="00996AD7" w:rsidRDefault="00D96458">
            <w:pPr>
              <w:jc w:val="center"/>
              <w:textAlignment w:val="top"/>
            </w:pPr>
            <w:r>
              <w:rPr>
                <w:rFonts w:ascii="Arial" w:eastAsia="宋体" w:hAnsi="Arial" w:cs="Arial"/>
                <w:color w:val="262626"/>
                <w:sz w:val="18"/>
                <w:szCs w:val="18"/>
              </w:rPr>
              <w:t>X</w:t>
            </w:r>
          </w:p>
        </w:tc>
      </w:tr>
      <w:tr w:rsidR="00996AD7" w14:paraId="39D9A230" w14:textId="77777777">
        <w:tc>
          <w:tcPr>
            <w:tcW w:w="0" w:type="auto"/>
            <w:gridSpan w:val="3"/>
            <w:shd w:val="clear" w:color="auto" w:fill="auto"/>
            <w:tcMar>
              <w:top w:w="40" w:type="dxa"/>
              <w:left w:w="20" w:type="dxa"/>
              <w:bottom w:w="40" w:type="dxa"/>
              <w:right w:w="20" w:type="dxa"/>
            </w:tcMar>
          </w:tcPr>
          <w:p w14:paraId="39D9A223" w14:textId="77777777" w:rsidR="00996AD7" w:rsidRDefault="00D96458">
            <w:pPr>
              <w:jc w:val="center"/>
              <w:textAlignment w:val="top"/>
            </w:pPr>
            <w:r>
              <w:rPr>
                <w:rFonts w:ascii="Arial" w:eastAsia="宋体" w:hAnsi="Arial" w:cs="Arial"/>
                <w:color w:val="262626"/>
                <w:sz w:val="18"/>
                <w:szCs w:val="18"/>
              </w:rPr>
              <w:t>101.DEF</w:t>
            </w:r>
          </w:p>
        </w:tc>
        <w:tc>
          <w:tcPr>
            <w:tcW w:w="0" w:type="auto"/>
            <w:gridSpan w:val="3"/>
            <w:shd w:val="clear" w:color="auto" w:fill="auto"/>
            <w:tcMar>
              <w:top w:w="0" w:type="dxa"/>
              <w:left w:w="20" w:type="dxa"/>
              <w:bottom w:w="0" w:type="dxa"/>
              <w:right w:w="20" w:type="dxa"/>
            </w:tcMar>
            <w:vAlign w:val="bottom"/>
          </w:tcPr>
          <w:p w14:paraId="39D9A224"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225" w14:textId="77777777" w:rsidR="00996AD7" w:rsidRDefault="00D96458">
            <w:pPr>
              <w:textAlignment w:val="top"/>
            </w:pPr>
            <w:r>
              <w:rPr>
                <w:rFonts w:ascii="Arial" w:eastAsia="宋体" w:hAnsi="Arial" w:cs="Arial"/>
                <w:color w:val="262626"/>
                <w:sz w:val="18"/>
                <w:szCs w:val="18"/>
              </w:rPr>
              <w:t>XBRL Taxonomy Extension Definition Linkbase Document</w:t>
            </w:r>
          </w:p>
        </w:tc>
        <w:tc>
          <w:tcPr>
            <w:tcW w:w="0" w:type="auto"/>
            <w:gridSpan w:val="3"/>
            <w:shd w:val="clear" w:color="auto" w:fill="auto"/>
            <w:tcMar>
              <w:top w:w="0" w:type="dxa"/>
              <w:left w:w="20" w:type="dxa"/>
              <w:bottom w:w="0" w:type="dxa"/>
              <w:right w:w="20" w:type="dxa"/>
            </w:tcMar>
            <w:vAlign w:val="bottom"/>
          </w:tcPr>
          <w:p w14:paraId="39D9A22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2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2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2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2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2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2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2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2E"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22F" w14:textId="77777777" w:rsidR="00996AD7" w:rsidRDefault="00D96458">
            <w:pPr>
              <w:jc w:val="center"/>
              <w:textAlignment w:val="top"/>
            </w:pPr>
            <w:r>
              <w:rPr>
                <w:rFonts w:ascii="Arial" w:eastAsia="宋体" w:hAnsi="Arial" w:cs="Arial"/>
                <w:color w:val="262626"/>
                <w:sz w:val="18"/>
                <w:szCs w:val="18"/>
              </w:rPr>
              <w:t>X</w:t>
            </w:r>
          </w:p>
        </w:tc>
      </w:tr>
      <w:tr w:rsidR="00996AD7" w14:paraId="39D9A23E" w14:textId="77777777">
        <w:tc>
          <w:tcPr>
            <w:tcW w:w="0" w:type="auto"/>
            <w:gridSpan w:val="3"/>
            <w:shd w:val="clear" w:color="auto" w:fill="auto"/>
            <w:tcMar>
              <w:top w:w="40" w:type="dxa"/>
              <w:left w:w="20" w:type="dxa"/>
              <w:bottom w:w="40" w:type="dxa"/>
              <w:right w:w="20" w:type="dxa"/>
            </w:tcMar>
          </w:tcPr>
          <w:p w14:paraId="39D9A231" w14:textId="77777777" w:rsidR="00996AD7" w:rsidRDefault="00D96458">
            <w:pPr>
              <w:jc w:val="center"/>
              <w:textAlignment w:val="top"/>
            </w:pPr>
            <w:r>
              <w:rPr>
                <w:rFonts w:ascii="Arial" w:eastAsia="宋体" w:hAnsi="Arial" w:cs="Arial"/>
                <w:color w:val="262626"/>
                <w:sz w:val="18"/>
                <w:szCs w:val="18"/>
              </w:rPr>
              <w:t>101.LAB</w:t>
            </w:r>
          </w:p>
        </w:tc>
        <w:tc>
          <w:tcPr>
            <w:tcW w:w="0" w:type="auto"/>
            <w:gridSpan w:val="3"/>
            <w:shd w:val="clear" w:color="auto" w:fill="auto"/>
            <w:tcMar>
              <w:top w:w="0" w:type="dxa"/>
              <w:left w:w="20" w:type="dxa"/>
              <w:bottom w:w="0" w:type="dxa"/>
              <w:right w:w="20" w:type="dxa"/>
            </w:tcMar>
            <w:vAlign w:val="bottom"/>
          </w:tcPr>
          <w:p w14:paraId="39D9A232"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233" w14:textId="77777777" w:rsidR="00996AD7" w:rsidRDefault="00D96458">
            <w:pPr>
              <w:textAlignment w:val="top"/>
            </w:pPr>
            <w:r>
              <w:rPr>
                <w:rFonts w:ascii="Arial" w:eastAsia="宋体" w:hAnsi="Arial" w:cs="Arial"/>
                <w:color w:val="262626"/>
                <w:sz w:val="18"/>
                <w:szCs w:val="18"/>
              </w:rPr>
              <w:t>XBRL Taxonomy Extension Label Linkbase Document</w:t>
            </w:r>
          </w:p>
        </w:tc>
        <w:tc>
          <w:tcPr>
            <w:tcW w:w="0" w:type="auto"/>
            <w:gridSpan w:val="3"/>
            <w:shd w:val="clear" w:color="auto" w:fill="auto"/>
            <w:tcMar>
              <w:top w:w="0" w:type="dxa"/>
              <w:left w:w="20" w:type="dxa"/>
              <w:bottom w:w="0" w:type="dxa"/>
              <w:right w:w="20" w:type="dxa"/>
            </w:tcMar>
            <w:vAlign w:val="bottom"/>
          </w:tcPr>
          <w:p w14:paraId="39D9A23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3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3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3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3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3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3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3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3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23D" w14:textId="77777777" w:rsidR="00996AD7" w:rsidRDefault="00D96458">
            <w:pPr>
              <w:jc w:val="center"/>
              <w:textAlignment w:val="top"/>
            </w:pPr>
            <w:r>
              <w:rPr>
                <w:rFonts w:ascii="Arial" w:eastAsia="宋体" w:hAnsi="Arial" w:cs="Arial"/>
                <w:color w:val="262626"/>
                <w:sz w:val="18"/>
                <w:szCs w:val="18"/>
              </w:rPr>
              <w:t>X</w:t>
            </w:r>
          </w:p>
        </w:tc>
      </w:tr>
      <w:tr w:rsidR="00996AD7" w14:paraId="39D9A24C" w14:textId="77777777">
        <w:tc>
          <w:tcPr>
            <w:tcW w:w="0" w:type="auto"/>
            <w:gridSpan w:val="3"/>
            <w:shd w:val="clear" w:color="auto" w:fill="auto"/>
            <w:tcMar>
              <w:top w:w="40" w:type="dxa"/>
              <w:left w:w="20" w:type="dxa"/>
              <w:bottom w:w="40" w:type="dxa"/>
              <w:right w:w="20" w:type="dxa"/>
            </w:tcMar>
          </w:tcPr>
          <w:p w14:paraId="39D9A23F" w14:textId="77777777" w:rsidR="00996AD7" w:rsidRDefault="00D96458">
            <w:pPr>
              <w:jc w:val="center"/>
              <w:textAlignment w:val="top"/>
            </w:pPr>
            <w:r>
              <w:rPr>
                <w:rFonts w:ascii="Arial" w:eastAsia="宋体" w:hAnsi="Arial" w:cs="Arial"/>
                <w:color w:val="262626"/>
                <w:sz w:val="18"/>
                <w:szCs w:val="18"/>
              </w:rPr>
              <w:t>101.PRE</w:t>
            </w:r>
          </w:p>
        </w:tc>
        <w:tc>
          <w:tcPr>
            <w:tcW w:w="0" w:type="auto"/>
            <w:gridSpan w:val="3"/>
            <w:shd w:val="clear" w:color="auto" w:fill="auto"/>
            <w:tcMar>
              <w:top w:w="0" w:type="dxa"/>
              <w:left w:w="20" w:type="dxa"/>
              <w:bottom w:w="0" w:type="dxa"/>
              <w:right w:w="20" w:type="dxa"/>
            </w:tcMar>
            <w:vAlign w:val="bottom"/>
          </w:tcPr>
          <w:p w14:paraId="39D9A240"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241" w14:textId="77777777" w:rsidR="00996AD7" w:rsidRDefault="00D96458">
            <w:pPr>
              <w:textAlignment w:val="top"/>
            </w:pPr>
            <w:r>
              <w:rPr>
                <w:rFonts w:ascii="Arial" w:eastAsia="宋体" w:hAnsi="Arial" w:cs="Arial"/>
                <w:color w:val="262626"/>
                <w:sz w:val="18"/>
                <w:szCs w:val="18"/>
              </w:rPr>
              <w:t xml:space="preserve">XBRL Taxonomy </w:t>
            </w:r>
            <w:r>
              <w:rPr>
                <w:rFonts w:ascii="Arial" w:eastAsia="宋体" w:hAnsi="Arial" w:cs="Arial"/>
                <w:color w:val="262626"/>
                <w:sz w:val="18"/>
                <w:szCs w:val="18"/>
              </w:rPr>
              <w:t>Extension Presentation Linkbase Document</w:t>
            </w:r>
          </w:p>
        </w:tc>
        <w:tc>
          <w:tcPr>
            <w:tcW w:w="0" w:type="auto"/>
            <w:gridSpan w:val="3"/>
            <w:shd w:val="clear" w:color="auto" w:fill="auto"/>
            <w:tcMar>
              <w:top w:w="0" w:type="dxa"/>
              <w:left w:w="20" w:type="dxa"/>
              <w:bottom w:w="0" w:type="dxa"/>
              <w:right w:w="20" w:type="dxa"/>
            </w:tcMar>
            <w:vAlign w:val="bottom"/>
          </w:tcPr>
          <w:p w14:paraId="39D9A24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4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4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4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4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4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48"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49"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4A"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24B" w14:textId="77777777" w:rsidR="00996AD7" w:rsidRDefault="00D96458">
            <w:pPr>
              <w:jc w:val="center"/>
              <w:textAlignment w:val="top"/>
            </w:pPr>
            <w:r>
              <w:rPr>
                <w:rFonts w:ascii="Arial" w:eastAsia="宋体" w:hAnsi="Arial" w:cs="Arial"/>
                <w:color w:val="262626"/>
                <w:sz w:val="18"/>
                <w:szCs w:val="18"/>
              </w:rPr>
              <w:t>X</w:t>
            </w:r>
          </w:p>
        </w:tc>
      </w:tr>
      <w:tr w:rsidR="00996AD7" w14:paraId="39D9A25A" w14:textId="77777777">
        <w:tc>
          <w:tcPr>
            <w:tcW w:w="0" w:type="auto"/>
            <w:gridSpan w:val="3"/>
            <w:shd w:val="clear" w:color="auto" w:fill="auto"/>
            <w:tcMar>
              <w:top w:w="40" w:type="dxa"/>
              <w:left w:w="20" w:type="dxa"/>
              <w:bottom w:w="40" w:type="dxa"/>
              <w:right w:w="20" w:type="dxa"/>
            </w:tcMar>
          </w:tcPr>
          <w:p w14:paraId="39D9A24D" w14:textId="77777777" w:rsidR="00996AD7" w:rsidRDefault="00D96458">
            <w:pPr>
              <w:jc w:val="center"/>
              <w:textAlignment w:val="top"/>
            </w:pPr>
            <w:r>
              <w:rPr>
                <w:rFonts w:ascii="Arial" w:eastAsia="宋体" w:hAnsi="Arial" w:cs="Arial"/>
                <w:color w:val="262626"/>
                <w:sz w:val="18"/>
                <w:szCs w:val="18"/>
              </w:rPr>
              <w:t>104</w:t>
            </w:r>
          </w:p>
        </w:tc>
        <w:tc>
          <w:tcPr>
            <w:tcW w:w="0" w:type="auto"/>
            <w:gridSpan w:val="3"/>
            <w:shd w:val="clear" w:color="auto" w:fill="auto"/>
            <w:tcMar>
              <w:top w:w="0" w:type="dxa"/>
              <w:left w:w="20" w:type="dxa"/>
              <w:bottom w:w="0" w:type="dxa"/>
              <w:right w:w="20" w:type="dxa"/>
            </w:tcMar>
            <w:vAlign w:val="bottom"/>
          </w:tcPr>
          <w:p w14:paraId="39D9A24E"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24F" w14:textId="77777777" w:rsidR="00996AD7" w:rsidRDefault="00D96458">
            <w:pPr>
              <w:textAlignment w:val="top"/>
            </w:pPr>
            <w:r>
              <w:rPr>
                <w:rFonts w:ascii="Arial" w:eastAsia="宋体" w:hAnsi="Arial" w:cs="Arial"/>
                <w:color w:val="262626"/>
                <w:sz w:val="18"/>
                <w:szCs w:val="18"/>
              </w:rPr>
              <w:t>Cover Page Interactive Data File - formatted in Inline XBRL and included as Exhibit 101</w:t>
            </w:r>
          </w:p>
        </w:tc>
        <w:tc>
          <w:tcPr>
            <w:tcW w:w="0" w:type="auto"/>
            <w:gridSpan w:val="3"/>
            <w:shd w:val="clear" w:color="auto" w:fill="auto"/>
            <w:tcMar>
              <w:top w:w="0" w:type="dxa"/>
              <w:left w:w="20" w:type="dxa"/>
              <w:bottom w:w="0" w:type="dxa"/>
              <w:right w:w="20" w:type="dxa"/>
            </w:tcMar>
            <w:vAlign w:val="bottom"/>
          </w:tcPr>
          <w:p w14:paraId="39D9A25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5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5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5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5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5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56"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57"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5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259" w14:textId="77777777" w:rsidR="00996AD7" w:rsidRDefault="00D96458">
            <w:pPr>
              <w:jc w:val="center"/>
              <w:textAlignment w:val="top"/>
            </w:pPr>
            <w:r>
              <w:rPr>
                <w:rFonts w:ascii="Arial" w:eastAsia="宋体" w:hAnsi="Arial" w:cs="Arial"/>
                <w:color w:val="262626"/>
                <w:sz w:val="18"/>
                <w:szCs w:val="18"/>
              </w:rPr>
              <w:t>X</w:t>
            </w:r>
          </w:p>
        </w:tc>
      </w:tr>
    </w:tbl>
    <w:p w14:paraId="39D9A25B" w14:textId="77777777" w:rsidR="00996AD7" w:rsidRDefault="00D96458">
      <w:pPr>
        <w:spacing w:after="180"/>
      </w:pPr>
      <w:r>
        <w:rPr>
          <w:rFonts w:ascii="Arial" w:eastAsia="宋体" w:hAnsi="Arial" w:cs="Arial"/>
          <w:i/>
          <w:iCs/>
          <w:color w:val="262626"/>
          <w:sz w:val="11"/>
          <w:szCs w:val="11"/>
        </w:rPr>
        <w:t xml:space="preserve">† </w:t>
      </w:r>
      <w:r>
        <w:rPr>
          <w:rFonts w:ascii="Arial" w:eastAsia="宋体" w:hAnsi="Arial" w:cs="Arial"/>
          <w:i/>
          <w:iCs/>
          <w:color w:val="262626"/>
          <w:sz w:val="16"/>
          <w:szCs w:val="16"/>
        </w:rPr>
        <w:t xml:space="preserve">Management contracts or compensation plans or arrangements in which directors or </w:t>
      </w:r>
      <w:r>
        <w:rPr>
          <w:rFonts w:ascii="Arial" w:eastAsia="宋体" w:hAnsi="Arial" w:cs="Arial"/>
          <w:i/>
          <w:iCs/>
          <w:color w:val="262626"/>
          <w:sz w:val="16"/>
          <w:szCs w:val="16"/>
        </w:rPr>
        <w:t>executive officers are eligible to participate.</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996AD7" w14:paraId="39D9A265" w14:textId="77777777">
        <w:tc>
          <w:tcPr>
            <w:tcW w:w="50" w:type="pct"/>
            <w:shd w:val="clear" w:color="auto" w:fill="auto"/>
            <w:vAlign w:val="bottom"/>
          </w:tcPr>
          <w:p w14:paraId="39D9A25C" w14:textId="77777777" w:rsidR="00996AD7" w:rsidRDefault="00996AD7">
            <w:pPr>
              <w:rPr>
                <w:rFonts w:ascii="宋体"/>
              </w:rPr>
            </w:pPr>
          </w:p>
        </w:tc>
        <w:tc>
          <w:tcPr>
            <w:tcW w:w="212" w:type="pct"/>
            <w:shd w:val="clear" w:color="auto" w:fill="auto"/>
            <w:vAlign w:val="bottom"/>
          </w:tcPr>
          <w:p w14:paraId="39D9A25D" w14:textId="77777777" w:rsidR="00996AD7" w:rsidRDefault="00996AD7">
            <w:pPr>
              <w:rPr>
                <w:rFonts w:ascii="宋体"/>
              </w:rPr>
            </w:pPr>
          </w:p>
        </w:tc>
        <w:tc>
          <w:tcPr>
            <w:tcW w:w="5" w:type="pct"/>
            <w:shd w:val="clear" w:color="auto" w:fill="auto"/>
            <w:vAlign w:val="bottom"/>
          </w:tcPr>
          <w:p w14:paraId="39D9A25E" w14:textId="77777777" w:rsidR="00996AD7" w:rsidRDefault="00996AD7">
            <w:pPr>
              <w:rPr>
                <w:rFonts w:ascii="宋体"/>
              </w:rPr>
            </w:pPr>
          </w:p>
        </w:tc>
        <w:tc>
          <w:tcPr>
            <w:tcW w:w="50" w:type="pct"/>
            <w:shd w:val="clear" w:color="auto" w:fill="auto"/>
            <w:vAlign w:val="bottom"/>
          </w:tcPr>
          <w:p w14:paraId="39D9A25F" w14:textId="77777777" w:rsidR="00996AD7" w:rsidRDefault="00996AD7">
            <w:pPr>
              <w:rPr>
                <w:rFonts w:ascii="宋体"/>
              </w:rPr>
            </w:pPr>
          </w:p>
        </w:tc>
        <w:tc>
          <w:tcPr>
            <w:tcW w:w="2492" w:type="pct"/>
            <w:shd w:val="clear" w:color="auto" w:fill="auto"/>
            <w:vAlign w:val="bottom"/>
          </w:tcPr>
          <w:p w14:paraId="39D9A260" w14:textId="77777777" w:rsidR="00996AD7" w:rsidRDefault="00996AD7">
            <w:pPr>
              <w:rPr>
                <w:rFonts w:ascii="宋体"/>
              </w:rPr>
            </w:pPr>
          </w:p>
        </w:tc>
        <w:tc>
          <w:tcPr>
            <w:tcW w:w="5" w:type="pct"/>
            <w:shd w:val="clear" w:color="auto" w:fill="auto"/>
            <w:vAlign w:val="bottom"/>
          </w:tcPr>
          <w:p w14:paraId="39D9A261" w14:textId="77777777" w:rsidR="00996AD7" w:rsidRDefault="00996AD7">
            <w:pPr>
              <w:rPr>
                <w:rFonts w:ascii="宋体"/>
              </w:rPr>
            </w:pPr>
          </w:p>
        </w:tc>
        <w:tc>
          <w:tcPr>
            <w:tcW w:w="50" w:type="pct"/>
            <w:shd w:val="clear" w:color="auto" w:fill="auto"/>
            <w:vAlign w:val="bottom"/>
          </w:tcPr>
          <w:p w14:paraId="39D9A262" w14:textId="77777777" w:rsidR="00996AD7" w:rsidRDefault="00996AD7">
            <w:pPr>
              <w:rPr>
                <w:rFonts w:ascii="宋体"/>
              </w:rPr>
            </w:pPr>
          </w:p>
        </w:tc>
        <w:tc>
          <w:tcPr>
            <w:tcW w:w="2130" w:type="pct"/>
            <w:shd w:val="clear" w:color="auto" w:fill="auto"/>
            <w:vAlign w:val="bottom"/>
          </w:tcPr>
          <w:p w14:paraId="39D9A263" w14:textId="77777777" w:rsidR="00996AD7" w:rsidRDefault="00996AD7">
            <w:pPr>
              <w:rPr>
                <w:rFonts w:ascii="宋体"/>
              </w:rPr>
            </w:pPr>
          </w:p>
        </w:tc>
        <w:tc>
          <w:tcPr>
            <w:tcW w:w="5" w:type="pct"/>
            <w:shd w:val="clear" w:color="auto" w:fill="auto"/>
            <w:vAlign w:val="bottom"/>
          </w:tcPr>
          <w:p w14:paraId="39D9A264" w14:textId="77777777" w:rsidR="00996AD7" w:rsidRDefault="00996AD7">
            <w:pPr>
              <w:rPr>
                <w:rFonts w:ascii="宋体"/>
              </w:rPr>
            </w:pPr>
          </w:p>
        </w:tc>
      </w:tr>
      <w:tr w:rsidR="00996AD7" w14:paraId="39D9A26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A266"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3E" wp14:editId="39D9A43F">
                  <wp:extent cx="304800" cy="304800"/>
                  <wp:effectExtent l="0" t="0" r="0" b="0"/>
                  <wp:docPr id="65" name="图片 146"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46"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A267" w14:textId="77777777" w:rsidR="00996AD7" w:rsidRDefault="00D9645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A268" w14:textId="77777777" w:rsidR="00996AD7" w:rsidRDefault="00D96458">
            <w:pPr>
              <w:jc w:val="right"/>
              <w:textAlignment w:val="center"/>
            </w:pPr>
            <w:r>
              <w:rPr>
                <w:rFonts w:ascii="Arial" w:eastAsia="宋体" w:hAnsi="Arial" w:cs="Arial"/>
                <w:color w:val="262626"/>
                <w:sz w:val="16"/>
                <w:szCs w:val="16"/>
              </w:rPr>
              <w:t>43</w:t>
            </w:r>
          </w:p>
        </w:tc>
      </w:tr>
    </w:tbl>
    <w:p w14:paraId="39D9A26A" w14:textId="77777777" w:rsidR="00996AD7" w:rsidRDefault="00D96458">
      <w:r>
        <w:pict w14:anchorId="39D9A440">
          <v:rect id="_x0000_i1069" style="width:415.3pt;height:1.5pt" o:hralign="center" o:hrstd="t" o:hr="t" fillcolor="#a0a0a0" stroked="f"/>
        </w:pict>
      </w:r>
    </w:p>
    <w:p w14:paraId="39D9A26B" w14:textId="77777777" w:rsidR="00996AD7" w:rsidRDefault="00D96458">
      <w:pPr>
        <w:spacing w:after="180"/>
        <w:jc w:val="right"/>
      </w:pPr>
      <w:hyperlink r:id="rId77" w:anchor="i94e6cc3aa83643b8b968bd5bab038338_7" w:history="1">
        <w:r>
          <w:rPr>
            <w:rStyle w:val="a5"/>
            <w:rFonts w:ascii="Arial" w:eastAsia="宋体" w:hAnsi="Arial" w:cs="Arial"/>
            <w:b/>
            <w:bCs/>
            <w:color w:val="0068B5"/>
            <w:sz w:val="16"/>
            <w:szCs w:val="16"/>
          </w:rPr>
          <w:t>Table of Contents</w:t>
        </w:r>
      </w:hyperlink>
    </w:p>
    <w:p w14:paraId="39D9A26C" w14:textId="77777777" w:rsidR="00996AD7" w:rsidRDefault="00996AD7">
      <w:pPr>
        <w:spacing w:after="180"/>
        <w:jc w:val="right"/>
      </w:pPr>
    </w:p>
    <w:p w14:paraId="39D9A26D" w14:textId="77777777" w:rsidR="00996AD7" w:rsidRDefault="00D96458">
      <w:pPr>
        <w:spacing w:after="180"/>
      </w:pPr>
      <w:r>
        <w:rPr>
          <w:rFonts w:ascii="Arial" w:eastAsia="宋体" w:hAnsi="Arial" w:cs="Arial"/>
          <w:color w:val="0068B5"/>
          <w:sz w:val="28"/>
          <w:szCs w:val="28"/>
        </w:rPr>
        <w:t>Form 10-Q Cross-Reference Index</w:t>
      </w:r>
    </w:p>
    <w:tbl>
      <w:tblPr>
        <w:tblW w:w="5000" w:type="pct"/>
        <w:tblCellMar>
          <w:top w:w="15" w:type="dxa"/>
          <w:left w:w="15" w:type="dxa"/>
          <w:bottom w:w="15" w:type="dxa"/>
          <w:right w:w="15" w:type="dxa"/>
        </w:tblCellMar>
        <w:tblLook w:val="04A0" w:firstRow="1" w:lastRow="0" w:firstColumn="1" w:lastColumn="0" w:noHBand="0" w:noVBand="1"/>
      </w:tblPr>
      <w:tblGrid>
        <w:gridCol w:w="77"/>
        <w:gridCol w:w="943"/>
        <w:gridCol w:w="37"/>
        <w:gridCol w:w="69"/>
        <w:gridCol w:w="4861"/>
        <w:gridCol w:w="38"/>
        <w:gridCol w:w="69"/>
        <w:gridCol w:w="2205"/>
        <w:gridCol w:w="37"/>
      </w:tblGrid>
      <w:tr w:rsidR="00996AD7" w14:paraId="39D9A277" w14:textId="77777777">
        <w:tc>
          <w:tcPr>
            <w:tcW w:w="50" w:type="pct"/>
            <w:shd w:val="clear" w:color="auto" w:fill="auto"/>
            <w:vAlign w:val="bottom"/>
          </w:tcPr>
          <w:p w14:paraId="39D9A26E" w14:textId="77777777" w:rsidR="00996AD7" w:rsidRDefault="00996AD7">
            <w:pPr>
              <w:rPr>
                <w:rFonts w:ascii="宋体"/>
              </w:rPr>
            </w:pPr>
          </w:p>
        </w:tc>
        <w:tc>
          <w:tcPr>
            <w:tcW w:w="580" w:type="pct"/>
            <w:shd w:val="clear" w:color="auto" w:fill="auto"/>
            <w:vAlign w:val="bottom"/>
          </w:tcPr>
          <w:p w14:paraId="39D9A26F" w14:textId="77777777" w:rsidR="00996AD7" w:rsidRDefault="00996AD7">
            <w:pPr>
              <w:rPr>
                <w:rFonts w:ascii="宋体"/>
              </w:rPr>
            </w:pPr>
          </w:p>
        </w:tc>
        <w:tc>
          <w:tcPr>
            <w:tcW w:w="5" w:type="pct"/>
            <w:shd w:val="clear" w:color="auto" w:fill="auto"/>
            <w:vAlign w:val="bottom"/>
          </w:tcPr>
          <w:p w14:paraId="39D9A270" w14:textId="77777777" w:rsidR="00996AD7" w:rsidRDefault="00996AD7">
            <w:pPr>
              <w:rPr>
                <w:rFonts w:ascii="宋体"/>
              </w:rPr>
            </w:pPr>
          </w:p>
        </w:tc>
        <w:tc>
          <w:tcPr>
            <w:tcW w:w="50" w:type="pct"/>
            <w:shd w:val="clear" w:color="auto" w:fill="auto"/>
            <w:vAlign w:val="bottom"/>
          </w:tcPr>
          <w:p w14:paraId="39D9A271" w14:textId="77777777" w:rsidR="00996AD7" w:rsidRDefault="00996AD7">
            <w:pPr>
              <w:rPr>
                <w:rFonts w:ascii="宋体"/>
              </w:rPr>
            </w:pPr>
          </w:p>
        </w:tc>
        <w:tc>
          <w:tcPr>
            <w:tcW w:w="2923" w:type="pct"/>
            <w:shd w:val="clear" w:color="auto" w:fill="auto"/>
            <w:vAlign w:val="bottom"/>
          </w:tcPr>
          <w:p w14:paraId="39D9A272" w14:textId="77777777" w:rsidR="00996AD7" w:rsidRDefault="00996AD7">
            <w:pPr>
              <w:rPr>
                <w:rFonts w:ascii="宋体"/>
              </w:rPr>
            </w:pPr>
          </w:p>
        </w:tc>
        <w:tc>
          <w:tcPr>
            <w:tcW w:w="5" w:type="pct"/>
            <w:shd w:val="clear" w:color="auto" w:fill="auto"/>
            <w:vAlign w:val="bottom"/>
          </w:tcPr>
          <w:p w14:paraId="39D9A273" w14:textId="77777777" w:rsidR="00996AD7" w:rsidRDefault="00996AD7">
            <w:pPr>
              <w:rPr>
                <w:rFonts w:ascii="宋体"/>
              </w:rPr>
            </w:pPr>
          </w:p>
        </w:tc>
        <w:tc>
          <w:tcPr>
            <w:tcW w:w="50" w:type="pct"/>
            <w:shd w:val="clear" w:color="auto" w:fill="auto"/>
            <w:vAlign w:val="bottom"/>
          </w:tcPr>
          <w:p w14:paraId="39D9A274" w14:textId="77777777" w:rsidR="00996AD7" w:rsidRDefault="00996AD7">
            <w:pPr>
              <w:rPr>
                <w:rFonts w:ascii="宋体"/>
              </w:rPr>
            </w:pPr>
          </w:p>
        </w:tc>
        <w:tc>
          <w:tcPr>
            <w:tcW w:w="1331" w:type="pct"/>
            <w:shd w:val="clear" w:color="auto" w:fill="auto"/>
            <w:vAlign w:val="bottom"/>
          </w:tcPr>
          <w:p w14:paraId="39D9A275" w14:textId="77777777" w:rsidR="00996AD7" w:rsidRDefault="00996AD7">
            <w:pPr>
              <w:rPr>
                <w:rFonts w:ascii="宋体"/>
              </w:rPr>
            </w:pPr>
          </w:p>
        </w:tc>
        <w:tc>
          <w:tcPr>
            <w:tcW w:w="5" w:type="pct"/>
            <w:shd w:val="clear" w:color="auto" w:fill="auto"/>
            <w:vAlign w:val="bottom"/>
          </w:tcPr>
          <w:p w14:paraId="39D9A276" w14:textId="77777777" w:rsidR="00996AD7" w:rsidRDefault="00996AD7">
            <w:pPr>
              <w:rPr>
                <w:rFonts w:ascii="宋体"/>
              </w:rPr>
            </w:pPr>
          </w:p>
        </w:tc>
      </w:tr>
      <w:tr w:rsidR="00996AD7" w14:paraId="39D9A27B" w14:textId="77777777">
        <w:tc>
          <w:tcPr>
            <w:tcW w:w="0" w:type="auto"/>
            <w:gridSpan w:val="3"/>
            <w:shd w:val="clear" w:color="auto" w:fill="auto"/>
            <w:tcMar>
              <w:top w:w="40" w:type="dxa"/>
              <w:left w:w="20" w:type="dxa"/>
              <w:bottom w:w="40" w:type="dxa"/>
              <w:right w:w="20" w:type="dxa"/>
            </w:tcMar>
            <w:vAlign w:val="bottom"/>
          </w:tcPr>
          <w:p w14:paraId="39D9A278" w14:textId="77777777" w:rsidR="00996AD7" w:rsidRDefault="00D96458">
            <w:pPr>
              <w:textAlignment w:val="bottom"/>
            </w:pPr>
            <w:r>
              <w:rPr>
                <w:rFonts w:ascii="Arial" w:eastAsia="宋体" w:hAnsi="Arial" w:cs="Arial"/>
                <w:b/>
                <w:bCs/>
                <w:color w:val="262626"/>
                <w:sz w:val="18"/>
                <w:szCs w:val="18"/>
              </w:rPr>
              <w:t>Item Number</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A279" w14:textId="77777777" w:rsidR="00996AD7" w:rsidRDefault="00D96458">
            <w:pPr>
              <w:textAlignment w:val="bottom"/>
            </w:pPr>
            <w:r>
              <w:rPr>
                <w:rFonts w:ascii="Arial" w:eastAsia="宋体" w:hAnsi="Arial" w:cs="Arial"/>
                <w:b/>
                <w:bCs/>
                <w:color w:val="262626"/>
                <w:sz w:val="18"/>
                <w:szCs w:val="18"/>
              </w:rPr>
              <w:t>Item</w:t>
            </w:r>
          </w:p>
        </w:tc>
        <w:tc>
          <w:tcPr>
            <w:tcW w:w="0" w:type="auto"/>
            <w:gridSpan w:val="3"/>
            <w:shd w:val="clear" w:color="auto" w:fill="auto"/>
            <w:tcMar>
              <w:top w:w="40" w:type="dxa"/>
              <w:left w:w="20" w:type="dxa"/>
              <w:bottom w:w="40" w:type="dxa"/>
              <w:right w:w="20" w:type="dxa"/>
            </w:tcMar>
            <w:vAlign w:val="center"/>
          </w:tcPr>
          <w:p w14:paraId="39D9A27A" w14:textId="77777777" w:rsidR="00996AD7" w:rsidRDefault="00D96458">
            <w:pPr>
              <w:jc w:val="center"/>
              <w:textAlignment w:val="center"/>
            </w:pPr>
            <w:r>
              <w:rPr>
                <w:rFonts w:ascii="Arial" w:eastAsia="宋体" w:hAnsi="Arial" w:cs="Arial"/>
                <w:b/>
                <w:bCs/>
                <w:color w:val="262626"/>
                <w:sz w:val="18"/>
                <w:szCs w:val="18"/>
              </w:rPr>
              <w:t> </w:t>
            </w:r>
          </w:p>
        </w:tc>
      </w:tr>
      <w:tr w:rsidR="00996AD7" w14:paraId="39D9A27E" w14:textId="77777777">
        <w:tc>
          <w:tcPr>
            <w:tcW w:w="0" w:type="auto"/>
            <w:gridSpan w:val="6"/>
            <w:tcBorders>
              <w:top w:val="single" w:sz="8" w:space="0" w:color="0068B5"/>
            </w:tcBorders>
            <w:shd w:val="clear" w:color="auto" w:fill="auto"/>
            <w:tcMar>
              <w:top w:w="40" w:type="dxa"/>
              <w:left w:w="20" w:type="dxa"/>
              <w:bottom w:w="40" w:type="dxa"/>
              <w:right w:w="20" w:type="dxa"/>
            </w:tcMar>
            <w:vAlign w:val="bottom"/>
          </w:tcPr>
          <w:p w14:paraId="39D9A27C" w14:textId="77777777" w:rsidR="00996AD7" w:rsidRDefault="00D96458">
            <w:pPr>
              <w:textAlignment w:val="bottom"/>
            </w:pPr>
            <w:r>
              <w:rPr>
                <w:rFonts w:ascii="Arial" w:eastAsia="宋体" w:hAnsi="Arial" w:cs="Arial"/>
                <w:b/>
                <w:bCs/>
                <w:color w:val="0068B5"/>
                <w:sz w:val="18"/>
                <w:szCs w:val="18"/>
              </w:rPr>
              <w:t xml:space="preserve">Part I - </w:t>
            </w:r>
            <w:r>
              <w:rPr>
                <w:rFonts w:ascii="Arial" w:eastAsia="宋体" w:hAnsi="Arial" w:cs="Arial"/>
                <w:b/>
                <w:bCs/>
                <w:color w:val="0068B5"/>
                <w:sz w:val="18"/>
                <w:szCs w:val="18"/>
              </w:rPr>
              <w:t>Financial Information</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A27D" w14:textId="77777777" w:rsidR="00996AD7" w:rsidRDefault="00996AD7">
            <w:pPr>
              <w:rPr>
                <w:rFonts w:ascii="宋体"/>
              </w:rPr>
            </w:pPr>
          </w:p>
        </w:tc>
      </w:tr>
      <w:tr w:rsidR="00996AD7" w14:paraId="39D9A282" w14:textId="77777777">
        <w:tc>
          <w:tcPr>
            <w:tcW w:w="0" w:type="auto"/>
            <w:gridSpan w:val="3"/>
            <w:shd w:val="clear" w:color="auto" w:fill="auto"/>
            <w:tcMar>
              <w:top w:w="40" w:type="dxa"/>
              <w:left w:w="20" w:type="dxa"/>
              <w:bottom w:w="40" w:type="dxa"/>
              <w:right w:w="20" w:type="dxa"/>
            </w:tcMar>
            <w:vAlign w:val="bottom"/>
          </w:tcPr>
          <w:p w14:paraId="39D9A27F" w14:textId="77777777" w:rsidR="00996AD7" w:rsidRDefault="00D96458">
            <w:pPr>
              <w:textAlignment w:val="bottom"/>
            </w:pPr>
            <w:r>
              <w:rPr>
                <w:rFonts w:ascii="Arial" w:eastAsia="宋体" w:hAnsi="Arial" w:cs="Arial"/>
                <w:b/>
                <w:bCs/>
                <w:color w:val="262626"/>
                <w:sz w:val="18"/>
                <w:szCs w:val="18"/>
              </w:rPr>
              <w:t>Item 1.</w:t>
            </w:r>
          </w:p>
        </w:tc>
        <w:tc>
          <w:tcPr>
            <w:tcW w:w="0" w:type="auto"/>
            <w:gridSpan w:val="3"/>
            <w:shd w:val="clear" w:color="auto" w:fill="auto"/>
            <w:tcMar>
              <w:top w:w="40" w:type="dxa"/>
              <w:left w:w="20" w:type="dxa"/>
              <w:bottom w:w="40" w:type="dxa"/>
              <w:right w:w="20" w:type="dxa"/>
            </w:tcMar>
            <w:vAlign w:val="bottom"/>
          </w:tcPr>
          <w:p w14:paraId="39D9A280" w14:textId="77777777" w:rsidR="00996AD7" w:rsidRDefault="00D96458">
            <w:pPr>
              <w:textAlignment w:val="bottom"/>
            </w:pPr>
            <w:r>
              <w:rPr>
                <w:rFonts w:ascii="Arial" w:eastAsia="宋体" w:hAnsi="Arial" w:cs="Arial"/>
                <w:b/>
                <w:bCs/>
                <w:color w:val="262626"/>
                <w:sz w:val="18"/>
                <w:szCs w:val="18"/>
              </w:rPr>
              <w:t>Financial Statements</w:t>
            </w:r>
          </w:p>
        </w:tc>
        <w:tc>
          <w:tcPr>
            <w:tcW w:w="0" w:type="auto"/>
            <w:gridSpan w:val="3"/>
            <w:shd w:val="clear" w:color="auto" w:fill="auto"/>
            <w:tcMar>
              <w:top w:w="40" w:type="dxa"/>
              <w:left w:w="20" w:type="dxa"/>
              <w:bottom w:w="40" w:type="dxa"/>
              <w:right w:w="20" w:type="dxa"/>
            </w:tcMar>
            <w:vAlign w:val="center"/>
          </w:tcPr>
          <w:p w14:paraId="39D9A281" w14:textId="77777777" w:rsidR="00996AD7" w:rsidRDefault="00D96458">
            <w:pPr>
              <w:jc w:val="center"/>
              <w:textAlignment w:val="center"/>
            </w:pPr>
            <w:r>
              <w:rPr>
                <w:rFonts w:ascii="Arial" w:eastAsia="宋体" w:hAnsi="Arial" w:cs="Arial"/>
                <w:color w:val="262626"/>
                <w:sz w:val="18"/>
                <w:szCs w:val="18"/>
              </w:rPr>
              <w:t xml:space="preserve">Pages </w:t>
            </w:r>
            <w:hyperlink r:id="rId78" w:anchor="i94e6cc3aa83643b8b968bd5bab038338_22" w:history="1">
              <w:r>
                <w:rPr>
                  <w:rStyle w:val="a5"/>
                  <w:rFonts w:ascii="Arial" w:eastAsia="宋体" w:hAnsi="Arial" w:cs="Arial"/>
                  <w:color w:val="262626"/>
                  <w:sz w:val="18"/>
                  <w:szCs w:val="18"/>
                </w:rPr>
                <w:t>3</w:t>
              </w:r>
            </w:hyperlink>
            <w:r>
              <w:rPr>
                <w:rFonts w:ascii="Arial" w:eastAsia="宋体" w:hAnsi="Arial" w:cs="Arial"/>
                <w:color w:val="262626"/>
                <w:sz w:val="18"/>
                <w:szCs w:val="18"/>
              </w:rPr>
              <w:t xml:space="preserve"> - </w:t>
            </w:r>
            <w:hyperlink r:id="rId79" w:anchor="i94e6cc3aa83643b8b968bd5bab038338_151" w:history="1">
              <w:r>
                <w:rPr>
                  <w:rStyle w:val="a5"/>
                  <w:rFonts w:ascii="Arial" w:eastAsia="宋体" w:hAnsi="Arial" w:cs="Arial"/>
                  <w:color w:val="262626"/>
                  <w:sz w:val="18"/>
                  <w:szCs w:val="18"/>
                </w:rPr>
                <w:t>24</w:t>
              </w:r>
            </w:hyperlink>
          </w:p>
        </w:tc>
      </w:tr>
      <w:tr w:rsidR="00996AD7" w14:paraId="39D9A286" w14:textId="77777777">
        <w:tc>
          <w:tcPr>
            <w:tcW w:w="0" w:type="auto"/>
            <w:gridSpan w:val="3"/>
            <w:shd w:val="clear" w:color="auto" w:fill="auto"/>
            <w:tcMar>
              <w:top w:w="40" w:type="dxa"/>
              <w:left w:w="20" w:type="dxa"/>
              <w:bottom w:w="40" w:type="dxa"/>
              <w:right w:w="20" w:type="dxa"/>
            </w:tcMar>
            <w:vAlign w:val="center"/>
          </w:tcPr>
          <w:p w14:paraId="39D9A283" w14:textId="77777777" w:rsidR="00996AD7" w:rsidRDefault="00D96458">
            <w:pPr>
              <w:textAlignment w:val="center"/>
            </w:pPr>
            <w:r>
              <w:rPr>
                <w:rFonts w:ascii="Arial" w:eastAsia="宋体" w:hAnsi="Arial" w:cs="Arial"/>
                <w:b/>
                <w:bCs/>
                <w:color w:val="262626"/>
                <w:sz w:val="18"/>
                <w:szCs w:val="18"/>
              </w:rPr>
              <w:t>Item 2.</w:t>
            </w:r>
          </w:p>
        </w:tc>
        <w:tc>
          <w:tcPr>
            <w:tcW w:w="0" w:type="auto"/>
            <w:gridSpan w:val="3"/>
            <w:shd w:val="clear" w:color="auto" w:fill="auto"/>
            <w:tcMar>
              <w:top w:w="40" w:type="dxa"/>
              <w:left w:w="20" w:type="dxa"/>
              <w:bottom w:w="40" w:type="dxa"/>
              <w:right w:w="20" w:type="dxa"/>
            </w:tcMar>
            <w:vAlign w:val="bottom"/>
          </w:tcPr>
          <w:p w14:paraId="39D9A284" w14:textId="77777777" w:rsidR="00996AD7" w:rsidRDefault="00D96458">
            <w:pPr>
              <w:textAlignment w:val="bottom"/>
            </w:pPr>
            <w:r>
              <w:rPr>
                <w:rFonts w:ascii="Arial" w:eastAsia="宋体" w:hAnsi="Arial" w:cs="Arial"/>
                <w:b/>
                <w:bCs/>
                <w:color w:val="262626"/>
                <w:sz w:val="18"/>
                <w:szCs w:val="18"/>
              </w:rPr>
              <w:t>Management's Discussion and Analysis of Financial Condition and Results of Operations:</w:t>
            </w:r>
          </w:p>
        </w:tc>
        <w:tc>
          <w:tcPr>
            <w:tcW w:w="0" w:type="auto"/>
            <w:gridSpan w:val="3"/>
            <w:shd w:val="clear" w:color="auto" w:fill="auto"/>
            <w:tcMar>
              <w:top w:w="0" w:type="dxa"/>
              <w:left w:w="20" w:type="dxa"/>
              <w:bottom w:w="0" w:type="dxa"/>
              <w:right w:w="20" w:type="dxa"/>
            </w:tcMar>
            <w:vAlign w:val="bottom"/>
          </w:tcPr>
          <w:p w14:paraId="39D9A285" w14:textId="77777777" w:rsidR="00996AD7" w:rsidRDefault="00996AD7">
            <w:pPr>
              <w:rPr>
                <w:rFonts w:ascii="宋体"/>
              </w:rPr>
            </w:pPr>
          </w:p>
        </w:tc>
      </w:tr>
      <w:tr w:rsidR="00996AD7" w14:paraId="39D9A28A" w14:textId="77777777">
        <w:tc>
          <w:tcPr>
            <w:tcW w:w="0" w:type="auto"/>
            <w:gridSpan w:val="3"/>
            <w:shd w:val="clear" w:color="auto" w:fill="auto"/>
            <w:tcMar>
              <w:top w:w="0" w:type="dxa"/>
              <w:left w:w="20" w:type="dxa"/>
              <w:bottom w:w="0" w:type="dxa"/>
              <w:right w:w="20" w:type="dxa"/>
            </w:tcMar>
            <w:vAlign w:val="bottom"/>
          </w:tcPr>
          <w:p w14:paraId="39D9A287" w14:textId="77777777" w:rsidR="00996AD7" w:rsidRDefault="00996AD7">
            <w:pPr>
              <w:rPr>
                <w:rFonts w:ascii="宋体"/>
              </w:rPr>
            </w:pPr>
          </w:p>
        </w:tc>
        <w:tc>
          <w:tcPr>
            <w:tcW w:w="0" w:type="auto"/>
            <w:gridSpan w:val="3"/>
            <w:shd w:val="clear" w:color="auto" w:fill="auto"/>
            <w:tcMar>
              <w:top w:w="40" w:type="dxa"/>
              <w:left w:w="245" w:type="dxa"/>
              <w:bottom w:w="40" w:type="dxa"/>
              <w:right w:w="20" w:type="dxa"/>
            </w:tcMar>
            <w:vAlign w:val="bottom"/>
          </w:tcPr>
          <w:p w14:paraId="39D9A288" w14:textId="77777777" w:rsidR="00996AD7" w:rsidRDefault="00D96458">
            <w:pPr>
              <w:textAlignment w:val="bottom"/>
            </w:pPr>
            <w:r>
              <w:rPr>
                <w:rFonts w:ascii="Arial" w:eastAsia="宋体" w:hAnsi="Arial" w:cs="Arial"/>
                <w:color w:val="262626"/>
                <w:sz w:val="18"/>
                <w:szCs w:val="18"/>
              </w:rPr>
              <w:t>Results of operations</w:t>
            </w:r>
          </w:p>
        </w:tc>
        <w:tc>
          <w:tcPr>
            <w:tcW w:w="0" w:type="auto"/>
            <w:gridSpan w:val="3"/>
            <w:shd w:val="clear" w:color="auto" w:fill="auto"/>
            <w:tcMar>
              <w:top w:w="40" w:type="dxa"/>
              <w:left w:w="20" w:type="dxa"/>
              <w:bottom w:w="40" w:type="dxa"/>
              <w:right w:w="20" w:type="dxa"/>
            </w:tcMar>
            <w:vAlign w:val="center"/>
          </w:tcPr>
          <w:p w14:paraId="39D9A289" w14:textId="77777777" w:rsidR="00996AD7" w:rsidRDefault="00D96458">
            <w:pPr>
              <w:jc w:val="center"/>
              <w:textAlignment w:val="center"/>
            </w:pPr>
            <w:r>
              <w:rPr>
                <w:rFonts w:ascii="Arial" w:eastAsia="宋体" w:hAnsi="Arial" w:cs="Arial"/>
                <w:color w:val="262626"/>
                <w:sz w:val="18"/>
                <w:szCs w:val="18"/>
              </w:rPr>
              <w:t xml:space="preserve">Pages </w:t>
            </w:r>
            <w:hyperlink r:id="rId80" w:anchor="i94e6cc3aa83643b8b968bd5bab038338_16" w:history="1">
              <w:r>
                <w:rPr>
                  <w:rStyle w:val="a5"/>
                  <w:rFonts w:ascii="Arial" w:eastAsia="宋体" w:hAnsi="Arial" w:cs="Arial"/>
                  <w:color w:val="262626"/>
                  <w:sz w:val="18"/>
                  <w:szCs w:val="18"/>
                </w:rPr>
                <w:t>2</w:t>
              </w:r>
            </w:hyperlink>
            <w:r>
              <w:rPr>
                <w:rFonts w:ascii="Arial" w:eastAsia="宋体" w:hAnsi="Arial" w:cs="Arial"/>
                <w:color w:val="262626"/>
                <w:sz w:val="18"/>
                <w:szCs w:val="18"/>
              </w:rPr>
              <w:t xml:space="preserve">, </w:t>
            </w:r>
            <w:hyperlink r:id="rId81" w:anchor="i94e6cc3aa83643b8b968bd5bab038338_157" w:history="1">
              <w:r>
                <w:rPr>
                  <w:rStyle w:val="a5"/>
                  <w:rFonts w:ascii="Arial" w:eastAsia="宋体" w:hAnsi="Arial" w:cs="Arial"/>
                  <w:color w:val="262626"/>
                  <w:sz w:val="18"/>
                  <w:szCs w:val="18"/>
                </w:rPr>
                <w:t>25</w:t>
              </w:r>
            </w:hyperlink>
            <w:r>
              <w:rPr>
                <w:rFonts w:ascii="Arial" w:eastAsia="宋体" w:hAnsi="Arial" w:cs="Arial"/>
                <w:color w:val="262626"/>
                <w:sz w:val="18"/>
                <w:szCs w:val="18"/>
              </w:rPr>
              <w:t xml:space="preserve"> - </w:t>
            </w:r>
            <w:hyperlink r:id="rId82" w:anchor="i94e6cc3aa83643b8b968bd5bab038338_193" w:history="1">
              <w:r>
                <w:rPr>
                  <w:rStyle w:val="a5"/>
                  <w:rFonts w:ascii="Arial" w:eastAsia="宋体" w:hAnsi="Arial" w:cs="Arial"/>
                  <w:color w:val="262626"/>
                  <w:sz w:val="18"/>
                  <w:szCs w:val="18"/>
                </w:rPr>
                <w:t>36</w:t>
              </w:r>
            </w:hyperlink>
          </w:p>
        </w:tc>
      </w:tr>
      <w:tr w:rsidR="00996AD7" w14:paraId="39D9A28E" w14:textId="77777777">
        <w:tc>
          <w:tcPr>
            <w:tcW w:w="0" w:type="auto"/>
            <w:gridSpan w:val="3"/>
            <w:shd w:val="clear" w:color="auto" w:fill="auto"/>
            <w:tcMar>
              <w:top w:w="0" w:type="dxa"/>
              <w:left w:w="20" w:type="dxa"/>
              <w:bottom w:w="0" w:type="dxa"/>
              <w:right w:w="20" w:type="dxa"/>
            </w:tcMar>
            <w:vAlign w:val="bottom"/>
          </w:tcPr>
          <w:p w14:paraId="39D9A28B" w14:textId="77777777" w:rsidR="00996AD7" w:rsidRDefault="00996AD7">
            <w:pPr>
              <w:rPr>
                <w:rFonts w:ascii="宋体"/>
              </w:rPr>
            </w:pPr>
          </w:p>
        </w:tc>
        <w:tc>
          <w:tcPr>
            <w:tcW w:w="0" w:type="auto"/>
            <w:gridSpan w:val="3"/>
            <w:shd w:val="clear" w:color="auto" w:fill="auto"/>
            <w:tcMar>
              <w:top w:w="40" w:type="dxa"/>
              <w:left w:w="245" w:type="dxa"/>
              <w:bottom w:w="40" w:type="dxa"/>
              <w:right w:w="20" w:type="dxa"/>
            </w:tcMar>
            <w:vAlign w:val="bottom"/>
          </w:tcPr>
          <w:p w14:paraId="39D9A28C" w14:textId="77777777" w:rsidR="00996AD7" w:rsidRDefault="00D96458">
            <w:pPr>
              <w:textAlignment w:val="bottom"/>
            </w:pPr>
            <w:r>
              <w:rPr>
                <w:rFonts w:ascii="Arial" w:eastAsia="宋体" w:hAnsi="Arial" w:cs="Arial"/>
                <w:color w:val="262626"/>
                <w:sz w:val="18"/>
                <w:szCs w:val="18"/>
              </w:rPr>
              <w:t xml:space="preserve">Liquidity and capital </w:t>
            </w:r>
            <w:r>
              <w:rPr>
                <w:rFonts w:ascii="Arial" w:eastAsia="宋体" w:hAnsi="Arial" w:cs="Arial"/>
                <w:color w:val="262626"/>
                <w:sz w:val="18"/>
                <w:szCs w:val="18"/>
              </w:rPr>
              <w:t>resources</w:t>
            </w:r>
          </w:p>
        </w:tc>
        <w:tc>
          <w:tcPr>
            <w:tcW w:w="0" w:type="auto"/>
            <w:gridSpan w:val="3"/>
            <w:shd w:val="clear" w:color="auto" w:fill="auto"/>
            <w:tcMar>
              <w:top w:w="40" w:type="dxa"/>
              <w:left w:w="20" w:type="dxa"/>
              <w:bottom w:w="40" w:type="dxa"/>
              <w:right w:w="20" w:type="dxa"/>
            </w:tcMar>
            <w:vAlign w:val="center"/>
          </w:tcPr>
          <w:p w14:paraId="39D9A28D" w14:textId="77777777" w:rsidR="00996AD7" w:rsidRDefault="00D96458">
            <w:pPr>
              <w:jc w:val="center"/>
              <w:textAlignment w:val="center"/>
            </w:pPr>
            <w:r>
              <w:rPr>
                <w:rFonts w:ascii="Arial" w:eastAsia="宋体" w:hAnsi="Arial" w:cs="Arial"/>
                <w:color w:val="262626"/>
                <w:sz w:val="18"/>
                <w:szCs w:val="18"/>
              </w:rPr>
              <w:t xml:space="preserve">Pages </w:t>
            </w:r>
            <w:hyperlink r:id="rId83" w:anchor="i94e6cc3aa83643b8b968bd5bab038338_196" w:history="1">
              <w:r>
                <w:rPr>
                  <w:rStyle w:val="a5"/>
                  <w:rFonts w:ascii="Arial" w:eastAsia="宋体" w:hAnsi="Arial" w:cs="Arial"/>
                  <w:color w:val="262626"/>
                  <w:sz w:val="18"/>
                  <w:szCs w:val="18"/>
                </w:rPr>
                <w:t>37</w:t>
              </w:r>
            </w:hyperlink>
            <w:r>
              <w:rPr>
                <w:rFonts w:ascii="Arial" w:eastAsia="宋体" w:hAnsi="Arial" w:cs="Arial"/>
                <w:color w:val="262626"/>
                <w:sz w:val="18"/>
                <w:szCs w:val="18"/>
              </w:rPr>
              <w:t xml:space="preserve"> - </w:t>
            </w:r>
            <w:hyperlink r:id="rId84" w:anchor="i94e6cc3aa83643b8b968bd5bab038338_208" w:history="1">
              <w:r>
                <w:rPr>
                  <w:rStyle w:val="a5"/>
                  <w:rFonts w:ascii="Arial" w:eastAsia="宋体" w:hAnsi="Arial" w:cs="Arial"/>
                  <w:color w:val="262626"/>
                  <w:sz w:val="18"/>
                  <w:szCs w:val="18"/>
                </w:rPr>
                <w:t>38</w:t>
              </w:r>
            </w:hyperlink>
          </w:p>
        </w:tc>
      </w:tr>
      <w:tr w:rsidR="00996AD7" w14:paraId="39D9A292" w14:textId="77777777">
        <w:trPr>
          <w:hidden/>
        </w:trPr>
        <w:tc>
          <w:tcPr>
            <w:tcW w:w="0" w:type="auto"/>
            <w:gridSpan w:val="3"/>
            <w:shd w:val="clear" w:color="auto" w:fill="auto"/>
            <w:vAlign w:val="bottom"/>
          </w:tcPr>
          <w:p w14:paraId="39D9A28F" w14:textId="77777777" w:rsidR="00996AD7" w:rsidRDefault="00996AD7">
            <w:pPr>
              <w:rPr>
                <w:rFonts w:ascii="宋体"/>
                <w:vanish/>
              </w:rPr>
            </w:pPr>
          </w:p>
        </w:tc>
        <w:tc>
          <w:tcPr>
            <w:tcW w:w="0" w:type="auto"/>
            <w:gridSpan w:val="3"/>
            <w:shd w:val="clear" w:color="auto" w:fill="auto"/>
            <w:vAlign w:val="bottom"/>
          </w:tcPr>
          <w:p w14:paraId="39D9A290" w14:textId="77777777" w:rsidR="00996AD7" w:rsidRDefault="00996AD7">
            <w:pPr>
              <w:rPr>
                <w:rFonts w:ascii="宋体"/>
                <w:vanish/>
              </w:rPr>
            </w:pPr>
          </w:p>
        </w:tc>
        <w:tc>
          <w:tcPr>
            <w:tcW w:w="0" w:type="auto"/>
            <w:gridSpan w:val="3"/>
            <w:shd w:val="clear" w:color="auto" w:fill="auto"/>
            <w:vAlign w:val="bottom"/>
          </w:tcPr>
          <w:p w14:paraId="39D9A291" w14:textId="77777777" w:rsidR="00996AD7" w:rsidRDefault="00996AD7">
            <w:pPr>
              <w:rPr>
                <w:rFonts w:ascii="宋体"/>
                <w:vanish/>
              </w:rPr>
            </w:pPr>
          </w:p>
        </w:tc>
      </w:tr>
      <w:tr w:rsidR="00996AD7" w14:paraId="39D9A296" w14:textId="77777777">
        <w:tc>
          <w:tcPr>
            <w:tcW w:w="0" w:type="auto"/>
            <w:gridSpan w:val="3"/>
            <w:shd w:val="clear" w:color="auto" w:fill="auto"/>
            <w:tcMar>
              <w:top w:w="0" w:type="dxa"/>
              <w:left w:w="20" w:type="dxa"/>
              <w:bottom w:w="0" w:type="dxa"/>
              <w:right w:w="20" w:type="dxa"/>
            </w:tcMar>
            <w:vAlign w:val="bottom"/>
          </w:tcPr>
          <w:p w14:paraId="39D9A293" w14:textId="77777777" w:rsidR="00996AD7" w:rsidRDefault="00996AD7">
            <w:pPr>
              <w:rPr>
                <w:rFonts w:ascii="宋体"/>
              </w:rPr>
            </w:pPr>
          </w:p>
        </w:tc>
        <w:tc>
          <w:tcPr>
            <w:tcW w:w="0" w:type="auto"/>
            <w:gridSpan w:val="3"/>
            <w:shd w:val="clear" w:color="auto" w:fill="auto"/>
            <w:tcMar>
              <w:top w:w="40" w:type="dxa"/>
              <w:left w:w="245" w:type="dxa"/>
              <w:bottom w:w="40" w:type="dxa"/>
              <w:right w:w="20" w:type="dxa"/>
            </w:tcMar>
            <w:vAlign w:val="bottom"/>
          </w:tcPr>
          <w:p w14:paraId="39D9A294" w14:textId="77777777" w:rsidR="00996AD7" w:rsidRDefault="00D96458">
            <w:pPr>
              <w:textAlignment w:val="bottom"/>
            </w:pPr>
            <w:r>
              <w:rPr>
                <w:rFonts w:ascii="Arial" w:eastAsia="宋体" w:hAnsi="Arial" w:cs="Arial"/>
                <w:color w:val="262626"/>
                <w:sz w:val="18"/>
                <w:szCs w:val="18"/>
              </w:rPr>
              <w:t xml:space="preserve">Off-balance sheet arrangements </w:t>
            </w:r>
          </w:p>
        </w:tc>
        <w:tc>
          <w:tcPr>
            <w:tcW w:w="0" w:type="auto"/>
            <w:gridSpan w:val="3"/>
            <w:shd w:val="clear" w:color="auto" w:fill="auto"/>
            <w:tcMar>
              <w:top w:w="40" w:type="dxa"/>
              <w:left w:w="20" w:type="dxa"/>
              <w:bottom w:w="40" w:type="dxa"/>
              <w:right w:w="20" w:type="dxa"/>
            </w:tcMar>
            <w:vAlign w:val="center"/>
          </w:tcPr>
          <w:p w14:paraId="39D9A295" w14:textId="77777777" w:rsidR="00996AD7" w:rsidRDefault="00D96458">
            <w:pPr>
              <w:jc w:val="center"/>
              <w:textAlignment w:val="center"/>
            </w:pPr>
            <w:r>
              <w:rPr>
                <w:rFonts w:ascii="Arial" w:eastAsia="宋体" w:hAnsi="Arial" w:cs="Arial"/>
                <w:color w:val="262626"/>
                <w:sz w:val="18"/>
                <w:szCs w:val="18"/>
              </w:rPr>
              <w:t>(a)</w:t>
            </w:r>
          </w:p>
        </w:tc>
      </w:tr>
      <w:tr w:rsidR="00996AD7" w14:paraId="39D9A29A" w14:textId="77777777">
        <w:tc>
          <w:tcPr>
            <w:tcW w:w="0" w:type="auto"/>
            <w:gridSpan w:val="3"/>
            <w:shd w:val="clear" w:color="auto" w:fill="auto"/>
            <w:tcMar>
              <w:top w:w="0" w:type="dxa"/>
              <w:left w:w="20" w:type="dxa"/>
              <w:bottom w:w="0" w:type="dxa"/>
              <w:right w:w="20" w:type="dxa"/>
            </w:tcMar>
            <w:vAlign w:val="bottom"/>
          </w:tcPr>
          <w:p w14:paraId="39D9A297" w14:textId="77777777" w:rsidR="00996AD7" w:rsidRDefault="00996AD7">
            <w:pPr>
              <w:rPr>
                <w:rFonts w:ascii="宋体"/>
              </w:rPr>
            </w:pPr>
          </w:p>
        </w:tc>
        <w:tc>
          <w:tcPr>
            <w:tcW w:w="0" w:type="auto"/>
            <w:gridSpan w:val="3"/>
            <w:shd w:val="clear" w:color="auto" w:fill="auto"/>
            <w:tcMar>
              <w:top w:w="40" w:type="dxa"/>
              <w:left w:w="245" w:type="dxa"/>
              <w:bottom w:w="40" w:type="dxa"/>
              <w:right w:w="20" w:type="dxa"/>
            </w:tcMar>
            <w:vAlign w:val="bottom"/>
          </w:tcPr>
          <w:p w14:paraId="39D9A298" w14:textId="77777777" w:rsidR="00996AD7" w:rsidRDefault="00D96458">
            <w:pPr>
              <w:textAlignment w:val="bottom"/>
            </w:pPr>
            <w:r>
              <w:rPr>
                <w:rFonts w:ascii="Arial" w:eastAsia="宋体" w:hAnsi="Arial" w:cs="Arial"/>
                <w:color w:val="262626"/>
                <w:sz w:val="18"/>
                <w:szCs w:val="18"/>
              </w:rPr>
              <w:t>Contractual obligations</w:t>
            </w:r>
          </w:p>
        </w:tc>
        <w:tc>
          <w:tcPr>
            <w:tcW w:w="0" w:type="auto"/>
            <w:gridSpan w:val="3"/>
            <w:shd w:val="clear" w:color="auto" w:fill="auto"/>
            <w:tcMar>
              <w:top w:w="40" w:type="dxa"/>
              <w:left w:w="20" w:type="dxa"/>
              <w:bottom w:w="40" w:type="dxa"/>
              <w:right w:w="20" w:type="dxa"/>
            </w:tcMar>
            <w:vAlign w:val="center"/>
          </w:tcPr>
          <w:p w14:paraId="39D9A299" w14:textId="77777777" w:rsidR="00996AD7" w:rsidRDefault="00D96458">
            <w:pPr>
              <w:jc w:val="center"/>
              <w:textAlignment w:val="center"/>
            </w:pPr>
            <w:r>
              <w:rPr>
                <w:rFonts w:ascii="Arial" w:eastAsia="宋体" w:hAnsi="Arial" w:cs="Arial"/>
                <w:color w:val="262626"/>
                <w:sz w:val="18"/>
                <w:szCs w:val="18"/>
              </w:rPr>
              <w:t xml:space="preserve">Pages </w:t>
            </w:r>
            <w:hyperlink r:id="rId85" w:anchor="i94e6cc3aa83643b8b968bd5bab038338_115" w:history="1">
              <w:r>
                <w:rPr>
                  <w:rStyle w:val="a5"/>
                  <w:rFonts w:ascii="Arial" w:eastAsia="宋体" w:hAnsi="Arial" w:cs="Arial"/>
                  <w:color w:val="262626"/>
                  <w:sz w:val="18"/>
                  <w:szCs w:val="18"/>
                </w:rPr>
                <w:t>13</w:t>
              </w:r>
            </w:hyperlink>
            <w:r>
              <w:rPr>
                <w:rFonts w:ascii="Arial" w:eastAsia="宋体" w:hAnsi="Arial" w:cs="Arial"/>
                <w:color w:val="262626"/>
                <w:sz w:val="18"/>
                <w:szCs w:val="18"/>
              </w:rPr>
              <w:t xml:space="preserve">, </w:t>
            </w:r>
            <w:hyperlink r:id="rId86" w:anchor="i94e6cc3aa83643b8b968bd5bab038338_196" w:history="1">
              <w:r>
                <w:rPr>
                  <w:rStyle w:val="a5"/>
                  <w:rFonts w:ascii="Arial" w:eastAsia="宋体" w:hAnsi="Arial" w:cs="Arial"/>
                  <w:color w:val="262626"/>
                  <w:sz w:val="18"/>
                  <w:szCs w:val="18"/>
                </w:rPr>
                <w:t>37</w:t>
              </w:r>
            </w:hyperlink>
            <w:r>
              <w:rPr>
                <w:rFonts w:ascii="Arial" w:eastAsia="宋体" w:hAnsi="Arial" w:cs="Arial"/>
                <w:color w:val="262626"/>
                <w:sz w:val="18"/>
                <w:szCs w:val="18"/>
              </w:rPr>
              <w:t xml:space="preserve"> </w:t>
            </w:r>
          </w:p>
        </w:tc>
      </w:tr>
      <w:tr w:rsidR="00996AD7" w14:paraId="39D9A29E" w14:textId="77777777">
        <w:tc>
          <w:tcPr>
            <w:tcW w:w="0" w:type="auto"/>
            <w:gridSpan w:val="3"/>
            <w:shd w:val="clear" w:color="auto" w:fill="auto"/>
            <w:tcMar>
              <w:top w:w="40" w:type="dxa"/>
              <w:left w:w="20" w:type="dxa"/>
              <w:bottom w:w="40" w:type="dxa"/>
              <w:right w:w="20" w:type="dxa"/>
            </w:tcMar>
            <w:vAlign w:val="bottom"/>
          </w:tcPr>
          <w:p w14:paraId="39D9A29B" w14:textId="77777777" w:rsidR="00996AD7" w:rsidRDefault="00D96458">
            <w:pPr>
              <w:textAlignment w:val="bottom"/>
            </w:pPr>
            <w:r>
              <w:rPr>
                <w:rFonts w:ascii="Arial" w:eastAsia="宋体" w:hAnsi="Arial" w:cs="Arial"/>
                <w:b/>
                <w:bCs/>
                <w:color w:val="262626"/>
                <w:sz w:val="18"/>
                <w:szCs w:val="18"/>
              </w:rPr>
              <w:t>Item 3.</w:t>
            </w:r>
          </w:p>
        </w:tc>
        <w:tc>
          <w:tcPr>
            <w:tcW w:w="0" w:type="auto"/>
            <w:gridSpan w:val="3"/>
            <w:shd w:val="clear" w:color="auto" w:fill="auto"/>
            <w:tcMar>
              <w:top w:w="40" w:type="dxa"/>
              <w:left w:w="20" w:type="dxa"/>
              <w:bottom w:w="40" w:type="dxa"/>
              <w:right w:w="20" w:type="dxa"/>
            </w:tcMar>
            <w:vAlign w:val="bottom"/>
          </w:tcPr>
          <w:p w14:paraId="39D9A29C" w14:textId="77777777" w:rsidR="00996AD7" w:rsidRDefault="00D96458">
            <w:pPr>
              <w:textAlignment w:val="bottom"/>
            </w:pPr>
            <w:r>
              <w:rPr>
                <w:rFonts w:ascii="Arial" w:eastAsia="宋体" w:hAnsi="Arial" w:cs="Arial"/>
                <w:b/>
                <w:bCs/>
                <w:color w:val="262626"/>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39D9A29D" w14:textId="77777777" w:rsidR="00996AD7" w:rsidRDefault="00D96458">
            <w:pPr>
              <w:jc w:val="center"/>
              <w:textAlignment w:val="center"/>
            </w:pPr>
            <w:r>
              <w:rPr>
                <w:rFonts w:ascii="Arial" w:eastAsia="宋体" w:hAnsi="Arial" w:cs="Arial"/>
                <w:color w:val="262626"/>
                <w:sz w:val="18"/>
                <w:szCs w:val="18"/>
              </w:rPr>
              <w:t xml:space="preserve">Page </w:t>
            </w:r>
            <w:hyperlink r:id="rId87" w:anchor="i94e6cc3aa83643b8b968bd5bab038338_214" w:history="1">
              <w:r>
                <w:rPr>
                  <w:rStyle w:val="a5"/>
                  <w:rFonts w:ascii="Arial" w:eastAsia="宋体" w:hAnsi="Arial" w:cs="Arial"/>
                  <w:color w:val="262626"/>
                  <w:sz w:val="18"/>
                  <w:szCs w:val="18"/>
                </w:rPr>
                <w:t>41</w:t>
              </w:r>
            </w:hyperlink>
          </w:p>
        </w:tc>
      </w:tr>
      <w:tr w:rsidR="00996AD7" w14:paraId="39D9A2A2" w14:textId="77777777">
        <w:tc>
          <w:tcPr>
            <w:tcW w:w="0" w:type="auto"/>
            <w:gridSpan w:val="3"/>
            <w:shd w:val="clear" w:color="auto" w:fill="auto"/>
            <w:tcMar>
              <w:top w:w="40" w:type="dxa"/>
              <w:left w:w="20" w:type="dxa"/>
              <w:bottom w:w="40" w:type="dxa"/>
              <w:right w:w="20" w:type="dxa"/>
            </w:tcMar>
            <w:vAlign w:val="bottom"/>
          </w:tcPr>
          <w:p w14:paraId="39D9A29F" w14:textId="77777777" w:rsidR="00996AD7" w:rsidRDefault="00D96458">
            <w:pPr>
              <w:textAlignment w:val="bottom"/>
            </w:pPr>
            <w:r>
              <w:rPr>
                <w:rFonts w:ascii="Arial" w:eastAsia="宋体" w:hAnsi="Arial" w:cs="Arial"/>
                <w:b/>
                <w:bCs/>
                <w:color w:val="262626"/>
                <w:sz w:val="18"/>
                <w:szCs w:val="18"/>
              </w:rPr>
              <w:t>Item 4.</w:t>
            </w:r>
          </w:p>
        </w:tc>
        <w:tc>
          <w:tcPr>
            <w:tcW w:w="0" w:type="auto"/>
            <w:gridSpan w:val="3"/>
            <w:shd w:val="clear" w:color="auto" w:fill="auto"/>
            <w:tcMar>
              <w:top w:w="40" w:type="dxa"/>
              <w:left w:w="20" w:type="dxa"/>
              <w:bottom w:w="40" w:type="dxa"/>
              <w:right w:w="20" w:type="dxa"/>
            </w:tcMar>
            <w:vAlign w:val="bottom"/>
          </w:tcPr>
          <w:p w14:paraId="39D9A2A0" w14:textId="77777777" w:rsidR="00996AD7" w:rsidRDefault="00D96458">
            <w:pPr>
              <w:textAlignment w:val="bottom"/>
            </w:pPr>
            <w:r>
              <w:rPr>
                <w:rFonts w:ascii="Arial" w:eastAsia="宋体" w:hAnsi="Arial" w:cs="Arial"/>
                <w:b/>
                <w:bCs/>
                <w:color w:val="262626"/>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39D9A2A1" w14:textId="77777777" w:rsidR="00996AD7" w:rsidRDefault="00D96458">
            <w:pPr>
              <w:jc w:val="center"/>
              <w:textAlignment w:val="center"/>
            </w:pPr>
            <w:r>
              <w:rPr>
                <w:rFonts w:ascii="Arial" w:eastAsia="宋体" w:hAnsi="Arial" w:cs="Arial"/>
                <w:color w:val="262626"/>
                <w:sz w:val="18"/>
                <w:szCs w:val="18"/>
              </w:rPr>
              <w:t xml:space="preserve">Page </w:t>
            </w:r>
            <w:hyperlink r:id="rId88" w:anchor="i94e6cc3aa83643b8b968bd5bab038338_226" w:history="1">
              <w:r>
                <w:rPr>
                  <w:rStyle w:val="a5"/>
                  <w:rFonts w:ascii="Arial" w:eastAsia="宋体" w:hAnsi="Arial" w:cs="Arial"/>
                  <w:color w:val="262626"/>
                  <w:sz w:val="18"/>
                  <w:szCs w:val="18"/>
                </w:rPr>
                <w:t>41</w:t>
              </w:r>
            </w:hyperlink>
          </w:p>
        </w:tc>
      </w:tr>
      <w:tr w:rsidR="00996AD7" w14:paraId="39D9A2A6" w14:textId="77777777">
        <w:tc>
          <w:tcPr>
            <w:tcW w:w="0" w:type="auto"/>
            <w:gridSpan w:val="3"/>
            <w:shd w:val="clear" w:color="auto" w:fill="auto"/>
            <w:tcMar>
              <w:top w:w="0" w:type="dxa"/>
              <w:left w:w="20" w:type="dxa"/>
              <w:bottom w:w="0" w:type="dxa"/>
              <w:right w:w="20" w:type="dxa"/>
            </w:tcMar>
            <w:vAlign w:val="bottom"/>
          </w:tcPr>
          <w:p w14:paraId="39D9A2A3" w14:textId="77777777" w:rsidR="00996AD7" w:rsidRDefault="00996AD7">
            <w:pPr>
              <w:rPr>
                <w:rFonts w:ascii="宋体"/>
              </w:rPr>
            </w:pPr>
          </w:p>
        </w:tc>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39D9A2A4"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center"/>
          </w:tcPr>
          <w:p w14:paraId="39D9A2A5" w14:textId="77777777" w:rsidR="00996AD7" w:rsidRDefault="00D96458">
            <w:pPr>
              <w:jc w:val="center"/>
              <w:textAlignment w:val="center"/>
            </w:pPr>
            <w:r>
              <w:rPr>
                <w:rFonts w:ascii="Arial" w:eastAsia="宋体" w:hAnsi="Arial" w:cs="Arial"/>
                <w:b/>
                <w:bCs/>
                <w:color w:val="262626"/>
                <w:sz w:val="18"/>
                <w:szCs w:val="18"/>
              </w:rPr>
              <w:t> </w:t>
            </w:r>
          </w:p>
        </w:tc>
      </w:tr>
      <w:tr w:rsidR="00996AD7" w14:paraId="39D9A2A9" w14:textId="77777777">
        <w:tc>
          <w:tcPr>
            <w:tcW w:w="0" w:type="auto"/>
            <w:gridSpan w:val="6"/>
            <w:tcBorders>
              <w:top w:val="single" w:sz="8" w:space="0" w:color="0068B5"/>
            </w:tcBorders>
            <w:shd w:val="clear" w:color="auto" w:fill="auto"/>
            <w:tcMar>
              <w:top w:w="40" w:type="dxa"/>
              <w:left w:w="20" w:type="dxa"/>
              <w:bottom w:w="40" w:type="dxa"/>
              <w:right w:w="20" w:type="dxa"/>
            </w:tcMar>
            <w:vAlign w:val="bottom"/>
          </w:tcPr>
          <w:p w14:paraId="39D9A2A7" w14:textId="77777777" w:rsidR="00996AD7" w:rsidRDefault="00D96458">
            <w:pPr>
              <w:textAlignment w:val="bottom"/>
            </w:pPr>
            <w:r>
              <w:rPr>
                <w:rFonts w:ascii="Arial" w:eastAsia="宋体" w:hAnsi="Arial" w:cs="Arial"/>
                <w:b/>
                <w:bCs/>
                <w:color w:val="0068B5"/>
                <w:sz w:val="18"/>
                <w:szCs w:val="18"/>
              </w:rPr>
              <w:t>Part II - Other Information</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39D9A2A8" w14:textId="77777777" w:rsidR="00996AD7" w:rsidRDefault="00996AD7">
            <w:pPr>
              <w:rPr>
                <w:rFonts w:ascii="宋体"/>
              </w:rPr>
            </w:pPr>
          </w:p>
        </w:tc>
      </w:tr>
      <w:tr w:rsidR="00996AD7" w14:paraId="39D9A2AD" w14:textId="77777777">
        <w:tc>
          <w:tcPr>
            <w:tcW w:w="0" w:type="auto"/>
            <w:gridSpan w:val="3"/>
            <w:shd w:val="clear" w:color="auto" w:fill="auto"/>
            <w:tcMar>
              <w:top w:w="40" w:type="dxa"/>
              <w:left w:w="20" w:type="dxa"/>
              <w:bottom w:w="40" w:type="dxa"/>
              <w:right w:w="20" w:type="dxa"/>
            </w:tcMar>
            <w:vAlign w:val="bottom"/>
          </w:tcPr>
          <w:p w14:paraId="39D9A2AA" w14:textId="77777777" w:rsidR="00996AD7" w:rsidRDefault="00D96458">
            <w:pPr>
              <w:textAlignment w:val="bottom"/>
            </w:pPr>
            <w:r>
              <w:rPr>
                <w:rFonts w:ascii="Arial" w:eastAsia="宋体" w:hAnsi="Arial" w:cs="Arial"/>
                <w:b/>
                <w:bCs/>
                <w:color w:val="262626"/>
                <w:sz w:val="18"/>
                <w:szCs w:val="18"/>
              </w:rPr>
              <w:t>Item 1.</w:t>
            </w:r>
          </w:p>
        </w:tc>
        <w:tc>
          <w:tcPr>
            <w:tcW w:w="0" w:type="auto"/>
            <w:gridSpan w:val="3"/>
            <w:shd w:val="clear" w:color="auto" w:fill="auto"/>
            <w:tcMar>
              <w:top w:w="40" w:type="dxa"/>
              <w:left w:w="20" w:type="dxa"/>
              <w:bottom w:w="40" w:type="dxa"/>
              <w:right w:w="20" w:type="dxa"/>
            </w:tcMar>
            <w:vAlign w:val="bottom"/>
          </w:tcPr>
          <w:p w14:paraId="39D9A2AB" w14:textId="77777777" w:rsidR="00996AD7" w:rsidRDefault="00D96458">
            <w:pPr>
              <w:textAlignment w:val="bottom"/>
            </w:pPr>
            <w:r>
              <w:rPr>
                <w:rFonts w:ascii="Arial" w:eastAsia="宋体" w:hAnsi="Arial" w:cs="Arial"/>
                <w:b/>
                <w:bCs/>
                <w:color w:val="262626"/>
                <w:sz w:val="18"/>
                <w:szCs w:val="18"/>
              </w:rPr>
              <w:t>Legal Proceedings</w:t>
            </w:r>
          </w:p>
        </w:tc>
        <w:tc>
          <w:tcPr>
            <w:tcW w:w="0" w:type="auto"/>
            <w:gridSpan w:val="3"/>
            <w:shd w:val="clear" w:color="auto" w:fill="auto"/>
            <w:tcMar>
              <w:top w:w="40" w:type="dxa"/>
              <w:left w:w="20" w:type="dxa"/>
              <w:bottom w:w="40" w:type="dxa"/>
              <w:right w:w="20" w:type="dxa"/>
            </w:tcMar>
            <w:vAlign w:val="center"/>
          </w:tcPr>
          <w:p w14:paraId="39D9A2AC" w14:textId="77777777" w:rsidR="00996AD7" w:rsidRDefault="00D96458">
            <w:pPr>
              <w:jc w:val="center"/>
              <w:textAlignment w:val="center"/>
            </w:pPr>
            <w:r>
              <w:rPr>
                <w:rFonts w:ascii="Arial" w:eastAsia="宋体" w:hAnsi="Arial" w:cs="Arial"/>
                <w:color w:val="262626"/>
                <w:sz w:val="18"/>
                <w:szCs w:val="18"/>
              </w:rPr>
              <w:t xml:space="preserve">Pages </w:t>
            </w:r>
            <w:hyperlink r:id="rId89" w:anchor="i94e6cc3aa83643b8b968bd5bab038338_145" w:history="1">
              <w:r>
                <w:rPr>
                  <w:rStyle w:val="a5"/>
                  <w:rFonts w:ascii="Arial" w:eastAsia="宋体" w:hAnsi="Arial" w:cs="Arial"/>
                  <w:color w:val="262626"/>
                  <w:sz w:val="18"/>
                  <w:szCs w:val="18"/>
                </w:rPr>
                <w:t>19</w:t>
              </w:r>
            </w:hyperlink>
            <w:r>
              <w:rPr>
                <w:rFonts w:ascii="Arial" w:eastAsia="宋体" w:hAnsi="Arial" w:cs="Arial"/>
                <w:color w:val="262626"/>
                <w:sz w:val="18"/>
                <w:szCs w:val="18"/>
              </w:rPr>
              <w:t xml:space="preserve"> - </w:t>
            </w:r>
            <w:hyperlink r:id="rId90" w:anchor="i94e6cc3aa83643b8b968bd5bab038338_148" w:history="1">
              <w:r>
                <w:rPr>
                  <w:rStyle w:val="a5"/>
                  <w:rFonts w:ascii="Arial" w:eastAsia="宋体" w:hAnsi="Arial" w:cs="Arial"/>
                  <w:color w:val="262626"/>
                  <w:sz w:val="18"/>
                  <w:szCs w:val="18"/>
                </w:rPr>
                <w:t>23</w:t>
              </w:r>
            </w:hyperlink>
          </w:p>
        </w:tc>
      </w:tr>
      <w:tr w:rsidR="00996AD7" w14:paraId="39D9A2B1" w14:textId="77777777">
        <w:tc>
          <w:tcPr>
            <w:tcW w:w="0" w:type="auto"/>
            <w:gridSpan w:val="3"/>
            <w:shd w:val="clear" w:color="auto" w:fill="auto"/>
            <w:tcMar>
              <w:top w:w="40" w:type="dxa"/>
              <w:left w:w="20" w:type="dxa"/>
              <w:bottom w:w="40" w:type="dxa"/>
              <w:right w:w="20" w:type="dxa"/>
            </w:tcMar>
            <w:vAlign w:val="bottom"/>
          </w:tcPr>
          <w:p w14:paraId="39D9A2AE" w14:textId="77777777" w:rsidR="00996AD7" w:rsidRDefault="00D96458">
            <w:pPr>
              <w:textAlignment w:val="bottom"/>
            </w:pPr>
            <w:r>
              <w:rPr>
                <w:rFonts w:ascii="Arial" w:eastAsia="宋体" w:hAnsi="Arial" w:cs="Arial"/>
                <w:b/>
                <w:bCs/>
                <w:color w:val="262626"/>
                <w:sz w:val="18"/>
                <w:szCs w:val="18"/>
              </w:rPr>
              <w:t>Item 1A.</w:t>
            </w:r>
          </w:p>
        </w:tc>
        <w:tc>
          <w:tcPr>
            <w:tcW w:w="0" w:type="auto"/>
            <w:gridSpan w:val="3"/>
            <w:shd w:val="clear" w:color="auto" w:fill="auto"/>
            <w:tcMar>
              <w:top w:w="40" w:type="dxa"/>
              <w:left w:w="20" w:type="dxa"/>
              <w:bottom w:w="40" w:type="dxa"/>
              <w:right w:w="20" w:type="dxa"/>
            </w:tcMar>
            <w:vAlign w:val="bottom"/>
          </w:tcPr>
          <w:p w14:paraId="39D9A2AF" w14:textId="77777777" w:rsidR="00996AD7" w:rsidRDefault="00D96458">
            <w:pPr>
              <w:textAlignment w:val="bottom"/>
            </w:pPr>
            <w:r>
              <w:rPr>
                <w:rFonts w:ascii="Arial" w:eastAsia="宋体" w:hAnsi="Arial" w:cs="Arial"/>
                <w:b/>
                <w:bCs/>
                <w:color w:val="262626"/>
                <w:sz w:val="18"/>
                <w:szCs w:val="18"/>
              </w:rPr>
              <w:t>Risk Factors</w:t>
            </w:r>
          </w:p>
        </w:tc>
        <w:tc>
          <w:tcPr>
            <w:tcW w:w="0" w:type="auto"/>
            <w:gridSpan w:val="3"/>
            <w:shd w:val="clear" w:color="auto" w:fill="auto"/>
            <w:tcMar>
              <w:top w:w="40" w:type="dxa"/>
              <w:left w:w="20" w:type="dxa"/>
              <w:bottom w:w="40" w:type="dxa"/>
              <w:right w:w="20" w:type="dxa"/>
            </w:tcMar>
            <w:vAlign w:val="center"/>
          </w:tcPr>
          <w:p w14:paraId="39D9A2B0" w14:textId="77777777" w:rsidR="00996AD7" w:rsidRDefault="00D96458">
            <w:pPr>
              <w:jc w:val="center"/>
              <w:textAlignment w:val="center"/>
            </w:pPr>
            <w:r>
              <w:rPr>
                <w:rFonts w:ascii="Arial" w:eastAsia="宋体" w:hAnsi="Arial" w:cs="Arial"/>
                <w:color w:val="262626"/>
                <w:sz w:val="18"/>
                <w:szCs w:val="18"/>
              </w:rPr>
              <w:t xml:space="preserve">Page </w:t>
            </w:r>
            <w:hyperlink r:id="rId91" w:anchor="i94e6cc3aa83643b8b968bd5bab038338_220" w:history="1">
              <w:r>
                <w:rPr>
                  <w:rStyle w:val="a5"/>
                  <w:rFonts w:ascii="Arial" w:eastAsia="宋体" w:hAnsi="Arial" w:cs="Arial"/>
                  <w:color w:val="262626"/>
                  <w:sz w:val="18"/>
                  <w:szCs w:val="18"/>
                </w:rPr>
                <w:t>41</w:t>
              </w:r>
            </w:hyperlink>
          </w:p>
        </w:tc>
      </w:tr>
      <w:tr w:rsidR="00996AD7" w14:paraId="39D9A2B5" w14:textId="77777777">
        <w:tc>
          <w:tcPr>
            <w:tcW w:w="0" w:type="auto"/>
            <w:gridSpan w:val="3"/>
            <w:shd w:val="clear" w:color="auto" w:fill="auto"/>
            <w:tcMar>
              <w:top w:w="40" w:type="dxa"/>
              <w:left w:w="20" w:type="dxa"/>
              <w:bottom w:w="40" w:type="dxa"/>
              <w:right w:w="20" w:type="dxa"/>
            </w:tcMar>
            <w:vAlign w:val="bottom"/>
          </w:tcPr>
          <w:p w14:paraId="39D9A2B2" w14:textId="77777777" w:rsidR="00996AD7" w:rsidRDefault="00D96458">
            <w:pPr>
              <w:textAlignment w:val="bottom"/>
            </w:pPr>
            <w:r>
              <w:rPr>
                <w:rFonts w:ascii="Arial" w:eastAsia="宋体" w:hAnsi="Arial" w:cs="Arial"/>
                <w:b/>
                <w:bCs/>
                <w:color w:val="262626"/>
                <w:sz w:val="18"/>
                <w:szCs w:val="18"/>
              </w:rPr>
              <w:t>Item 2.</w:t>
            </w:r>
          </w:p>
        </w:tc>
        <w:tc>
          <w:tcPr>
            <w:tcW w:w="0" w:type="auto"/>
            <w:gridSpan w:val="3"/>
            <w:shd w:val="clear" w:color="auto" w:fill="auto"/>
            <w:tcMar>
              <w:top w:w="40" w:type="dxa"/>
              <w:left w:w="20" w:type="dxa"/>
              <w:bottom w:w="40" w:type="dxa"/>
              <w:right w:w="20" w:type="dxa"/>
            </w:tcMar>
            <w:vAlign w:val="bottom"/>
          </w:tcPr>
          <w:p w14:paraId="39D9A2B3" w14:textId="77777777" w:rsidR="00996AD7" w:rsidRDefault="00D96458">
            <w:pPr>
              <w:textAlignment w:val="bottom"/>
            </w:pPr>
            <w:r>
              <w:rPr>
                <w:rFonts w:ascii="Arial" w:eastAsia="宋体" w:hAnsi="Arial" w:cs="Arial"/>
                <w:b/>
                <w:bCs/>
                <w:color w:val="262626"/>
                <w:sz w:val="18"/>
                <w:szCs w:val="18"/>
              </w:rPr>
              <w:t>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39D9A2B4" w14:textId="77777777" w:rsidR="00996AD7" w:rsidRDefault="00D96458">
            <w:pPr>
              <w:jc w:val="center"/>
              <w:textAlignment w:val="center"/>
            </w:pPr>
            <w:r>
              <w:rPr>
                <w:rFonts w:ascii="Arial" w:eastAsia="宋体" w:hAnsi="Arial" w:cs="Arial"/>
                <w:color w:val="262626"/>
                <w:sz w:val="18"/>
                <w:szCs w:val="18"/>
              </w:rPr>
              <w:t xml:space="preserve">Page </w:t>
            </w:r>
            <w:hyperlink r:id="rId92" w:anchor="i94e6cc3aa83643b8b968bd5bab038338_229" w:history="1">
              <w:r>
                <w:rPr>
                  <w:rStyle w:val="a5"/>
                  <w:rFonts w:ascii="Arial" w:eastAsia="宋体" w:hAnsi="Arial" w:cs="Arial"/>
                  <w:color w:val="262626"/>
                  <w:sz w:val="18"/>
                  <w:szCs w:val="18"/>
                </w:rPr>
                <w:t>41</w:t>
              </w:r>
            </w:hyperlink>
          </w:p>
        </w:tc>
      </w:tr>
      <w:tr w:rsidR="00996AD7" w14:paraId="39D9A2B9" w14:textId="77777777">
        <w:tc>
          <w:tcPr>
            <w:tcW w:w="0" w:type="auto"/>
            <w:gridSpan w:val="3"/>
            <w:shd w:val="clear" w:color="auto" w:fill="auto"/>
            <w:tcMar>
              <w:top w:w="40" w:type="dxa"/>
              <w:left w:w="20" w:type="dxa"/>
              <w:bottom w:w="40" w:type="dxa"/>
              <w:right w:w="20" w:type="dxa"/>
            </w:tcMar>
            <w:vAlign w:val="bottom"/>
          </w:tcPr>
          <w:p w14:paraId="39D9A2B6" w14:textId="77777777" w:rsidR="00996AD7" w:rsidRDefault="00D96458">
            <w:pPr>
              <w:textAlignment w:val="bottom"/>
            </w:pPr>
            <w:r>
              <w:rPr>
                <w:rFonts w:ascii="Arial" w:eastAsia="宋体" w:hAnsi="Arial" w:cs="Arial"/>
                <w:b/>
                <w:bCs/>
                <w:color w:val="262626"/>
                <w:sz w:val="18"/>
                <w:szCs w:val="18"/>
              </w:rPr>
              <w:t>Item 3.</w:t>
            </w:r>
          </w:p>
        </w:tc>
        <w:tc>
          <w:tcPr>
            <w:tcW w:w="0" w:type="auto"/>
            <w:gridSpan w:val="3"/>
            <w:shd w:val="clear" w:color="auto" w:fill="auto"/>
            <w:tcMar>
              <w:top w:w="40" w:type="dxa"/>
              <w:left w:w="20" w:type="dxa"/>
              <w:bottom w:w="40" w:type="dxa"/>
              <w:right w:w="20" w:type="dxa"/>
            </w:tcMar>
            <w:vAlign w:val="bottom"/>
          </w:tcPr>
          <w:p w14:paraId="39D9A2B7" w14:textId="77777777" w:rsidR="00996AD7" w:rsidRDefault="00D96458">
            <w:pPr>
              <w:textAlignment w:val="bottom"/>
            </w:pPr>
            <w:r>
              <w:rPr>
                <w:rFonts w:ascii="Arial" w:eastAsia="宋体" w:hAnsi="Arial" w:cs="Arial"/>
                <w:b/>
                <w:bCs/>
                <w:color w:val="262626"/>
                <w:sz w:val="18"/>
                <w:szCs w:val="18"/>
              </w:rPr>
              <w:t xml:space="preserve">Defaults Upon </w:t>
            </w:r>
            <w:r>
              <w:rPr>
                <w:rFonts w:ascii="Arial" w:eastAsia="宋体" w:hAnsi="Arial" w:cs="Arial"/>
                <w:b/>
                <w:bCs/>
                <w:color w:val="262626"/>
                <w:sz w:val="18"/>
                <w:szCs w:val="18"/>
              </w:rPr>
              <w:t>Senior Securities</w:t>
            </w:r>
          </w:p>
        </w:tc>
        <w:tc>
          <w:tcPr>
            <w:tcW w:w="0" w:type="auto"/>
            <w:gridSpan w:val="3"/>
            <w:shd w:val="clear" w:color="auto" w:fill="auto"/>
            <w:tcMar>
              <w:top w:w="40" w:type="dxa"/>
              <w:left w:w="20" w:type="dxa"/>
              <w:bottom w:w="40" w:type="dxa"/>
              <w:right w:w="20" w:type="dxa"/>
            </w:tcMar>
            <w:vAlign w:val="center"/>
          </w:tcPr>
          <w:p w14:paraId="39D9A2B8" w14:textId="77777777" w:rsidR="00996AD7" w:rsidRDefault="00D96458">
            <w:pPr>
              <w:jc w:val="center"/>
              <w:textAlignment w:val="center"/>
            </w:pPr>
            <w:r>
              <w:rPr>
                <w:rFonts w:ascii="Arial" w:eastAsia="宋体" w:hAnsi="Arial" w:cs="Arial"/>
                <w:color w:val="262626"/>
                <w:sz w:val="18"/>
                <w:szCs w:val="18"/>
              </w:rPr>
              <w:t>Not applicable</w:t>
            </w:r>
          </w:p>
        </w:tc>
      </w:tr>
      <w:tr w:rsidR="00996AD7" w14:paraId="39D9A2BD" w14:textId="77777777">
        <w:tc>
          <w:tcPr>
            <w:tcW w:w="0" w:type="auto"/>
            <w:gridSpan w:val="3"/>
            <w:shd w:val="clear" w:color="auto" w:fill="auto"/>
            <w:tcMar>
              <w:top w:w="40" w:type="dxa"/>
              <w:left w:w="20" w:type="dxa"/>
              <w:bottom w:w="40" w:type="dxa"/>
              <w:right w:w="20" w:type="dxa"/>
            </w:tcMar>
            <w:vAlign w:val="bottom"/>
          </w:tcPr>
          <w:p w14:paraId="39D9A2BA" w14:textId="77777777" w:rsidR="00996AD7" w:rsidRDefault="00D96458">
            <w:pPr>
              <w:textAlignment w:val="bottom"/>
            </w:pPr>
            <w:r>
              <w:rPr>
                <w:rFonts w:ascii="Arial" w:eastAsia="宋体" w:hAnsi="Arial" w:cs="Arial"/>
                <w:b/>
                <w:bCs/>
                <w:color w:val="262626"/>
                <w:sz w:val="18"/>
                <w:szCs w:val="18"/>
              </w:rPr>
              <w:t xml:space="preserve">Item 4. </w:t>
            </w:r>
          </w:p>
        </w:tc>
        <w:tc>
          <w:tcPr>
            <w:tcW w:w="0" w:type="auto"/>
            <w:gridSpan w:val="3"/>
            <w:shd w:val="clear" w:color="auto" w:fill="auto"/>
            <w:tcMar>
              <w:top w:w="40" w:type="dxa"/>
              <w:left w:w="20" w:type="dxa"/>
              <w:bottom w:w="40" w:type="dxa"/>
              <w:right w:w="20" w:type="dxa"/>
            </w:tcMar>
            <w:vAlign w:val="bottom"/>
          </w:tcPr>
          <w:p w14:paraId="39D9A2BB" w14:textId="77777777" w:rsidR="00996AD7" w:rsidRDefault="00D96458">
            <w:pPr>
              <w:textAlignment w:val="bottom"/>
            </w:pPr>
            <w:r>
              <w:rPr>
                <w:rFonts w:ascii="Arial" w:eastAsia="宋体" w:hAnsi="Arial" w:cs="Arial"/>
                <w:b/>
                <w:bCs/>
                <w:color w:val="262626"/>
                <w:sz w:val="18"/>
                <w:szCs w:val="18"/>
              </w:rPr>
              <w:t>Mine Safety Disclosures</w:t>
            </w:r>
          </w:p>
        </w:tc>
        <w:tc>
          <w:tcPr>
            <w:tcW w:w="0" w:type="auto"/>
            <w:gridSpan w:val="3"/>
            <w:shd w:val="clear" w:color="auto" w:fill="auto"/>
            <w:tcMar>
              <w:top w:w="40" w:type="dxa"/>
              <w:left w:w="20" w:type="dxa"/>
              <w:bottom w:w="40" w:type="dxa"/>
              <w:right w:w="20" w:type="dxa"/>
            </w:tcMar>
            <w:vAlign w:val="center"/>
          </w:tcPr>
          <w:p w14:paraId="39D9A2BC" w14:textId="77777777" w:rsidR="00996AD7" w:rsidRDefault="00D96458">
            <w:pPr>
              <w:jc w:val="center"/>
              <w:textAlignment w:val="center"/>
            </w:pPr>
            <w:r>
              <w:rPr>
                <w:rFonts w:ascii="Arial" w:eastAsia="宋体" w:hAnsi="Arial" w:cs="Arial"/>
                <w:color w:val="262626"/>
                <w:sz w:val="18"/>
                <w:szCs w:val="18"/>
              </w:rPr>
              <w:t>Not applicable</w:t>
            </w:r>
          </w:p>
        </w:tc>
      </w:tr>
      <w:tr w:rsidR="00996AD7" w14:paraId="39D9A2C1" w14:textId="77777777">
        <w:tc>
          <w:tcPr>
            <w:tcW w:w="0" w:type="auto"/>
            <w:gridSpan w:val="3"/>
            <w:shd w:val="clear" w:color="auto" w:fill="auto"/>
            <w:tcMar>
              <w:top w:w="40" w:type="dxa"/>
              <w:left w:w="20" w:type="dxa"/>
              <w:bottom w:w="40" w:type="dxa"/>
              <w:right w:w="20" w:type="dxa"/>
            </w:tcMar>
            <w:vAlign w:val="bottom"/>
          </w:tcPr>
          <w:p w14:paraId="39D9A2BE" w14:textId="77777777" w:rsidR="00996AD7" w:rsidRDefault="00D96458">
            <w:pPr>
              <w:textAlignment w:val="bottom"/>
            </w:pPr>
            <w:r>
              <w:rPr>
                <w:rFonts w:ascii="Arial" w:eastAsia="宋体" w:hAnsi="Arial" w:cs="Arial"/>
                <w:b/>
                <w:bCs/>
                <w:color w:val="262626"/>
                <w:sz w:val="18"/>
                <w:szCs w:val="18"/>
              </w:rPr>
              <w:t xml:space="preserve">Item 5. </w:t>
            </w:r>
          </w:p>
        </w:tc>
        <w:tc>
          <w:tcPr>
            <w:tcW w:w="0" w:type="auto"/>
            <w:gridSpan w:val="3"/>
            <w:shd w:val="clear" w:color="auto" w:fill="auto"/>
            <w:tcMar>
              <w:top w:w="40" w:type="dxa"/>
              <w:left w:w="20" w:type="dxa"/>
              <w:bottom w:w="40" w:type="dxa"/>
              <w:right w:w="20" w:type="dxa"/>
            </w:tcMar>
            <w:vAlign w:val="bottom"/>
          </w:tcPr>
          <w:p w14:paraId="39D9A2BF" w14:textId="77777777" w:rsidR="00996AD7" w:rsidRDefault="00D96458">
            <w:pPr>
              <w:textAlignment w:val="bottom"/>
            </w:pPr>
            <w:r>
              <w:rPr>
                <w:rFonts w:ascii="Arial" w:eastAsia="宋体" w:hAnsi="Arial" w:cs="Arial"/>
                <w:b/>
                <w:bCs/>
                <w:color w:val="262626"/>
                <w:sz w:val="18"/>
                <w:szCs w:val="18"/>
              </w:rPr>
              <w:t>Other Information</w:t>
            </w:r>
          </w:p>
        </w:tc>
        <w:tc>
          <w:tcPr>
            <w:tcW w:w="0" w:type="auto"/>
            <w:gridSpan w:val="3"/>
            <w:shd w:val="clear" w:color="auto" w:fill="auto"/>
            <w:tcMar>
              <w:top w:w="0" w:type="dxa"/>
              <w:left w:w="20" w:type="dxa"/>
              <w:bottom w:w="0" w:type="dxa"/>
              <w:right w:w="20" w:type="dxa"/>
            </w:tcMar>
            <w:vAlign w:val="bottom"/>
          </w:tcPr>
          <w:p w14:paraId="39D9A2C0" w14:textId="77777777" w:rsidR="00996AD7" w:rsidRDefault="00996AD7">
            <w:pPr>
              <w:rPr>
                <w:rFonts w:ascii="宋体"/>
              </w:rPr>
            </w:pPr>
          </w:p>
        </w:tc>
      </w:tr>
      <w:tr w:rsidR="00996AD7" w14:paraId="39D9A2C5" w14:textId="77777777">
        <w:tc>
          <w:tcPr>
            <w:tcW w:w="0" w:type="auto"/>
            <w:gridSpan w:val="3"/>
            <w:shd w:val="clear" w:color="auto" w:fill="auto"/>
            <w:tcMar>
              <w:top w:w="0" w:type="dxa"/>
              <w:left w:w="20" w:type="dxa"/>
              <w:bottom w:w="0" w:type="dxa"/>
              <w:right w:w="20" w:type="dxa"/>
            </w:tcMar>
            <w:vAlign w:val="bottom"/>
          </w:tcPr>
          <w:p w14:paraId="39D9A2C2" w14:textId="77777777" w:rsidR="00996AD7" w:rsidRDefault="00996AD7">
            <w:pPr>
              <w:rPr>
                <w:rFonts w:ascii="宋体"/>
              </w:rPr>
            </w:pPr>
          </w:p>
        </w:tc>
        <w:tc>
          <w:tcPr>
            <w:tcW w:w="0" w:type="auto"/>
            <w:gridSpan w:val="3"/>
            <w:shd w:val="clear" w:color="auto" w:fill="auto"/>
            <w:tcMar>
              <w:top w:w="40" w:type="dxa"/>
              <w:left w:w="260" w:type="dxa"/>
              <w:bottom w:w="40" w:type="dxa"/>
              <w:right w:w="20" w:type="dxa"/>
            </w:tcMar>
            <w:vAlign w:val="bottom"/>
          </w:tcPr>
          <w:p w14:paraId="39D9A2C3" w14:textId="77777777" w:rsidR="00996AD7" w:rsidRDefault="00D96458">
            <w:pPr>
              <w:textAlignment w:val="bottom"/>
            </w:pPr>
            <w:r>
              <w:rPr>
                <w:rFonts w:ascii="Arial" w:eastAsia="宋体" w:hAnsi="Arial" w:cs="Arial"/>
                <w:color w:val="262626"/>
                <w:sz w:val="18"/>
                <w:szCs w:val="18"/>
              </w:rPr>
              <w:t>Disclosure Pursuant to Section 13(r) of the Securities Exchange Act of 1934</w:t>
            </w:r>
          </w:p>
        </w:tc>
        <w:tc>
          <w:tcPr>
            <w:tcW w:w="0" w:type="auto"/>
            <w:gridSpan w:val="3"/>
            <w:shd w:val="clear" w:color="auto" w:fill="auto"/>
            <w:tcMar>
              <w:top w:w="40" w:type="dxa"/>
              <w:left w:w="20" w:type="dxa"/>
              <w:bottom w:w="40" w:type="dxa"/>
              <w:right w:w="20" w:type="dxa"/>
            </w:tcMar>
            <w:vAlign w:val="center"/>
          </w:tcPr>
          <w:p w14:paraId="39D9A2C4" w14:textId="77777777" w:rsidR="00996AD7" w:rsidRDefault="00D96458">
            <w:pPr>
              <w:jc w:val="center"/>
              <w:textAlignment w:val="center"/>
            </w:pPr>
            <w:r>
              <w:rPr>
                <w:rFonts w:ascii="Arial" w:eastAsia="宋体" w:hAnsi="Arial" w:cs="Arial"/>
                <w:color w:val="262626"/>
                <w:sz w:val="18"/>
                <w:szCs w:val="18"/>
              </w:rPr>
              <w:t xml:space="preserve">Page </w:t>
            </w:r>
            <w:hyperlink r:id="rId93" w:anchor="i94e6cc3aa83643b8b968bd5bab038338_232" w:history="1">
              <w:r>
                <w:rPr>
                  <w:rStyle w:val="a5"/>
                  <w:rFonts w:ascii="Arial" w:eastAsia="宋体" w:hAnsi="Arial" w:cs="Arial"/>
                  <w:color w:val="262626"/>
                  <w:sz w:val="18"/>
                  <w:szCs w:val="18"/>
                </w:rPr>
                <w:t>42</w:t>
              </w:r>
            </w:hyperlink>
          </w:p>
        </w:tc>
      </w:tr>
      <w:tr w:rsidR="00996AD7" w14:paraId="39D9A2C9" w14:textId="77777777">
        <w:tc>
          <w:tcPr>
            <w:tcW w:w="0" w:type="auto"/>
            <w:gridSpan w:val="3"/>
            <w:shd w:val="clear" w:color="auto" w:fill="auto"/>
            <w:tcMar>
              <w:top w:w="40" w:type="dxa"/>
              <w:left w:w="20" w:type="dxa"/>
              <w:bottom w:w="40" w:type="dxa"/>
              <w:right w:w="20" w:type="dxa"/>
            </w:tcMar>
            <w:vAlign w:val="bottom"/>
          </w:tcPr>
          <w:p w14:paraId="39D9A2C6" w14:textId="77777777" w:rsidR="00996AD7" w:rsidRDefault="00D96458">
            <w:pPr>
              <w:textAlignment w:val="bottom"/>
            </w:pPr>
            <w:r>
              <w:rPr>
                <w:rFonts w:ascii="Arial" w:eastAsia="宋体" w:hAnsi="Arial" w:cs="Arial"/>
                <w:b/>
                <w:bCs/>
                <w:color w:val="262626"/>
                <w:sz w:val="18"/>
                <w:szCs w:val="18"/>
              </w:rPr>
              <w:t>Item 6.</w:t>
            </w:r>
          </w:p>
        </w:tc>
        <w:tc>
          <w:tcPr>
            <w:tcW w:w="0" w:type="auto"/>
            <w:gridSpan w:val="3"/>
            <w:shd w:val="clear" w:color="auto" w:fill="auto"/>
            <w:tcMar>
              <w:top w:w="40" w:type="dxa"/>
              <w:left w:w="20" w:type="dxa"/>
              <w:bottom w:w="40" w:type="dxa"/>
              <w:right w:w="20" w:type="dxa"/>
            </w:tcMar>
            <w:vAlign w:val="bottom"/>
          </w:tcPr>
          <w:p w14:paraId="39D9A2C7" w14:textId="77777777" w:rsidR="00996AD7" w:rsidRDefault="00D96458">
            <w:pPr>
              <w:textAlignment w:val="bottom"/>
            </w:pPr>
            <w:r>
              <w:rPr>
                <w:rFonts w:ascii="Arial" w:eastAsia="宋体" w:hAnsi="Arial" w:cs="Arial"/>
                <w:b/>
                <w:bCs/>
                <w:color w:val="262626"/>
                <w:sz w:val="18"/>
                <w:szCs w:val="18"/>
              </w:rPr>
              <w:t>Exhibits</w:t>
            </w:r>
          </w:p>
        </w:tc>
        <w:tc>
          <w:tcPr>
            <w:tcW w:w="0" w:type="auto"/>
            <w:gridSpan w:val="3"/>
            <w:shd w:val="clear" w:color="auto" w:fill="auto"/>
            <w:tcMar>
              <w:top w:w="40" w:type="dxa"/>
              <w:left w:w="20" w:type="dxa"/>
              <w:bottom w:w="40" w:type="dxa"/>
              <w:right w:w="20" w:type="dxa"/>
            </w:tcMar>
            <w:vAlign w:val="center"/>
          </w:tcPr>
          <w:p w14:paraId="39D9A2C8" w14:textId="77777777" w:rsidR="00996AD7" w:rsidRDefault="00D96458">
            <w:pPr>
              <w:jc w:val="center"/>
              <w:textAlignment w:val="center"/>
            </w:pPr>
            <w:r>
              <w:rPr>
                <w:rFonts w:ascii="Arial" w:eastAsia="宋体" w:hAnsi="Arial" w:cs="Arial"/>
                <w:color w:val="262626"/>
                <w:sz w:val="18"/>
                <w:szCs w:val="18"/>
              </w:rPr>
              <w:t xml:space="preserve">Page </w:t>
            </w:r>
            <w:hyperlink r:id="rId94" w:anchor="i94e6cc3aa83643b8b968bd5bab038338_235" w:history="1">
              <w:r>
                <w:rPr>
                  <w:rStyle w:val="a5"/>
                  <w:rFonts w:ascii="Arial" w:eastAsia="宋体" w:hAnsi="Arial" w:cs="Arial"/>
                  <w:color w:val="262626"/>
                  <w:sz w:val="18"/>
                  <w:szCs w:val="18"/>
                </w:rPr>
                <w:t>43</w:t>
              </w:r>
            </w:hyperlink>
            <w:r>
              <w:rPr>
                <w:rFonts w:ascii="Arial" w:eastAsia="宋体" w:hAnsi="Arial" w:cs="Arial"/>
                <w:color w:val="262626"/>
                <w:sz w:val="18"/>
                <w:szCs w:val="18"/>
              </w:rPr>
              <w:t xml:space="preserve"> </w:t>
            </w:r>
          </w:p>
        </w:tc>
      </w:tr>
      <w:tr w:rsidR="00996AD7" w14:paraId="39D9A2CD" w14:textId="77777777">
        <w:trPr>
          <w:trHeight w:val="60"/>
        </w:trPr>
        <w:tc>
          <w:tcPr>
            <w:tcW w:w="0" w:type="auto"/>
            <w:gridSpan w:val="3"/>
            <w:shd w:val="clear" w:color="auto" w:fill="auto"/>
            <w:tcMar>
              <w:top w:w="0" w:type="dxa"/>
              <w:left w:w="20" w:type="dxa"/>
              <w:bottom w:w="0" w:type="dxa"/>
              <w:right w:w="20" w:type="dxa"/>
            </w:tcMar>
            <w:vAlign w:val="bottom"/>
          </w:tcPr>
          <w:p w14:paraId="39D9A2C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C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CC" w14:textId="77777777" w:rsidR="00996AD7" w:rsidRDefault="00996AD7">
            <w:pPr>
              <w:rPr>
                <w:rFonts w:ascii="宋体"/>
              </w:rPr>
            </w:pPr>
          </w:p>
        </w:tc>
      </w:tr>
      <w:tr w:rsidR="00996AD7" w14:paraId="39D9A2D1" w14:textId="77777777">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39D9A2CE" w14:textId="77777777" w:rsidR="00996AD7" w:rsidRDefault="00D96458">
            <w:pPr>
              <w:textAlignment w:val="bottom"/>
            </w:pPr>
            <w:r>
              <w:rPr>
                <w:rFonts w:ascii="Arial" w:eastAsia="宋体" w:hAnsi="Arial" w:cs="Arial"/>
                <w:b/>
                <w:bCs/>
                <w:color w:val="0068B5"/>
                <w:sz w:val="18"/>
                <w:szCs w:val="18"/>
              </w:rPr>
              <w:t>Signatures</w:t>
            </w:r>
          </w:p>
        </w:tc>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39D9A2CF" w14:textId="77777777" w:rsidR="00996AD7" w:rsidRDefault="00996AD7">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center"/>
          </w:tcPr>
          <w:p w14:paraId="39D9A2D0" w14:textId="77777777" w:rsidR="00996AD7" w:rsidRDefault="00D96458">
            <w:pPr>
              <w:jc w:val="center"/>
              <w:textAlignment w:val="center"/>
            </w:pPr>
            <w:r>
              <w:rPr>
                <w:rFonts w:ascii="Arial" w:eastAsia="宋体" w:hAnsi="Arial" w:cs="Arial"/>
                <w:color w:val="262626"/>
                <w:sz w:val="18"/>
                <w:szCs w:val="18"/>
              </w:rPr>
              <w:t xml:space="preserve">Page </w:t>
            </w:r>
            <w:hyperlink r:id="rId95" w:anchor="i94e6cc3aa83643b8b968bd5bab038338_244" w:history="1">
              <w:r>
                <w:rPr>
                  <w:rStyle w:val="a5"/>
                  <w:rFonts w:ascii="Arial" w:eastAsia="宋体" w:hAnsi="Arial" w:cs="Arial"/>
                  <w:color w:val="262626"/>
                  <w:sz w:val="18"/>
                  <w:szCs w:val="18"/>
                </w:rPr>
                <w:t>45</w:t>
              </w:r>
            </w:hyperlink>
          </w:p>
        </w:tc>
      </w:tr>
    </w:tbl>
    <w:p w14:paraId="39D9A2D2" w14:textId="77777777" w:rsidR="00996AD7" w:rsidRDefault="00D96458">
      <w:pPr>
        <w:spacing w:after="60"/>
        <w:ind w:hanging="360"/>
      </w:pPr>
      <w:r>
        <w:rPr>
          <w:rFonts w:ascii="Arial" w:eastAsia="宋体" w:hAnsi="Arial" w:cs="Arial"/>
          <w:i/>
          <w:iCs/>
          <w:color w:val="262626"/>
          <w:sz w:val="16"/>
          <w:szCs w:val="16"/>
        </w:rPr>
        <w:t xml:space="preserve">(a)    As of September 25, 2021, we did not have any significant off-balance sheet </w:t>
      </w:r>
      <w:r>
        <w:rPr>
          <w:rFonts w:ascii="Arial" w:eastAsia="宋体" w:hAnsi="Arial" w:cs="Arial"/>
          <w:i/>
          <w:iCs/>
          <w:color w:val="262626"/>
          <w:sz w:val="16"/>
          <w:szCs w:val="16"/>
        </w:rPr>
        <w:t>arrangements, as previously defined in Item 303(a)(4)(ii) of SEC Regulation S-K.</w:t>
      </w:r>
    </w:p>
    <w:p w14:paraId="39D9A2D3" w14:textId="77777777" w:rsidR="00996AD7" w:rsidRDefault="00996AD7">
      <w:pPr>
        <w:spacing w:after="60"/>
        <w:ind w:hanging="360"/>
      </w:pPr>
    </w:p>
    <w:p w14:paraId="39D9A2D4" w14:textId="77777777" w:rsidR="00996AD7" w:rsidRDefault="00996AD7">
      <w:pPr>
        <w:spacing w:after="180"/>
        <w:ind w:hanging="360"/>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996AD7" w14:paraId="39D9A2DE" w14:textId="77777777">
        <w:tc>
          <w:tcPr>
            <w:tcW w:w="50" w:type="pct"/>
            <w:shd w:val="clear" w:color="auto" w:fill="auto"/>
            <w:vAlign w:val="bottom"/>
          </w:tcPr>
          <w:p w14:paraId="39D9A2D5" w14:textId="77777777" w:rsidR="00996AD7" w:rsidRDefault="00996AD7">
            <w:pPr>
              <w:rPr>
                <w:rFonts w:ascii="宋体"/>
              </w:rPr>
            </w:pPr>
          </w:p>
        </w:tc>
        <w:tc>
          <w:tcPr>
            <w:tcW w:w="212" w:type="pct"/>
            <w:shd w:val="clear" w:color="auto" w:fill="auto"/>
            <w:vAlign w:val="bottom"/>
          </w:tcPr>
          <w:p w14:paraId="39D9A2D6" w14:textId="77777777" w:rsidR="00996AD7" w:rsidRDefault="00996AD7">
            <w:pPr>
              <w:rPr>
                <w:rFonts w:ascii="宋体"/>
              </w:rPr>
            </w:pPr>
          </w:p>
        </w:tc>
        <w:tc>
          <w:tcPr>
            <w:tcW w:w="5" w:type="pct"/>
            <w:shd w:val="clear" w:color="auto" w:fill="auto"/>
            <w:vAlign w:val="bottom"/>
          </w:tcPr>
          <w:p w14:paraId="39D9A2D7" w14:textId="77777777" w:rsidR="00996AD7" w:rsidRDefault="00996AD7">
            <w:pPr>
              <w:rPr>
                <w:rFonts w:ascii="宋体"/>
              </w:rPr>
            </w:pPr>
          </w:p>
        </w:tc>
        <w:tc>
          <w:tcPr>
            <w:tcW w:w="50" w:type="pct"/>
            <w:shd w:val="clear" w:color="auto" w:fill="auto"/>
            <w:vAlign w:val="bottom"/>
          </w:tcPr>
          <w:p w14:paraId="39D9A2D8" w14:textId="77777777" w:rsidR="00996AD7" w:rsidRDefault="00996AD7">
            <w:pPr>
              <w:rPr>
                <w:rFonts w:ascii="宋体"/>
              </w:rPr>
            </w:pPr>
          </w:p>
        </w:tc>
        <w:tc>
          <w:tcPr>
            <w:tcW w:w="2492" w:type="pct"/>
            <w:shd w:val="clear" w:color="auto" w:fill="auto"/>
            <w:vAlign w:val="bottom"/>
          </w:tcPr>
          <w:p w14:paraId="39D9A2D9" w14:textId="77777777" w:rsidR="00996AD7" w:rsidRDefault="00996AD7">
            <w:pPr>
              <w:rPr>
                <w:rFonts w:ascii="宋体"/>
              </w:rPr>
            </w:pPr>
          </w:p>
        </w:tc>
        <w:tc>
          <w:tcPr>
            <w:tcW w:w="5" w:type="pct"/>
            <w:shd w:val="clear" w:color="auto" w:fill="auto"/>
            <w:vAlign w:val="bottom"/>
          </w:tcPr>
          <w:p w14:paraId="39D9A2DA" w14:textId="77777777" w:rsidR="00996AD7" w:rsidRDefault="00996AD7">
            <w:pPr>
              <w:rPr>
                <w:rFonts w:ascii="宋体"/>
              </w:rPr>
            </w:pPr>
          </w:p>
        </w:tc>
        <w:tc>
          <w:tcPr>
            <w:tcW w:w="50" w:type="pct"/>
            <w:shd w:val="clear" w:color="auto" w:fill="auto"/>
            <w:vAlign w:val="bottom"/>
          </w:tcPr>
          <w:p w14:paraId="39D9A2DB" w14:textId="77777777" w:rsidR="00996AD7" w:rsidRDefault="00996AD7">
            <w:pPr>
              <w:rPr>
                <w:rFonts w:ascii="宋体"/>
              </w:rPr>
            </w:pPr>
          </w:p>
        </w:tc>
        <w:tc>
          <w:tcPr>
            <w:tcW w:w="2130" w:type="pct"/>
            <w:shd w:val="clear" w:color="auto" w:fill="auto"/>
            <w:vAlign w:val="bottom"/>
          </w:tcPr>
          <w:p w14:paraId="39D9A2DC" w14:textId="77777777" w:rsidR="00996AD7" w:rsidRDefault="00996AD7">
            <w:pPr>
              <w:rPr>
                <w:rFonts w:ascii="宋体"/>
              </w:rPr>
            </w:pPr>
          </w:p>
        </w:tc>
        <w:tc>
          <w:tcPr>
            <w:tcW w:w="5" w:type="pct"/>
            <w:shd w:val="clear" w:color="auto" w:fill="auto"/>
            <w:vAlign w:val="bottom"/>
          </w:tcPr>
          <w:p w14:paraId="39D9A2DD" w14:textId="77777777" w:rsidR="00996AD7" w:rsidRDefault="00996AD7">
            <w:pPr>
              <w:rPr>
                <w:rFonts w:ascii="宋体"/>
              </w:rPr>
            </w:pPr>
          </w:p>
        </w:tc>
      </w:tr>
      <w:tr w:rsidR="00996AD7" w14:paraId="39D9A2E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A2DF"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41" wp14:editId="39D9A442">
                  <wp:extent cx="304800" cy="304800"/>
                  <wp:effectExtent l="0" t="0" r="0" b="0"/>
                  <wp:docPr id="71" name="图片 148"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8"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A2E0" w14:textId="77777777" w:rsidR="00996AD7" w:rsidRDefault="00D9645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A2E1" w14:textId="77777777" w:rsidR="00996AD7" w:rsidRDefault="00D96458">
            <w:pPr>
              <w:jc w:val="right"/>
              <w:textAlignment w:val="center"/>
            </w:pPr>
            <w:r>
              <w:rPr>
                <w:rFonts w:ascii="Arial" w:eastAsia="宋体" w:hAnsi="Arial" w:cs="Arial"/>
                <w:color w:val="262626"/>
                <w:sz w:val="16"/>
                <w:szCs w:val="16"/>
              </w:rPr>
              <w:t>44</w:t>
            </w:r>
          </w:p>
        </w:tc>
      </w:tr>
    </w:tbl>
    <w:p w14:paraId="39D9A2E3" w14:textId="77777777" w:rsidR="00996AD7" w:rsidRDefault="00D96458">
      <w:r>
        <w:pict w14:anchorId="39D9A443">
          <v:rect id="_x0000_i1070" style="width:415.3pt;height:1.5pt" o:hralign="center" o:hrstd="t" o:hr="t" fillcolor="#a0a0a0" stroked="f"/>
        </w:pict>
      </w:r>
    </w:p>
    <w:p w14:paraId="39D9A2E4" w14:textId="77777777" w:rsidR="00996AD7" w:rsidRDefault="00D96458">
      <w:pPr>
        <w:spacing w:after="180"/>
        <w:jc w:val="right"/>
      </w:pPr>
      <w:hyperlink r:id="rId96" w:anchor="i94e6cc3aa83643b8b968bd5bab038338_7" w:history="1">
        <w:r>
          <w:rPr>
            <w:rStyle w:val="a5"/>
            <w:rFonts w:ascii="Arial" w:eastAsia="宋体" w:hAnsi="Arial" w:cs="Arial"/>
            <w:b/>
            <w:bCs/>
            <w:color w:val="0068B5"/>
            <w:sz w:val="16"/>
            <w:szCs w:val="16"/>
          </w:rPr>
          <w:t>Table of Contents</w:t>
        </w:r>
      </w:hyperlink>
    </w:p>
    <w:p w14:paraId="39D9A2E5" w14:textId="77777777" w:rsidR="00996AD7" w:rsidRDefault="00996AD7">
      <w:pPr>
        <w:spacing w:after="180"/>
        <w:jc w:val="right"/>
      </w:pPr>
    </w:p>
    <w:p w14:paraId="39D9A2E6" w14:textId="77777777" w:rsidR="00996AD7" w:rsidRDefault="00D96458">
      <w:pPr>
        <w:spacing w:after="180"/>
      </w:pPr>
      <w:r>
        <w:rPr>
          <w:rFonts w:ascii="Arial" w:eastAsia="宋体" w:hAnsi="Arial" w:cs="Arial"/>
          <w:color w:val="0068B5"/>
          <w:sz w:val="28"/>
          <w:szCs w:val="28"/>
        </w:rPr>
        <w:t>Signatures</w:t>
      </w:r>
    </w:p>
    <w:p w14:paraId="39D9A2E7" w14:textId="77777777" w:rsidR="00996AD7" w:rsidRDefault="00D96458">
      <w:pPr>
        <w:spacing w:after="180"/>
      </w:pPr>
      <w:r>
        <w:rPr>
          <w:rFonts w:ascii="Arial" w:eastAsia="宋体" w:hAnsi="Arial" w:cs="Arial"/>
          <w:color w:val="262626"/>
          <w:sz w:val="18"/>
          <w:szCs w:val="18"/>
        </w:rPr>
        <w:t xml:space="preserve">Pursuant to the requirements of the Securities Exchange Act of 1934, </w:t>
      </w:r>
      <w:r>
        <w:rPr>
          <w:rFonts w:ascii="Arial" w:eastAsia="宋体" w:hAnsi="Arial" w:cs="Arial"/>
          <w:color w:val="262626"/>
          <w:sz w:val="18"/>
          <w:szCs w:val="18"/>
        </w:rPr>
        <w:t>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82"/>
        <w:gridCol w:w="36"/>
        <w:gridCol w:w="46"/>
        <w:gridCol w:w="1881"/>
        <w:gridCol w:w="36"/>
        <w:gridCol w:w="65"/>
        <w:gridCol w:w="1243"/>
        <w:gridCol w:w="36"/>
        <w:gridCol w:w="80"/>
        <w:gridCol w:w="214"/>
        <w:gridCol w:w="37"/>
        <w:gridCol w:w="37"/>
        <w:gridCol w:w="128"/>
        <w:gridCol w:w="36"/>
        <w:gridCol w:w="66"/>
        <w:gridCol w:w="3896"/>
        <w:gridCol w:w="36"/>
      </w:tblGrid>
      <w:tr w:rsidR="00996AD7" w14:paraId="39D9A2FA" w14:textId="77777777">
        <w:tc>
          <w:tcPr>
            <w:tcW w:w="50" w:type="pct"/>
            <w:shd w:val="clear" w:color="auto" w:fill="auto"/>
            <w:vAlign w:val="bottom"/>
          </w:tcPr>
          <w:p w14:paraId="39D9A2E8" w14:textId="77777777" w:rsidR="00996AD7" w:rsidRDefault="00996AD7">
            <w:pPr>
              <w:rPr>
                <w:rFonts w:ascii="宋体"/>
              </w:rPr>
            </w:pPr>
          </w:p>
        </w:tc>
        <w:tc>
          <w:tcPr>
            <w:tcW w:w="238" w:type="pct"/>
            <w:shd w:val="clear" w:color="auto" w:fill="auto"/>
            <w:vAlign w:val="bottom"/>
          </w:tcPr>
          <w:p w14:paraId="39D9A2E9" w14:textId="77777777" w:rsidR="00996AD7" w:rsidRDefault="00996AD7">
            <w:pPr>
              <w:rPr>
                <w:rFonts w:ascii="宋体"/>
              </w:rPr>
            </w:pPr>
          </w:p>
        </w:tc>
        <w:tc>
          <w:tcPr>
            <w:tcW w:w="5" w:type="pct"/>
            <w:shd w:val="clear" w:color="auto" w:fill="auto"/>
            <w:vAlign w:val="bottom"/>
          </w:tcPr>
          <w:p w14:paraId="39D9A2EA" w14:textId="77777777" w:rsidR="00996AD7" w:rsidRDefault="00996AD7">
            <w:pPr>
              <w:rPr>
                <w:rFonts w:ascii="宋体"/>
              </w:rPr>
            </w:pPr>
          </w:p>
        </w:tc>
        <w:tc>
          <w:tcPr>
            <w:tcW w:w="50" w:type="pct"/>
            <w:shd w:val="clear" w:color="auto" w:fill="auto"/>
            <w:vAlign w:val="bottom"/>
          </w:tcPr>
          <w:p w14:paraId="39D9A2EB" w14:textId="77777777" w:rsidR="00996AD7" w:rsidRDefault="00996AD7">
            <w:pPr>
              <w:rPr>
                <w:rFonts w:ascii="宋体"/>
              </w:rPr>
            </w:pPr>
          </w:p>
        </w:tc>
        <w:tc>
          <w:tcPr>
            <w:tcW w:w="1138" w:type="pct"/>
            <w:shd w:val="clear" w:color="auto" w:fill="auto"/>
            <w:vAlign w:val="bottom"/>
          </w:tcPr>
          <w:p w14:paraId="39D9A2EC" w14:textId="77777777" w:rsidR="00996AD7" w:rsidRDefault="00996AD7">
            <w:pPr>
              <w:rPr>
                <w:rFonts w:ascii="宋体"/>
              </w:rPr>
            </w:pPr>
          </w:p>
        </w:tc>
        <w:tc>
          <w:tcPr>
            <w:tcW w:w="5" w:type="pct"/>
            <w:shd w:val="clear" w:color="auto" w:fill="auto"/>
            <w:vAlign w:val="bottom"/>
          </w:tcPr>
          <w:p w14:paraId="39D9A2ED" w14:textId="77777777" w:rsidR="00996AD7" w:rsidRDefault="00996AD7">
            <w:pPr>
              <w:rPr>
                <w:rFonts w:ascii="宋体"/>
              </w:rPr>
            </w:pPr>
          </w:p>
        </w:tc>
        <w:tc>
          <w:tcPr>
            <w:tcW w:w="50" w:type="pct"/>
            <w:shd w:val="clear" w:color="auto" w:fill="auto"/>
            <w:vAlign w:val="bottom"/>
          </w:tcPr>
          <w:p w14:paraId="39D9A2EE" w14:textId="77777777" w:rsidR="00996AD7" w:rsidRDefault="00996AD7">
            <w:pPr>
              <w:rPr>
                <w:rFonts w:ascii="宋体"/>
              </w:rPr>
            </w:pPr>
          </w:p>
        </w:tc>
        <w:tc>
          <w:tcPr>
            <w:tcW w:w="756" w:type="pct"/>
            <w:shd w:val="clear" w:color="auto" w:fill="auto"/>
            <w:vAlign w:val="bottom"/>
          </w:tcPr>
          <w:p w14:paraId="39D9A2EF" w14:textId="77777777" w:rsidR="00996AD7" w:rsidRDefault="00996AD7">
            <w:pPr>
              <w:rPr>
                <w:rFonts w:ascii="宋体"/>
              </w:rPr>
            </w:pPr>
          </w:p>
        </w:tc>
        <w:tc>
          <w:tcPr>
            <w:tcW w:w="5" w:type="pct"/>
            <w:shd w:val="clear" w:color="auto" w:fill="auto"/>
            <w:vAlign w:val="bottom"/>
          </w:tcPr>
          <w:p w14:paraId="39D9A2F0" w14:textId="77777777" w:rsidR="00996AD7" w:rsidRDefault="00996AD7">
            <w:pPr>
              <w:rPr>
                <w:rFonts w:ascii="宋体"/>
              </w:rPr>
            </w:pPr>
          </w:p>
        </w:tc>
        <w:tc>
          <w:tcPr>
            <w:tcW w:w="50" w:type="pct"/>
            <w:shd w:val="clear" w:color="auto" w:fill="auto"/>
            <w:vAlign w:val="bottom"/>
          </w:tcPr>
          <w:p w14:paraId="39D9A2F1" w14:textId="77777777" w:rsidR="00996AD7" w:rsidRDefault="00996AD7">
            <w:pPr>
              <w:rPr>
                <w:rFonts w:ascii="宋体"/>
              </w:rPr>
            </w:pPr>
          </w:p>
        </w:tc>
        <w:tc>
          <w:tcPr>
            <w:tcW w:w="135" w:type="pct"/>
            <w:shd w:val="clear" w:color="auto" w:fill="auto"/>
            <w:vAlign w:val="bottom"/>
          </w:tcPr>
          <w:p w14:paraId="39D9A2F2" w14:textId="77777777" w:rsidR="00996AD7" w:rsidRDefault="00996AD7">
            <w:pPr>
              <w:rPr>
                <w:rFonts w:ascii="宋体"/>
              </w:rPr>
            </w:pPr>
          </w:p>
        </w:tc>
        <w:tc>
          <w:tcPr>
            <w:tcW w:w="5" w:type="pct"/>
            <w:shd w:val="clear" w:color="auto" w:fill="auto"/>
            <w:vAlign w:val="bottom"/>
          </w:tcPr>
          <w:p w14:paraId="39D9A2F3" w14:textId="77777777" w:rsidR="00996AD7" w:rsidRDefault="00996AD7">
            <w:pPr>
              <w:rPr>
                <w:rFonts w:ascii="宋体"/>
              </w:rPr>
            </w:pPr>
          </w:p>
        </w:tc>
        <w:tc>
          <w:tcPr>
            <w:tcW w:w="5" w:type="pct"/>
            <w:shd w:val="clear" w:color="auto" w:fill="auto"/>
            <w:vAlign w:val="bottom"/>
          </w:tcPr>
          <w:p w14:paraId="39D9A2F4" w14:textId="77777777" w:rsidR="00996AD7" w:rsidRDefault="00996AD7">
            <w:pPr>
              <w:rPr>
                <w:rFonts w:ascii="宋体"/>
              </w:rPr>
            </w:pPr>
          </w:p>
        </w:tc>
        <w:tc>
          <w:tcPr>
            <w:tcW w:w="99" w:type="pct"/>
            <w:shd w:val="clear" w:color="auto" w:fill="auto"/>
            <w:vAlign w:val="bottom"/>
          </w:tcPr>
          <w:p w14:paraId="39D9A2F5" w14:textId="77777777" w:rsidR="00996AD7" w:rsidRDefault="00996AD7">
            <w:pPr>
              <w:rPr>
                <w:rFonts w:ascii="宋体"/>
              </w:rPr>
            </w:pPr>
          </w:p>
        </w:tc>
        <w:tc>
          <w:tcPr>
            <w:tcW w:w="5" w:type="pct"/>
            <w:shd w:val="clear" w:color="auto" w:fill="auto"/>
            <w:vAlign w:val="bottom"/>
          </w:tcPr>
          <w:p w14:paraId="39D9A2F6" w14:textId="77777777" w:rsidR="00996AD7" w:rsidRDefault="00996AD7">
            <w:pPr>
              <w:rPr>
                <w:rFonts w:ascii="宋体"/>
              </w:rPr>
            </w:pPr>
          </w:p>
        </w:tc>
        <w:tc>
          <w:tcPr>
            <w:tcW w:w="50" w:type="pct"/>
            <w:shd w:val="clear" w:color="auto" w:fill="auto"/>
            <w:vAlign w:val="bottom"/>
          </w:tcPr>
          <w:p w14:paraId="39D9A2F7" w14:textId="77777777" w:rsidR="00996AD7" w:rsidRDefault="00996AD7">
            <w:pPr>
              <w:rPr>
                <w:rFonts w:ascii="宋体"/>
              </w:rPr>
            </w:pPr>
          </w:p>
        </w:tc>
        <w:tc>
          <w:tcPr>
            <w:tcW w:w="2346" w:type="pct"/>
            <w:shd w:val="clear" w:color="auto" w:fill="auto"/>
            <w:vAlign w:val="bottom"/>
          </w:tcPr>
          <w:p w14:paraId="39D9A2F8" w14:textId="77777777" w:rsidR="00996AD7" w:rsidRDefault="00996AD7">
            <w:pPr>
              <w:rPr>
                <w:rFonts w:ascii="宋体"/>
              </w:rPr>
            </w:pPr>
          </w:p>
        </w:tc>
        <w:tc>
          <w:tcPr>
            <w:tcW w:w="5" w:type="pct"/>
            <w:shd w:val="clear" w:color="auto" w:fill="auto"/>
            <w:vAlign w:val="bottom"/>
          </w:tcPr>
          <w:p w14:paraId="39D9A2F9" w14:textId="77777777" w:rsidR="00996AD7" w:rsidRDefault="00996AD7">
            <w:pPr>
              <w:rPr>
                <w:rFonts w:ascii="宋体"/>
              </w:rPr>
            </w:pPr>
          </w:p>
        </w:tc>
      </w:tr>
      <w:tr w:rsidR="00996AD7" w14:paraId="39D9A2FF" w14:textId="77777777">
        <w:tc>
          <w:tcPr>
            <w:tcW w:w="0" w:type="auto"/>
            <w:gridSpan w:val="3"/>
            <w:shd w:val="clear" w:color="auto" w:fill="auto"/>
            <w:tcMar>
              <w:top w:w="0" w:type="dxa"/>
              <w:left w:w="20" w:type="dxa"/>
              <w:bottom w:w="0" w:type="dxa"/>
              <w:right w:w="20" w:type="dxa"/>
            </w:tcMar>
            <w:vAlign w:val="bottom"/>
          </w:tcPr>
          <w:p w14:paraId="39D9A2F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2FC"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A2FD" w14:textId="77777777" w:rsidR="00996AD7" w:rsidRDefault="00D96458">
            <w:pPr>
              <w:textAlignment w:val="bottom"/>
            </w:pPr>
            <w:r>
              <w:rPr>
                <w:rFonts w:ascii="Arial" w:eastAsia="宋体" w:hAnsi="Arial" w:cs="Arial"/>
                <w:color w:val="262626"/>
                <w:sz w:val="18"/>
                <w:szCs w:val="18"/>
              </w:rPr>
              <w:t> </w:t>
            </w:r>
          </w:p>
        </w:tc>
        <w:tc>
          <w:tcPr>
            <w:tcW w:w="0" w:type="auto"/>
            <w:gridSpan w:val="9"/>
            <w:shd w:val="clear" w:color="auto" w:fill="auto"/>
            <w:tcMar>
              <w:top w:w="40" w:type="dxa"/>
              <w:left w:w="20" w:type="dxa"/>
              <w:bottom w:w="40" w:type="dxa"/>
              <w:right w:w="20" w:type="dxa"/>
            </w:tcMar>
            <w:vAlign w:val="bottom"/>
          </w:tcPr>
          <w:p w14:paraId="39D9A2FE" w14:textId="77777777" w:rsidR="00996AD7" w:rsidRDefault="00D96458">
            <w:pPr>
              <w:textAlignment w:val="bottom"/>
            </w:pPr>
            <w:r>
              <w:rPr>
                <w:rFonts w:ascii="Arial" w:eastAsia="宋体" w:hAnsi="Arial" w:cs="Arial"/>
                <w:color w:val="262626"/>
                <w:sz w:val="18"/>
                <w:szCs w:val="18"/>
              </w:rPr>
              <w:t>INTEL CORPORATION</w:t>
            </w:r>
            <w:r>
              <w:rPr>
                <w:rFonts w:ascii="Arial" w:eastAsia="宋体" w:hAnsi="Arial" w:cs="Arial"/>
                <w:color w:val="262626"/>
                <w:sz w:val="18"/>
                <w:szCs w:val="18"/>
              </w:rPr>
              <w:br/>
              <w:t>(Registrant)</w:t>
            </w:r>
          </w:p>
        </w:tc>
      </w:tr>
      <w:tr w:rsidR="00996AD7" w14:paraId="39D9A306" w14:textId="77777777">
        <w:trPr>
          <w:trHeight w:val="300"/>
        </w:trPr>
        <w:tc>
          <w:tcPr>
            <w:tcW w:w="0" w:type="auto"/>
            <w:gridSpan w:val="3"/>
            <w:shd w:val="clear" w:color="auto" w:fill="auto"/>
            <w:tcMar>
              <w:top w:w="0" w:type="dxa"/>
              <w:left w:w="20" w:type="dxa"/>
              <w:bottom w:w="0" w:type="dxa"/>
              <w:right w:w="20" w:type="dxa"/>
            </w:tcMar>
            <w:vAlign w:val="bottom"/>
          </w:tcPr>
          <w:p w14:paraId="39D9A30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0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0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0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0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05" w14:textId="77777777" w:rsidR="00996AD7" w:rsidRDefault="00996AD7">
            <w:pPr>
              <w:rPr>
                <w:rFonts w:ascii="宋体"/>
              </w:rPr>
            </w:pPr>
          </w:p>
        </w:tc>
      </w:tr>
      <w:tr w:rsidR="00996AD7" w14:paraId="39D9A30D" w14:textId="77777777">
        <w:tc>
          <w:tcPr>
            <w:tcW w:w="0" w:type="auto"/>
            <w:gridSpan w:val="3"/>
            <w:shd w:val="clear" w:color="auto" w:fill="auto"/>
            <w:tcMar>
              <w:top w:w="40" w:type="dxa"/>
              <w:left w:w="20" w:type="dxa"/>
              <w:bottom w:w="40" w:type="dxa"/>
              <w:right w:w="20" w:type="dxa"/>
            </w:tcMar>
            <w:vAlign w:val="bottom"/>
          </w:tcPr>
          <w:p w14:paraId="39D9A307" w14:textId="77777777" w:rsidR="00996AD7" w:rsidRDefault="00D96458">
            <w:pPr>
              <w:textAlignment w:val="bottom"/>
            </w:pPr>
            <w:r>
              <w:rPr>
                <w:rFonts w:ascii="Arial" w:eastAsia="宋体" w:hAnsi="Arial" w:cs="Arial"/>
                <w:color w:val="262626"/>
                <w:sz w:val="18"/>
                <w:szCs w:val="18"/>
              </w:rPr>
              <w:t xml:space="preserve">Date: </w:t>
            </w:r>
          </w:p>
        </w:tc>
        <w:tc>
          <w:tcPr>
            <w:tcW w:w="0" w:type="auto"/>
            <w:gridSpan w:val="3"/>
            <w:shd w:val="clear" w:color="auto" w:fill="auto"/>
            <w:tcMar>
              <w:top w:w="40" w:type="dxa"/>
              <w:left w:w="20" w:type="dxa"/>
              <w:bottom w:w="40" w:type="dxa"/>
              <w:right w:w="20" w:type="dxa"/>
            </w:tcMar>
            <w:vAlign w:val="bottom"/>
          </w:tcPr>
          <w:p w14:paraId="39D9A308" w14:textId="77777777" w:rsidR="00996AD7" w:rsidRDefault="00D96458">
            <w:pPr>
              <w:textAlignment w:val="bottom"/>
            </w:pPr>
            <w:r>
              <w:rPr>
                <w:rFonts w:ascii="Arial" w:eastAsia="宋体" w:hAnsi="Arial" w:cs="Arial"/>
                <w:color w:val="262626"/>
                <w:sz w:val="18"/>
                <w:szCs w:val="18"/>
              </w:rPr>
              <w:t>October 21, 2021</w:t>
            </w:r>
          </w:p>
        </w:tc>
        <w:tc>
          <w:tcPr>
            <w:tcW w:w="0" w:type="auto"/>
            <w:gridSpan w:val="3"/>
            <w:shd w:val="clear" w:color="auto" w:fill="auto"/>
            <w:tcMar>
              <w:top w:w="40" w:type="dxa"/>
              <w:left w:w="20" w:type="dxa"/>
              <w:bottom w:w="40" w:type="dxa"/>
              <w:right w:w="20" w:type="dxa"/>
            </w:tcMar>
            <w:vAlign w:val="bottom"/>
          </w:tcPr>
          <w:p w14:paraId="39D9A309" w14:textId="77777777" w:rsidR="00996AD7" w:rsidRDefault="00D96458">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vAlign w:val="bottom"/>
          </w:tcPr>
          <w:p w14:paraId="39D9A30A" w14:textId="77777777" w:rsidR="00996AD7" w:rsidRDefault="00D96458">
            <w:pPr>
              <w:textAlignment w:val="bottom"/>
            </w:pPr>
            <w:r>
              <w:rPr>
                <w:rFonts w:ascii="Arial" w:eastAsia="宋体" w:hAnsi="Arial" w:cs="Arial"/>
                <w:color w:val="262626"/>
                <w:sz w:val="18"/>
                <w:szCs w:val="18"/>
              </w:rPr>
              <w:t>By:</w:t>
            </w:r>
          </w:p>
        </w:tc>
        <w:tc>
          <w:tcPr>
            <w:tcW w:w="0" w:type="auto"/>
            <w:gridSpan w:val="3"/>
            <w:shd w:val="clear" w:color="auto" w:fill="auto"/>
            <w:tcMar>
              <w:top w:w="40" w:type="dxa"/>
              <w:left w:w="20" w:type="dxa"/>
              <w:bottom w:w="40" w:type="dxa"/>
              <w:right w:w="20" w:type="dxa"/>
            </w:tcMar>
            <w:vAlign w:val="bottom"/>
          </w:tcPr>
          <w:p w14:paraId="39D9A30B" w14:textId="77777777" w:rsidR="00996AD7" w:rsidRDefault="00D96458">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vAlign w:val="bottom"/>
          </w:tcPr>
          <w:p w14:paraId="39D9A30C" w14:textId="77777777" w:rsidR="00996AD7" w:rsidRDefault="00D96458">
            <w:pPr>
              <w:textAlignment w:val="bottom"/>
            </w:pPr>
            <w:r>
              <w:rPr>
                <w:rFonts w:ascii="Arial" w:eastAsia="宋体" w:hAnsi="Arial" w:cs="Arial"/>
                <w:color w:val="262626"/>
                <w:sz w:val="18"/>
                <w:szCs w:val="18"/>
              </w:rPr>
              <w:t>/s/ GEORGE S. DAVIS</w:t>
            </w:r>
          </w:p>
        </w:tc>
      </w:tr>
      <w:tr w:rsidR="00996AD7" w14:paraId="39D9A314" w14:textId="77777777">
        <w:tc>
          <w:tcPr>
            <w:tcW w:w="0" w:type="auto"/>
            <w:gridSpan w:val="3"/>
            <w:shd w:val="clear" w:color="auto" w:fill="auto"/>
            <w:tcMar>
              <w:top w:w="0" w:type="dxa"/>
              <w:left w:w="20" w:type="dxa"/>
              <w:bottom w:w="0" w:type="dxa"/>
              <w:right w:w="20" w:type="dxa"/>
            </w:tcMar>
            <w:vAlign w:val="bottom"/>
          </w:tcPr>
          <w:p w14:paraId="39D9A30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0F"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A310" w14:textId="77777777" w:rsidR="00996AD7" w:rsidRDefault="00D96458">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39D9A311"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39D9A312" w14:textId="77777777" w:rsidR="00996AD7" w:rsidRDefault="00D96458">
            <w:pPr>
              <w:textAlignment w:val="bottom"/>
            </w:pPr>
            <w:r>
              <w:rPr>
                <w:rFonts w:ascii="Arial" w:eastAsia="宋体" w:hAnsi="Arial" w:cs="Arial"/>
                <w:color w:val="262626"/>
                <w:sz w:val="18"/>
                <w:szCs w:val="18"/>
              </w:rPr>
              <w:t> </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39D9A313" w14:textId="77777777" w:rsidR="00996AD7" w:rsidRDefault="00D96458">
            <w:pPr>
              <w:textAlignment w:val="bottom"/>
            </w:pPr>
            <w:r>
              <w:rPr>
                <w:rFonts w:ascii="Arial" w:eastAsia="宋体" w:hAnsi="Arial" w:cs="Arial"/>
                <w:color w:val="262626"/>
                <w:sz w:val="18"/>
                <w:szCs w:val="18"/>
              </w:rPr>
              <w:t xml:space="preserve">George S. </w:t>
            </w:r>
            <w:r>
              <w:rPr>
                <w:rFonts w:ascii="Arial" w:eastAsia="宋体" w:hAnsi="Arial" w:cs="Arial"/>
                <w:color w:val="262626"/>
                <w:sz w:val="18"/>
                <w:szCs w:val="18"/>
              </w:rPr>
              <w:t>Davis</w:t>
            </w:r>
          </w:p>
        </w:tc>
      </w:tr>
      <w:tr w:rsidR="00996AD7" w14:paraId="39D9A31B" w14:textId="77777777">
        <w:tc>
          <w:tcPr>
            <w:tcW w:w="0" w:type="auto"/>
            <w:gridSpan w:val="3"/>
            <w:shd w:val="clear" w:color="auto" w:fill="auto"/>
            <w:tcMar>
              <w:top w:w="0" w:type="dxa"/>
              <w:left w:w="20" w:type="dxa"/>
              <w:bottom w:w="0" w:type="dxa"/>
              <w:right w:w="20" w:type="dxa"/>
            </w:tcMar>
            <w:vAlign w:val="bottom"/>
          </w:tcPr>
          <w:p w14:paraId="39D9A315"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16"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A317" w14:textId="77777777" w:rsidR="00996AD7" w:rsidRDefault="00D96458">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39D9A318"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A319" w14:textId="77777777" w:rsidR="00996AD7" w:rsidRDefault="00D96458">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tcPr>
          <w:p w14:paraId="39D9A31A" w14:textId="77777777" w:rsidR="00996AD7" w:rsidRDefault="00D96458">
            <w:pPr>
              <w:textAlignment w:val="top"/>
            </w:pPr>
            <w:r>
              <w:rPr>
                <w:rFonts w:ascii="Arial" w:eastAsia="宋体" w:hAnsi="Arial" w:cs="Arial"/>
                <w:color w:val="262626"/>
                <w:sz w:val="18"/>
                <w:szCs w:val="18"/>
              </w:rPr>
              <w:t>Executive Vice President, Chief Financial Officer and Principal Financial Officer</w:t>
            </w:r>
          </w:p>
        </w:tc>
      </w:tr>
      <w:tr w:rsidR="00996AD7" w14:paraId="39D9A322" w14:textId="77777777">
        <w:trPr>
          <w:trHeight w:val="480"/>
        </w:trPr>
        <w:tc>
          <w:tcPr>
            <w:tcW w:w="0" w:type="auto"/>
            <w:gridSpan w:val="3"/>
            <w:shd w:val="clear" w:color="auto" w:fill="auto"/>
            <w:tcMar>
              <w:top w:w="0" w:type="dxa"/>
              <w:left w:w="20" w:type="dxa"/>
              <w:bottom w:w="0" w:type="dxa"/>
              <w:right w:w="20" w:type="dxa"/>
            </w:tcMar>
            <w:vAlign w:val="bottom"/>
          </w:tcPr>
          <w:p w14:paraId="39D9A31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1D"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1E"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1F"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20"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21" w14:textId="77777777" w:rsidR="00996AD7" w:rsidRDefault="00996AD7">
            <w:pPr>
              <w:rPr>
                <w:rFonts w:ascii="宋体"/>
              </w:rPr>
            </w:pPr>
          </w:p>
        </w:tc>
      </w:tr>
      <w:tr w:rsidR="00996AD7" w14:paraId="39D9A329" w14:textId="77777777">
        <w:tc>
          <w:tcPr>
            <w:tcW w:w="0" w:type="auto"/>
            <w:gridSpan w:val="3"/>
            <w:shd w:val="clear" w:color="auto" w:fill="auto"/>
            <w:tcMar>
              <w:top w:w="40" w:type="dxa"/>
              <w:left w:w="20" w:type="dxa"/>
              <w:bottom w:w="40" w:type="dxa"/>
              <w:right w:w="20" w:type="dxa"/>
            </w:tcMar>
          </w:tcPr>
          <w:p w14:paraId="39D9A323" w14:textId="77777777" w:rsidR="00996AD7" w:rsidRDefault="00D96458">
            <w:pPr>
              <w:textAlignment w:val="top"/>
            </w:pPr>
            <w:r>
              <w:rPr>
                <w:rFonts w:ascii="Arial" w:eastAsia="宋体" w:hAnsi="Arial" w:cs="Arial"/>
                <w:color w:val="262626"/>
                <w:sz w:val="18"/>
                <w:szCs w:val="18"/>
              </w:rPr>
              <w:t>Date:</w:t>
            </w:r>
          </w:p>
        </w:tc>
        <w:tc>
          <w:tcPr>
            <w:tcW w:w="0" w:type="auto"/>
            <w:gridSpan w:val="3"/>
            <w:shd w:val="clear" w:color="auto" w:fill="auto"/>
            <w:tcMar>
              <w:top w:w="40" w:type="dxa"/>
              <w:left w:w="20" w:type="dxa"/>
              <w:bottom w:w="40" w:type="dxa"/>
              <w:right w:w="20" w:type="dxa"/>
            </w:tcMar>
            <w:vAlign w:val="bottom"/>
          </w:tcPr>
          <w:p w14:paraId="39D9A324" w14:textId="77777777" w:rsidR="00996AD7" w:rsidRDefault="00D96458">
            <w:pPr>
              <w:textAlignment w:val="bottom"/>
            </w:pPr>
            <w:r>
              <w:rPr>
                <w:rFonts w:ascii="Arial" w:eastAsia="宋体" w:hAnsi="Arial" w:cs="Arial"/>
                <w:color w:val="262626"/>
                <w:sz w:val="18"/>
                <w:szCs w:val="18"/>
              </w:rPr>
              <w:t>October 21, 2021</w:t>
            </w:r>
          </w:p>
        </w:tc>
        <w:tc>
          <w:tcPr>
            <w:tcW w:w="0" w:type="auto"/>
            <w:gridSpan w:val="3"/>
            <w:shd w:val="clear" w:color="auto" w:fill="auto"/>
            <w:tcMar>
              <w:top w:w="0" w:type="dxa"/>
              <w:left w:w="20" w:type="dxa"/>
              <w:bottom w:w="0" w:type="dxa"/>
              <w:right w:w="20" w:type="dxa"/>
            </w:tcMar>
            <w:vAlign w:val="bottom"/>
          </w:tcPr>
          <w:p w14:paraId="39D9A325"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A326" w14:textId="77777777" w:rsidR="00996AD7" w:rsidRDefault="00D96458">
            <w:pPr>
              <w:textAlignment w:val="bottom"/>
            </w:pPr>
            <w:r>
              <w:rPr>
                <w:rFonts w:ascii="Arial" w:eastAsia="宋体" w:hAnsi="Arial" w:cs="Arial"/>
                <w:color w:val="262626"/>
                <w:sz w:val="18"/>
                <w:szCs w:val="18"/>
              </w:rPr>
              <w:t>By:</w:t>
            </w:r>
          </w:p>
        </w:tc>
        <w:tc>
          <w:tcPr>
            <w:tcW w:w="0" w:type="auto"/>
            <w:gridSpan w:val="3"/>
            <w:shd w:val="clear" w:color="auto" w:fill="auto"/>
            <w:tcMar>
              <w:top w:w="0" w:type="dxa"/>
              <w:left w:w="20" w:type="dxa"/>
              <w:bottom w:w="0" w:type="dxa"/>
              <w:right w:w="20" w:type="dxa"/>
            </w:tcMar>
            <w:vAlign w:val="bottom"/>
          </w:tcPr>
          <w:p w14:paraId="39D9A327"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vAlign w:val="bottom"/>
          </w:tcPr>
          <w:p w14:paraId="39D9A328" w14:textId="77777777" w:rsidR="00996AD7" w:rsidRDefault="00D96458">
            <w:pPr>
              <w:textAlignment w:val="bottom"/>
            </w:pPr>
            <w:r>
              <w:rPr>
                <w:rFonts w:ascii="Arial" w:eastAsia="宋体" w:hAnsi="Arial" w:cs="Arial"/>
                <w:color w:val="262626"/>
                <w:sz w:val="18"/>
                <w:szCs w:val="18"/>
              </w:rPr>
              <w:t>/s/ KEVIN T. MCBRIDE</w:t>
            </w:r>
          </w:p>
        </w:tc>
      </w:tr>
      <w:tr w:rsidR="00996AD7" w14:paraId="39D9A330" w14:textId="77777777">
        <w:tc>
          <w:tcPr>
            <w:tcW w:w="0" w:type="auto"/>
            <w:gridSpan w:val="3"/>
            <w:shd w:val="clear" w:color="auto" w:fill="auto"/>
            <w:tcMar>
              <w:top w:w="0" w:type="dxa"/>
              <w:left w:w="20" w:type="dxa"/>
              <w:bottom w:w="0" w:type="dxa"/>
              <w:right w:w="20" w:type="dxa"/>
            </w:tcMar>
            <w:vAlign w:val="bottom"/>
          </w:tcPr>
          <w:p w14:paraId="39D9A32A"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2B"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2C"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2D" w14:textId="77777777" w:rsidR="00996AD7" w:rsidRDefault="00996AD7">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39D9A32E" w14:textId="77777777" w:rsidR="00996AD7" w:rsidRDefault="00996AD7">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39D9A32F" w14:textId="77777777" w:rsidR="00996AD7" w:rsidRDefault="00D96458">
            <w:pPr>
              <w:textAlignment w:val="bottom"/>
            </w:pPr>
            <w:r>
              <w:rPr>
                <w:rFonts w:ascii="Arial" w:eastAsia="宋体" w:hAnsi="Arial" w:cs="Arial"/>
                <w:color w:val="262626"/>
                <w:sz w:val="18"/>
                <w:szCs w:val="18"/>
              </w:rPr>
              <w:t>Kevin T. McBride</w:t>
            </w:r>
          </w:p>
        </w:tc>
      </w:tr>
      <w:tr w:rsidR="00996AD7" w14:paraId="39D9A337" w14:textId="77777777">
        <w:tc>
          <w:tcPr>
            <w:tcW w:w="0" w:type="auto"/>
            <w:gridSpan w:val="3"/>
            <w:shd w:val="clear" w:color="auto" w:fill="auto"/>
            <w:tcMar>
              <w:top w:w="0" w:type="dxa"/>
              <w:left w:w="20" w:type="dxa"/>
              <w:bottom w:w="0" w:type="dxa"/>
              <w:right w:w="20" w:type="dxa"/>
            </w:tcMar>
            <w:vAlign w:val="bottom"/>
          </w:tcPr>
          <w:p w14:paraId="39D9A331"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32"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33"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34" w14:textId="77777777" w:rsidR="00996AD7" w:rsidRDefault="00996AD7">
            <w:pPr>
              <w:rPr>
                <w:rFonts w:ascii="宋体"/>
              </w:rPr>
            </w:pPr>
          </w:p>
        </w:tc>
        <w:tc>
          <w:tcPr>
            <w:tcW w:w="0" w:type="auto"/>
            <w:gridSpan w:val="3"/>
            <w:shd w:val="clear" w:color="auto" w:fill="auto"/>
            <w:tcMar>
              <w:top w:w="0" w:type="dxa"/>
              <w:left w:w="20" w:type="dxa"/>
              <w:bottom w:w="0" w:type="dxa"/>
              <w:right w:w="20" w:type="dxa"/>
            </w:tcMar>
            <w:vAlign w:val="bottom"/>
          </w:tcPr>
          <w:p w14:paraId="39D9A335" w14:textId="77777777" w:rsidR="00996AD7" w:rsidRDefault="00996AD7">
            <w:pPr>
              <w:rPr>
                <w:rFonts w:ascii="宋体"/>
              </w:rPr>
            </w:pPr>
          </w:p>
        </w:tc>
        <w:tc>
          <w:tcPr>
            <w:tcW w:w="0" w:type="auto"/>
            <w:gridSpan w:val="3"/>
            <w:shd w:val="clear" w:color="auto" w:fill="auto"/>
            <w:tcMar>
              <w:top w:w="40" w:type="dxa"/>
              <w:left w:w="20" w:type="dxa"/>
              <w:bottom w:w="40" w:type="dxa"/>
              <w:right w:w="20" w:type="dxa"/>
            </w:tcMar>
          </w:tcPr>
          <w:p w14:paraId="39D9A336" w14:textId="77777777" w:rsidR="00996AD7" w:rsidRDefault="00D96458">
            <w:pPr>
              <w:textAlignment w:val="top"/>
            </w:pPr>
            <w:r>
              <w:rPr>
                <w:rFonts w:ascii="Arial" w:eastAsia="宋体" w:hAnsi="Arial" w:cs="Arial"/>
                <w:color w:val="262626"/>
                <w:sz w:val="18"/>
                <w:szCs w:val="18"/>
              </w:rPr>
              <w:t xml:space="preserve">Vice President of Finance, Corporate Controller and Principal </w:t>
            </w:r>
            <w:r>
              <w:rPr>
                <w:rFonts w:ascii="Arial" w:eastAsia="宋体" w:hAnsi="Arial" w:cs="Arial"/>
                <w:color w:val="262626"/>
                <w:sz w:val="18"/>
                <w:szCs w:val="18"/>
              </w:rPr>
              <w:t>Accounting Officer</w:t>
            </w:r>
          </w:p>
        </w:tc>
      </w:tr>
    </w:tbl>
    <w:p w14:paraId="39D9A338" w14:textId="77777777" w:rsidR="00996AD7" w:rsidRDefault="00996AD7">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996AD7" w14:paraId="39D9A342" w14:textId="77777777">
        <w:tc>
          <w:tcPr>
            <w:tcW w:w="50" w:type="pct"/>
            <w:shd w:val="clear" w:color="auto" w:fill="auto"/>
            <w:vAlign w:val="bottom"/>
          </w:tcPr>
          <w:p w14:paraId="39D9A339" w14:textId="77777777" w:rsidR="00996AD7" w:rsidRDefault="00996AD7">
            <w:pPr>
              <w:rPr>
                <w:rFonts w:ascii="宋体"/>
              </w:rPr>
            </w:pPr>
          </w:p>
        </w:tc>
        <w:tc>
          <w:tcPr>
            <w:tcW w:w="212" w:type="pct"/>
            <w:shd w:val="clear" w:color="auto" w:fill="auto"/>
            <w:vAlign w:val="bottom"/>
          </w:tcPr>
          <w:p w14:paraId="39D9A33A" w14:textId="77777777" w:rsidR="00996AD7" w:rsidRDefault="00996AD7">
            <w:pPr>
              <w:rPr>
                <w:rFonts w:ascii="宋体"/>
              </w:rPr>
            </w:pPr>
          </w:p>
        </w:tc>
        <w:tc>
          <w:tcPr>
            <w:tcW w:w="5" w:type="pct"/>
            <w:shd w:val="clear" w:color="auto" w:fill="auto"/>
            <w:vAlign w:val="bottom"/>
          </w:tcPr>
          <w:p w14:paraId="39D9A33B" w14:textId="77777777" w:rsidR="00996AD7" w:rsidRDefault="00996AD7">
            <w:pPr>
              <w:rPr>
                <w:rFonts w:ascii="宋体"/>
              </w:rPr>
            </w:pPr>
          </w:p>
        </w:tc>
        <w:tc>
          <w:tcPr>
            <w:tcW w:w="50" w:type="pct"/>
            <w:shd w:val="clear" w:color="auto" w:fill="auto"/>
            <w:vAlign w:val="bottom"/>
          </w:tcPr>
          <w:p w14:paraId="39D9A33C" w14:textId="77777777" w:rsidR="00996AD7" w:rsidRDefault="00996AD7">
            <w:pPr>
              <w:rPr>
                <w:rFonts w:ascii="宋体"/>
              </w:rPr>
            </w:pPr>
          </w:p>
        </w:tc>
        <w:tc>
          <w:tcPr>
            <w:tcW w:w="2492" w:type="pct"/>
            <w:shd w:val="clear" w:color="auto" w:fill="auto"/>
            <w:vAlign w:val="bottom"/>
          </w:tcPr>
          <w:p w14:paraId="39D9A33D" w14:textId="77777777" w:rsidR="00996AD7" w:rsidRDefault="00996AD7">
            <w:pPr>
              <w:rPr>
                <w:rFonts w:ascii="宋体"/>
              </w:rPr>
            </w:pPr>
          </w:p>
        </w:tc>
        <w:tc>
          <w:tcPr>
            <w:tcW w:w="5" w:type="pct"/>
            <w:shd w:val="clear" w:color="auto" w:fill="auto"/>
            <w:vAlign w:val="bottom"/>
          </w:tcPr>
          <w:p w14:paraId="39D9A33E" w14:textId="77777777" w:rsidR="00996AD7" w:rsidRDefault="00996AD7">
            <w:pPr>
              <w:rPr>
                <w:rFonts w:ascii="宋体"/>
              </w:rPr>
            </w:pPr>
          </w:p>
        </w:tc>
        <w:tc>
          <w:tcPr>
            <w:tcW w:w="50" w:type="pct"/>
            <w:shd w:val="clear" w:color="auto" w:fill="auto"/>
            <w:vAlign w:val="bottom"/>
          </w:tcPr>
          <w:p w14:paraId="39D9A33F" w14:textId="77777777" w:rsidR="00996AD7" w:rsidRDefault="00996AD7">
            <w:pPr>
              <w:rPr>
                <w:rFonts w:ascii="宋体"/>
              </w:rPr>
            </w:pPr>
          </w:p>
        </w:tc>
        <w:tc>
          <w:tcPr>
            <w:tcW w:w="2130" w:type="pct"/>
            <w:shd w:val="clear" w:color="auto" w:fill="auto"/>
            <w:vAlign w:val="bottom"/>
          </w:tcPr>
          <w:p w14:paraId="39D9A340" w14:textId="77777777" w:rsidR="00996AD7" w:rsidRDefault="00996AD7">
            <w:pPr>
              <w:rPr>
                <w:rFonts w:ascii="宋体"/>
              </w:rPr>
            </w:pPr>
          </w:p>
        </w:tc>
        <w:tc>
          <w:tcPr>
            <w:tcW w:w="5" w:type="pct"/>
            <w:shd w:val="clear" w:color="auto" w:fill="auto"/>
            <w:vAlign w:val="bottom"/>
          </w:tcPr>
          <w:p w14:paraId="39D9A341" w14:textId="77777777" w:rsidR="00996AD7" w:rsidRDefault="00996AD7">
            <w:pPr>
              <w:rPr>
                <w:rFonts w:ascii="宋体"/>
              </w:rPr>
            </w:pPr>
          </w:p>
        </w:tc>
      </w:tr>
      <w:tr w:rsidR="00996AD7" w14:paraId="39D9A34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A343" w14:textId="77777777" w:rsidR="00996AD7" w:rsidRDefault="00D964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Viewer5_files/intc-20210925_g2.jpg"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9D9A444" wp14:editId="39D9A445">
                  <wp:extent cx="304800" cy="304800"/>
                  <wp:effectExtent l="0" t="0" r="0" b="0"/>
                  <wp:docPr id="73" name="图片 150"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50"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39D9A344" w14:textId="77777777" w:rsidR="00996AD7" w:rsidRDefault="00996AD7">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39D9A345" w14:textId="77777777" w:rsidR="00996AD7" w:rsidRDefault="00D96458">
            <w:pPr>
              <w:jc w:val="right"/>
              <w:textAlignment w:val="center"/>
            </w:pPr>
            <w:r>
              <w:rPr>
                <w:rFonts w:ascii="Arial" w:eastAsia="宋体" w:hAnsi="Arial" w:cs="Arial"/>
                <w:color w:val="262626"/>
                <w:sz w:val="16"/>
                <w:szCs w:val="16"/>
              </w:rPr>
              <w:t>45</w:t>
            </w:r>
          </w:p>
        </w:tc>
      </w:tr>
    </w:tbl>
    <w:p w14:paraId="39D9A347" w14:textId="77777777" w:rsidR="00996AD7" w:rsidRDefault="00D9645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9D9A446" wp14:editId="39D9A447">
                <wp:extent cx="635" cy="0"/>
                <wp:effectExtent l="0" t="0" r="0" b="0"/>
                <wp:docPr id="68" name="矩形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545Uw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M545Uw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6AD7" w14:paraId="39D9A349" w14:textId="77777777">
        <w:trPr>
          <w:tblCellSpacing w:w="15" w:type="dxa"/>
        </w:trPr>
        <w:tc>
          <w:tcPr>
            <w:tcW w:w="0" w:type="auto"/>
            <w:shd w:val="clear" w:color="auto" w:fill="auto"/>
            <w:vAlign w:val="center"/>
          </w:tcPr>
          <w:p w14:paraId="39D9A348" w14:textId="77777777" w:rsidR="00996AD7" w:rsidRDefault="00996AD7">
            <w:pPr>
              <w:rPr>
                <w:rFonts w:ascii="宋体"/>
              </w:rPr>
            </w:pPr>
          </w:p>
        </w:tc>
      </w:tr>
    </w:tbl>
    <w:p w14:paraId="39D9A34A" w14:textId="77777777" w:rsidR="00996AD7" w:rsidRDefault="00996AD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6AD7" w14:paraId="39D9A34C" w14:textId="77777777">
        <w:trPr>
          <w:tblCellSpacing w:w="15" w:type="dxa"/>
        </w:trPr>
        <w:tc>
          <w:tcPr>
            <w:tcW w:w="0" w:type="auto"/>
            <w:shd w:val="clear" w:color="auto" w:fill="auto"/>
            <w:vAlign w:val="center"/>
          </w:tcPr>
          <w:p w14:paraId="39D9A34B" w14:textId="77777777" w:rsidR="00996AD7" w:rsidRDefault="00996AD7">
            <w:pPr>
              <w:rPr>
                <w:rFonts w:ascii="宋体"/>
              </w:rPr>
            </w:pPr>
          </w:p>
        </w:tc>
      </w:tr>
    </w:tbl>
    <w:p w14:paraId="39D9A34D" w14:textId="77777777" w:rsidR="00996AD7" w:rsidRDefault="00996AD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6AD7" w14:paraId="39D9A34F" w14:textId="77777777">
        <w:trPr>
          <w:tblCellSpacing w:w="15" w:type="dxa"/>
        </w:trPr>
        <w:tc>
          <w:tcPr>
            <w:tcW w:w="0" w:type="auto"/>
            <w:shd w:val="clear" w:color="auto" w:fill="auto"/>
            <w:vAlign w:val="center"/>
          </w:tcPr>
          <w:p w14:paraId="39D9A34E" w14:textId="77777777" w:rsidR="00996AD7" w:rsidRDefault="00996AD7">
            <w:pPr>
              <w:rPr>
                <w:rFonts w:ascii="宋体"/>
              </w:rPr>
            </w:pPr>
          </w:p>
        </w:tc>
      </w:tr>
    </w:tbl>
    <w:p w14:paraId="39D9A350" w14:textId="77777777" w:rsidR="00996AD7" w:rsidRDefault="00996AD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6AD7" w14:paraId="39D9A352" w14:textId="77777777">
        <w:trPr>
          <w:tblCellSpacing w:w="15" w:type="dxa"/>
        </w:trPr>
        <w:tc>
          <w:tcPr>
            <w:tcW w:w="0" w:type="auto"/>
            <w:shd w:val="clear" w:color="auto" w:fill="auto"/>
            <w:vAlign w:val="center"/>
          </w:tcPr>
          <w:p w14:paraId="39D9A351" w14:textId="77777777" w:rsidR="00996AD7" w:rsidRDefault="00996AD7">
            <w:pPr>
              <w:rPr>
                <w:rFonts w:ascii="宋体"/>
              </w:rPr>
            </w:pPr>
          </w:p>
        </w:tc>
      </w:tr>
    </w:tbl>
    <w:p w14:paraId="39D9A353" w14:textId="77777777" w:rsidR="00996AD7" w:rsidRDefault="00D96458">
      <w:r>
        <w:rPr>
          <w:rFonts w:ascii="宋体" w:eastAsia="宋体" w:hAnsi="宋体" w:cs="宋体"/>
        </w:rPr>
        <w:t xml:space="preserve">Previous Next </w:t>
      </w:r>
    </w:p>
    <w:p w14:paraId="39D9A354" w14:textId="77777777" w:rsidR="00996AD7" w:rsidRDefault="00D96458">
      <w:pPr>
        <w:pStyle w:val="a3"/>
      </w:pPr>
      <w:r>
        <w:t>Settings</w:t>
      </w:r>
    </w:p>
    <w:p w14:paraId="39D9A355" w14:textId="77777777" w:rsidR="00996AD7" w:rsidRDefault="00D96458">
      <w:pPr>
        <w:pStyle w:val="Style4"/>
      </w:pPr>
      <w:r>
        <w:t>窗体顶端</w:t>
      </w:r>
    </w:p>
    <w:p w14:paraId="39D9A356" w14:textId="77777777" w:rsidR="00996AD7" w:rsidRDefault="00D9645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9D9A448" wp14:editId="39D9A449">
                <wp:extent cx="635" cy="0"/>
                <wp:effectExtent l="0" t="0" r="0" b="0"/>
                <wp:docPr id="69" name="矩形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Ph1184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39D9A357" w14:textId="77777777" w:rsidR="00996AD7" w:rsidRDefault="00D9645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9D9A44A" wp14:editId="39D9A44B">
                <wp:extent cx="635" cy="0"/>
                <wp:effectExtent l="0" t="0" r="0" b="0"/>
                <wp:docPr id="63" name="矩形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e8qGg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n19y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PHvKho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39D9A358" w14:textId="77777777" w:rsidR="00996AD7" w:rsidRDefault="00D96458">
      <w:r>
        <w:pict w14:anchorId="39D9A44C">
          <v:rect id="_x0000_i1071" style="width:415.3pt;height:1.5pt" o:hralign="center" o:hrstd="t" o:hr="t" fillcolor="#a0a0a0" stroked="f"/>
        </w:pict>
      </w:r>
    </w:p>
    <w:p w14:paraId="39D9A359" w14:textId="77777777" w:rsidR="00996AD7" w:rsidRDefault="00D96458">
      <w:r>
        <w:rPr>
          <w:rFonts w:ascii="宋体" w:eastAsia="宋体" w:hAnsi="宋体" w:cs="宋体"/>
        </w:rPr>
        <w:t xml:space="preserve">Tagged Data </w:t>
      </w:r>
    </w:p>
    <w:p w14:paraId="39D9A35A" w14:textId="77777777" w:rsidR="00996AD7" w:rsidRDefault="00D96458">
      <w:r>
        <w:rPr>
          <w:rFonts w:ascii="monospace" w:eastAsia="monospace" w:hAnsi="monospace" w:cs="monospace"/>
          <w:noProof/>
        </w:rPr>
        <mc:AlternateContent>
          <mc:Choice Requires="wps">
            <w:drawing>
              <wp:inline distT="0" distB="0" distL="114300" distR="114300" wp14:anchorId="39D9A44D" wp14:editId="39D9A44E">
                <wp:extent cx="635" cy="0"/>
                <wp:effectExtent l="0" t="0" r="0" b="0"/>
                <wp:docPr id="70" name="矩形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iBDaw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PiBDawACAAAaBAAADgAAAAAAAAAB&#10;ACAAAAAzAQAAZHJzL2Uyb0RvYy54bWxQSwUGAAAAAAYABgBZAQAApQUAAAAA&#10;">
                <v:path/>
                <v:fill on="f" focussize="0,0"/>
                <v:stroke/>
                <v:imagedata o:title=""/>
                <o:lock v:ext="edit" aspectratio="t"/>
                <w10:wrap type="none"/>
                <w10:anchorlock/>
              </v:rect>
            </w:pict>
          </mc:Fallback>
        </mc:AlternateContent>
      </w:r>
    </w:p>
    <w:p w14:paraId="39D9A35B" w14:textId="77777777" w:rsidR="00996AD7" w:rsidRDefault="00D96458">
      <w:r>
        <w:rPr>
          <w:rFonts w:ascii="宋体" w:eastAsia="宋体" w:hAnsi="宋体" w:cs="宋体"/>
        </w:rPr>
        <w:t>Save</w:t>
      </w:r>
    </w:p>
    <w:p w14:paraId="39D9A35C" w14:textId="77777777" w:rsidR="00996AD7" w:rsidRDefault="00D96458">
      <w:r>
        <w:rPr>
          <w:rFonts w:ascii="宋体" w:eastAsia="宋体" w:hAnsi="宋体" w:cs="宋体"/>
        </w:rPr>
        <w:t>Reset</w:t>
      </w:r>
    </w:p>
    <w:p w14:paraId="39D9A35D" w14:textId="77777777" w:rsidR="00996AD7" w:rsidRDefault="00D96458">
      <w:r>
        <w:pict w14:anchorId="39D9A44F">
          <v:rect id="_x0000_i1072" style="width:415.3pt;height:1.5pt" o:hralign="center" o:hrstd="t" o:hr="t" fillcolor="#a0a0a0" stroked="f"/>
        </w:pict>
      </w:r>
    </w:p>
    <w:p w14:paraId="39D9A35E" w14:textId="77777777" w:rsidR="00996AD7" w:rsidRDefault="00D96458">
      <w:r>
        <w:rPr>
          <w:rFonts w:ascii="宋体" w:eastAsia="宋体" w:hAnsi="宋体" w:cs="宋体"/>
        </w:rPr>
        <w:t xml:space="preserve">Search Results </w:t>
      </w:r>
    </w:p>
    <w:p w14:paraId="39D9A35F" w14:textId="77777777" w:rsidR="00996AD7" w:rsidRDefault="00D96458">
      <w:r>
        <w:rPr>
          <w:rFonts w:ascii="monospace" w:eastAsia="monospace" w:hAnsi="monospace" w:cs="monospace"/>
          <w:noProof/>
        </w:rPr>
        <mc:AlternateContent>
          <mc:Choice Requires="wps">
            <w:drawing>
              <wp:inline distT="0" distB="0" distL="114300" distR="114300" wp14:anchorId="39D9A450" wp14:editId="39D9A451">
                <wp:extent cx="635" cy="0"/>
                <wp:effectExtent l="0" t="0" r="0" b="0"/>
                <wp:docPr id="79" name="矩形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CuA/MIBAgAAGgQAAA4AAAAAAAAA&#10;AQAgAAAAMwEAAGRycy9lMm9Eb2MueG1sUEsFBgAAAAAGAAYAWQEAAKYFAAAAAA==&#10;">
                <v:path/>
                <v:fill on="f" focussize="0,0"/>
                <v:stroke/>
                <v:imagedata o:title=""/>
                <o:lock v:ext="edit" aspectratio="t"/>
                <w10:wrap type="none"/>
                <w10:anchorlock/>
              </v:rect>
            </w:pict>
          </mc:Fallback>
        </mc:AlternateContent>
      </w:r>
    </w:p>
    <w:p w14:paraId="39D9A360" w14:textId="77777777" w:rsidR="00996AD7" w:rsidRDefault="00D96458">
      <w:r>
        <w:rPr>
          <w:rFonts w:ascii="宋体" w:eastAsia="宋体" w:hAnsi="宋体" w:cs="宋体"/>
        </w:rPr>
        <w:t>Save</w:t>
      </w:r>
    </w:p>
    <w:p w14:paraId="39D9A361" w14:textId="77777777" w:rsidR="00996AD7" w:rsidRDefault="00D96458">
      <w:r>
        <w:rPr>
          <w:rFonts w:ascii="宋体" w:eastAsia="宋体" w:hAnsi="宋体" w:cs="宋体"/>
        </w:rPr>
        <w:t>Reset</w:t>
      </w:r>
    </w:p>
    <w:p w14:paraId="39D9A362" w14:textId="77777777" w:rsidR="00996AD7" w:rsidRDefault="00D96458">
      <w:r>
        <w:pict w14:anchorId="39D9A452">
          <v:rect id="_x0000_i1073" style="width:415.3pt;height:1.5pt" o:hralign="center" o:hrstd="t" o:hr="t" fillcolor="#a0a0a0" stroked="f"/>
        </w:pict>
      </w:r>
    </w:p>
    <w:p w14:paraId="39D9A363" w14:textId="77777777" w:rsidR="00996AD7" w:rsidRDefault="00D96458">
      <w:r>
        <w:rPr>
          <w:rFonts w:ascii="宋体" w:eastAsia="宋体" w:hAnsi="宋体" w:cs="宋体"/>
        </w:rPr>
        <w:t xml:space="preserve">Selected Fact </w:t>
      </w:r>
    </w:p>
    <w:p w14:paraId="39D9A364" w14:textId="77777777" w:rsidR="00996AD7" w:rsidRDefault="00D96458">
      <w:r>
        <w:rPr>
          <w:rFonts w:ascii="monospace" w:eastAsia="monospace" w:hAnsi="monospace" w:cs="monospace"/>
          <w:noProof/>
        </w:rPr>
        <mc:AlternateContent>
          <mc:Choice Requires="wps">
            <w:drawing>
              <wp:inline distT="0" distB="0" distL="114300" distR="114300" wp14:anchorId="39D9A453" wp14:editId="39D9A454">
                <wp:extent cx="635" cy="0"/>
                <wp:effectExtent l="0" t="0" r="0" b="0"/>
                <wp:docPr id="77" name="矩形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M2/KQwBAgAAGgQAAA4AAAAAAAAA&#10;AQAgAAAAMwEAAGRycy9lMm9Eb2MueG1sUEsFBgAAAAAGAAYAWQEAAKYFAAAAAA==&#10;">
                <v:path/>
                <v:fill on="f" focussize="0,0"/>
                <v:stroke/>
                <v:imagedata o:title=""/>
                <o:lock v:ext="edit" aspectratio="t"/>
                <w10:wrap type="none"/>
                <w10:anchorlock/>
              </v:rect>
            </w:pict>
          </mc:Fallback>
        </mc:AlternateContent>
      </w:r>
    </w:p>
    <w:p w14:paraId="39D9A365" w14:textId="77777777" w:rsidR="00996AD7" w:rsidRDefault="00D96458">
      <w:r>
        <w:rPr>
          <w:rFonts w:ascii="宋体" w:eastAsia="宋体" w:hAnsi="宋体" w:cs="宋体"/>
        </w:rPr>
        <w:t>Save</w:t>
      </w:r>
    </w:p>
    <w:p w14:paraId="39D9A366" w14:textId="77777777" w:rsidR="00996AD7" w:rsidRDefault="00D96458">
      <w:r>
        <w:rPr>
          <w:rFonts w:ascii="宋体" w:eastAsia="宋体" w:hAnsi="宋体" w:cs="宋体"/>
        </w:rPr>
        <w:t>Reset</w:t>
      </w:r>
    </w:p>
    <w:p w14:paraId="39D9A367" w14:textId="77777777" w:rsidR="00996AD7" w:rsidRDefault="00D96458">
      <w:r>
        <w:pict w14:anchorId="39D9A455">
          <v:rect id="_x0000_i1074" style="width:415.3pt;height:1.5pt" o:hralign="center" o:hrstd="t" o:hr="t" fillcolor="#a0a0a0" stroked="f"/>
        </w:pict>
      </w:r>
    </w:p>
    <w:p w14:paraId="39D9A368" w14:textId="77777777" w:rsidR="00996AD7" w:rsidRDefault="00D96458">
      <w:r>
        <w:rPr>
          <w:rFonts w:ascii="宋体" w:eastAsia="宋体" w:hAnsi="宋体" w:cs="宋体"/>
        </w:rPr>
        <w:t xml:space="preserve">Tag Shading (hover) </w:t>
      </w:r>
    </w:p>
    <w:p w14:paraId="39D9A369" w14:textId="77777777" w:rsidR="00996AD7" w:rsidRDefault="00D96458">
      <w:r>
        <w:rPr>
          <w:rFonts w:ascii="monospace" w:eastAsia="monospace" w:hAnsi="monospace" w:cs="monospace"/>
          <w:noProof/>
        </w:rPr>
        <mc:AlternateContent>
          <mc:Choice Requires="wps">
            <w:drawing>
              <wp:inline distT="0" distB="0" distL="114300" distR="114300" wp14:anchorId="39D9A456" wp14:editId="39D9A457">
                <wp:extent cx="635" cy="0"/>
                <wp:effectExtent l="0" t="0" r="0" b="0"/>
                <wp:docPr id="60" name="矩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dVoZw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5MkDixN/M/3n79//WDkIHWGgDUF3Ye7mPlhuPXiAZnz1z24Tn3AQBrTHuXY6klwPuAhbddG&#10;m9OJMNsV9fcn9dUuMUHO+dtLzsTRX0F9TAoR0yflLctGwyMVLFrD9hZTLgv1MSTXcP5GG1MGaxwb&#10;Gv7+cp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dVoZwACAAAaBAAADgAAAAAAAAAB&#10;ACAAAAAzAQAAZHJzL2Uyb0RvYy54bWxQSwUGAAAAAAYABgBZAQAApQUAAAAA&#10;">
                <v:path/>
                <v:fill on="f" focussize="0,0"/>
                <v:stroke/>
                <v:imagedata o:title=""/>
                <o:lock v:ext="edit" aspectratio="t"/>
                <w10:wrap type="none"/>
                <w10:anchorlock/>
              </v:rect>
            </w:pict>
          </mc:Fallback>
        </mc:AlternateContent>
      </w:r>
    </w:p>
    <w:p w14:paraId="39D9A36A" w14:textId="77777777" w:rsidR="00996AD7" w:rsidRDefault="00D96458">
      <w:r>
        <w:rPr>
          <w:rFonts w:ascii="宋体" w:eastAsia="宋体" w:hAnsi="宋体" w:cs="宋体"/>
        </w:rPr>
        <w:t>Save</w:t>
      </w:r>
    </w:p>
    <w:p w14:paraId="39D9A36B" w14:textId="77777777" w:rsidR="00996AD7" w:rsidRDefault="00D96458">
      <w:r>
        <w:rPr>
          <w:rFonts w:ascii="宋体" w:eastAsia="宋体" w:hAnsi="宋体" w:cs="宋体"/>
        </w:rPr>
        <w:t>Reset</w:t>
      </w:r>
    </w:p>
    <w:p w14:paraId="39D9A36C" w14:textId="77777777" w:rsidR="00996AD7" w:rsidRDefault="00D96458">
      <w:pPr>
        <w:pStyle w:val="Style5"/>
      </w:pPr>
      <w:r>
        <w:t>窗体底端</w:t>
      </w:r>
    </w:p>
    <w:p w14:paraId="39D9A36D" w14:textId="77777777" w:rsidR="00996AD7" w:rsidRDefault="00D9645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9D9A458" wp14:editId="39D9A459">
                <wp:extent cx="635" cy="0"/>
                <wp:effectExtent l="0" t="0" r="0" b="0"/>
                <wp:docPr id="61" name="矩形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j6G+g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6AD7" w14:paraId="39D9A36F" w14:textId="77777777">
        <w:trPr>
          <w:tblCellSpacing w:w="15" w:type="dxa"/>
        </w:trPr>
        <w:tc>
          <w:tcPr>
            <w:tcW w:w="0" w:type="auto"/>
            <w:shd w:val="clear" w:color="auto" w:fill="auto"/>
            <w:vAlign w:val="center"/>
          </w:tcPr>
          <w:p w14:paraId="39D9A36E" w14:textId="77777777" w:rsidR="00996AD7" w:rsidRDefault="00996AD7">
            <w:pPr>
              <w:rPr>
                <w:rFonts w:ascii="宋体"/>
              </w:rPr>
            </w:pPr>
          </w:p>
        </w:tc>
      </w:tr>
    </w:tbl>
    <w:p w14:paraId="39D9A370" w14:textId="77777777" w:rsidR="00996AD7" w:rsidRDefault="00996AD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6AD7" w14:paraId="39D9A372" w14:textId="77777777">
        <w:trPr>
          <w:tblCellSpacing w:w="15" w:type="dxa"/>
        </w:trPr>
        <w:tc>
          <w:tcPr>
            <w:tcW w:w="0" w:type="auto"/>
            <w:shd w:val="clear" w:color="auto" w:fill="auto"/>
            <w:vAlign w:val="center"/>
          </w:tcPr>
          <w:p w14:paraId="39D9A371" w14:textId="77777777" w:rsidR="00996AD7" w:rsidRDefault="00996AD7">
            <w:pPr>
              <w:rPr>
                <w:rFonts w:ascii="宋体"/>
              </w:rPr>
            </w:pPr>
          </w:p>
        </w:tc>
      </w:tr>
    </w:tbl>
    <w:p w14:paraId="39D9A373" w14:textId="77777777" w:rsidR="00996AD7" w:rsidRDefault="00996AD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6AD7" w14:paraId="39D9A375" w14:textId="77777777">
        <w:trPr>
          <w:tblCellSpacing w:w="15" w:type="dxa"/>
        </w:trPr>
        <w:tc>
          <w:tcPr>
            <w:tcW w:w="0" w:type="auto"/>
            <w:shd w:val="clear" w:color="auto" w:fill="auto"/>
            <w:vAlign w:val="center"/>
          </w:tcPr>
          <w:p w14:paraId="39D9A374" w14:textId="77777777" w:rsidR="00996AD7" w:rsidRDefault="00996AD7">
            <w:pPr>
              <w:rPr>
                <w:rFonts w:ascii="宋体"/>
              </w:rPr>
            </w:pPr>
          </w:p>
        </w:tc>
      </w:tr>
    </w:tbl>
    <w:p w14:paraId="39D9A376" w14:textId="77777777" w:rsidR="00996AD7" w:rsidRDefault="00996AD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6AD7" w14:paraId="39D9A378" w14:textId="77777777">
        <w:trPr>
          <w:tblCellSpacing w:w="15" w:type="dxa"/>
        </w:trPr>
        <w:tc>
          <w:tcPr>
            <w:tcW w:w="0" w:type="auto"/>
            <w:shd w:val="clear" w:color="auto" w:fill="auto"/>
            <w:vAlign w:val="center"/>
          </w:tcPr>
          <w:p w14:paraId="39D9A377" w14:textId="77777777" w:rsidR="00996AD7" w:rsidRDefault="00996AD7">
            <w:pPr>
              <w:rPr>
                <w:rFonts w:ascii="宋体"/>
              </w:rPr>
            </w:pPr>
          </w:p>
        </w:tc>
      </w:tr>
    </w:tbl>
    <w:p w14:paraId="39D9A379" w14:textId="77777777" w:rsidR="00996AD7" w:rsidRDefault="00D96458">
      <w:r>
        <w:rPr>
          <w:rFonts w:ascii="宋体" w:eastAsia="宋体" w:hAnsi="宋体" w:cs="宋体"/>
        </w:rPr>
        <w:t xml:space="preserve">Previous Next </w:t>
      </w:r>
    </w:p>
    <w:p w14:paraId="39D9A37A" w14:textId="77777777" w:rsidR="00996AD7" w:rsidRDefault="00D96458">
      <w:pPr>
        <w:pStyle w:val="a3"/>
      </w:pPr>
      <w:r>
        <w:t xml:space="preserve">Nested Facts / </w:t>
      </w:r>
    </w:p>
    <w:p w14:paraId="39D9A37B" w14:textId="77777777" w:rsidR="00996AD7" w:rsidRDefault="00D96458">
      <w:r>
        <w:rPr>
          <w:rFonts w:ascii="宋体" w:eastAsia="宋体" w:hAnsi="宋体" w:cs="宋体"/>
        </w:rPr>
        <w:t xml:space="preserve">Previous Next </w:t>
      </w:r>
    </w:p>
    <w:p w14:paraId="39D9A37C" w14:textId="77777777" w:rsidR="00996AD7" w:rsidRDefault="00D9645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9D9A45A" wp14:editId="39D9A45B">
                <wp:extent cx="635" cy="0"/>
                <wp:effectExtent l="0" t="0" r="0" b="0"/>
                <wp:docPr id="62" name="矩形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gTEhw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84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DoExIc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6AD7" w14:paraId="39D9A37E" w14:textId="77777777">
        <w:trPr>
          <w:tblCellSpacing w:w="15" w:type="dxa"/>
        </w:trPr>
        <w:tc>
          <w:tcPr>
            <w:tcW w:w="0" w:type="auto"/>
            <w:shd w:val="clear" w:color="auto" w:fill="auto"/>
            <w:vAlign w:val="center"/>
          </w:tcPr>
          <w:p w14:paraId="39D9A37D" w14:textId="77777777" w:rsidR="00996AD7" w:rsidRDefault="00996AD7">
            <w:pPr>
              <w:rPr>
                <w:rFonts w:ascii="宋体"/>
              </w:rPr>
            </w:pPr>
          </w:p>
        </w:tc>
      </w:tr>
    </w:tbl>
    <w:p w14:paraId="39D9A37F" w14:textId="77777777" w:rsidR="00996AD7" w:rsidRDefault="00996AD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6AD7" w14:paraId="39D9A381" w14:textId="77777777">
        <w:trPr>
          <w:tblCellSpacing w:w="15" w:type="dxa"/>
        </w:trPr>
        <w:tc>
          <w:tcPr>
            <w:tcW w:w="0" w:type="auto"/>
            <w:shd w:val="clear" w:color="auto" w:fill="auto"/>
            <w:vAlign w:val="center"/>
          </w:tcPr>
          <w:p w14:paraId="39D9A380" w14:textId="77777777" w:rsidR="00996AD7" w:rsidRDefault="00996AD7">
            <w:pPr>
              <w:rPr>
                <w:rFonts w:ascii="宋体"/>
              </w:rPr>
            </w:pPr>
          </w:p>
        </w:tc>
      </w:tr>
    </w:tbl>
    <w:p w14:paraId="39D9A382" w14:textId="77777777" w:rsidR="00996AD7" w:rsidRDefault="00996AD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6AD7" w14:paraId="39D9A384" w14:textId="77777777">
        <w:trPr>
          <w:tblCellSpacing w:w="15" w:type="dxa"/>
        </w:trPr>
        <w:tc>
          <w:tcPr>
            <w:tcW w:w="0" w:type="auto"/>
            <w:shd w:val="clear" w:color="auto" w:fill="auto"/>
            <w:vAlign w:val="center"/>
          </w:tcPr>
          <w:p w14:paraId="39D9A383" w14:textId="77777777" w:rsidR="00996AD7" w:rsidRDefault="00996AD7">
            <w:pPr>
              <w:rPr>
                <w:rFonts w:ascii="宋体"/>
              </w:rPr>
            </w:pPr>
          </w:p>
        </w:tc>
      </w:tr>
    </w:tbl>
    <w:p w14:paraId="39D9A385" w14:textId="77777777" w:rsidR="00996AD7" w:rsidRDefault="00996AD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6AD7" w14:paraId="39D9A387" w14:textId="77777777">
        <w:trPr>
          <w:tblCellSpacing w:w="15" w:type="dxa"/>
        </w:trPr>
        <w:tc>
          <w:tcPr>
            <w:tcW w:w="0" w:type="auto"/>
            <w:shd w:val="clear" w:color="auto" w:fill="auto"/>
            <w:vAlign w:val="center"/>
          </w:tcPr>
          <w:p w14:paraId="39D9A386" w14:textId="77777777" w:rsidR="00996AD7" w:rsidRDefault="00996AD7">
            <w:pPr>
              <w:rPr>
                <w:rFonts w:ascii="宋体"/>
              </w:rPr>
            </w:pPr>
          </w:p>
        </w:tc>
      </w:tr>
    </w:tbl>
    <w:p w14:paraId="39D9A388" w14:textId="77777777" w:rsidR="00996AD7" w:rsidRDefault="00D96458">
      <w:r>
        <w:rPr>
          <w:rFonts w:ascii="宋体" w:eastAsia="宋体" w:hAnsi="宋体" w:cs="宋体"/>
        </w:rPr>
        <w:t xml:space="preserve">Previous Next </w:t>
      </w:r>
    </w:p>
    <w:p w14:paraId="39D9A389" w14:textId="77777777" w:rsidR="00996AD7" w:rsidRDefault="00996AD7"/>
    <w:sectPr w:rsidR="00996AD7">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7CD9A" w14:textId="77777777" w:rsidR="00D96458" w:rsidRDefault="00D96458" w:rsidP="00D96458">
      <w:r>
        <w:separator/>
      </w:r>
    </w:p>
  </w:endnote>
  <w:endnote w:type="continuationSeparator" w:id="0">
    <w:p w14:paraId="0FD1D278" w14:textId="77777777" w:rsidR="00D96458" w:rsidRDefault="00D96458" w:rsidP="00D9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4D88B" w14:textId="77777777" w:rsidR="00D96458" w:rsidRDefault="00D96458" w:rsidP="00D96458">
      <w:r>
        <w:separator/>
      </w:r>
    </w:p>
  </w:footnote>
  <w:footnote w:type="continuationSeparator" w:id="0">
    <w:p w14:paraId="7197EDA3" w14:textId="77777777" w:rsidR="00D96458" w:rsidRDefault="00D96458" w:rsidP="00D964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5F7166"/>
    <w:rsid w:val="00996AD7"/>
    <w:rsid w:val="00D96458"/>
    <w:rsid w:val="435F7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96F94"/>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D964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96458"/>
    <w:rPr>
      <w:rFonts w:asciiTheme="minorEastAsia" w:hAnsiTheme="minorEastAsia" w:cs="Times New Roman"/>
      <w:sz w:val="18"/>
      <w:szCs w:val="18"/>
    </w:rPr>
  </w:style>
  <w:style w:type="paragraph" w:styleId="a8">
    <w:name w:val="footer"/>
    <w:basedOn w:val="a"/>
    <w:link w:val="a9"/>
    <w:rsid w:val="00D96458"/>
    <w:pPr>
      <w:tabs>
        <w:tab w:val="center" w:pos="4153"/>
        <w:tab w:val="right" w:pos="8306"/>
      </w:tabs>
      <w:snapToGrid w:val="0"/>
    </w:pPr>
    <w:rPr>
      <w:sz w:val="18"/>
      <w:szCs w:val="18"/>
    </w:rPr>
  </w:style>
  <w:style w:type="character" w:customStyle="1" w:styleId="a9">
    <w:name w:val="页脚 字符"/>
    <w:basedOn w:val="a0"/>
    <w:link w:val="a8"/>
    <w:rsid w:val="00D9645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050863/000005086321000038/intc-20210925.htm" TargetMode="External"/><Relationship Id="rId21" Type="http://schemas.openxmlformats.org/officeDocument/2006/relationships/hyperlink" Target="https://www.sec.gov/ix?doc=/Archives/edgar/data/0000050863/000005086321000038/intc-20210925.htm" TargetMode="External"/><Relationship Id="rId42" Type="http://schemas.openxmlformats.org/officeDocument/2006/relationships/hyperlink" Target="https://www.sec.gov/ix?doc=/Archives/edgar/data/0000050863/000005086321000038/intc-20210925.htm" TargetMode="External"/><Relationship Id="rId47" Type="http://schemas.openxmlformats.org/officeDocument/2006/relationships/hyperlink" Target="https://www.sec.gov/ix?doc=/Archives/edgar/data/0000050863/000005086321000038/intc-20210925.htm" TargetMode="External"/><Relationship Id="rId63" Type="http://schemas.openxmlformats.org/officeDocument/2006/relationships/hyperlink" Target="https://www.sec.gov/ix?doc=/Archives/edgar/data/0000050863/000005086321000038/intc-20210925.htm" TargetMode="External"/><Relationship Id="rId68" Type="http://schemas.openxmlformats.org/officeDocument/2006/relationships/hyperlink" Target="https://www.sec.gov/ix?doc=/Archives/edgar/data/0000050863/000005086321000038/intc-20210925.htm" TargetMode="External"/><Relationship Id="rId84" Type="http://schemas.openxmlformats.org/officeDocument/2006/relationships/hyperlink" Target="https://www.sec.gov/ix?doc=/Archives/edgar/data/0000050863/000005086321000038/intc-20210925.htm" TargetMode="External"/><Relationship Id="rId89" Type="http://schemas.openxmlformats.org/officeDocument/2006/relationships/hyperlink" Target="https://www.sec.gov/ix?doc=/Archives/edgar/data/0000050863/000005086321000038/intc-20210925.htm" TargetMode="External"/><Relationship Id="rId16" Type="http://schemas.openxmlformats.org/officeDocument/2006/relationships/hyperlink" Target="https://www.sec.gov/ix?doc=/Archives/edgar/data/0000050863/000005086321000038/intc-20210925.htm" TargetMode="External"/><Relationship Id="rId11" Type="http://schemas.openxmlformats.org/officeDocument/2006/relationships/hyperlink" Target="https://www.sec.gov/ix?doc=/Archives/edgar/data/0000050863/000005086321000038/intc-20210925.htm" TargetMode="External"/><Relationship Id="rId32" Type="http://schemas.openxmlformats.org/officeDocument/2006/relationships/hyperlink" Target="https://www.sec.gov/ix?doc=/Archives/edgar/data/0000050863/000005086321000038/intc-20210925.htm" TargetMode="External"/><Relationship Id="rId37" Type="http://schemas.openxmlformats.org/officeDocument/2006/relationships/hyperlink" Target="https://www.sec.gov/ix?doc=/Archives/edgar/data/0000050863/000005086321000038/intc-20210925.htm" TargetMode="External"/><Relationship Id="rId53" Type="http://schemas.openxmlformats.org/officeDocument/2006/relationships/hyperlink" Target="https://www.sec.gov/ix?doc=/Archives/edgar/data/0000050863/000005086321000038/intc-20210925.htm" TargetMode="External"/><Relationship Id="rId58" Type="http://schemas.openxmlformats.org/officeDocument/2006/relationships/hyperlink" Target="https://www.sec.gov/ix?doc=/Archives/edgar/data/0000050863/000005086321000038/intc-20210925.htm" TargetMode="External"/><Relationship Id="rId74" Type="http://schemas.openxmlformats.org/officeDocument/2006/relationships/hyperlink" Target="https://www.sec.gov/Archives/edgar/data/0000050863/000005086321000038/a9252021ex311.htm" TargetMode="External"/><Relationship Id="rId79" Type="http://schemas.openxmlformats.org/officeDocument/2006/relationships/hyperlink" Target="https://www.sec.gov/ix?doc=/Archives/edgar/data/0000050863/000005086321000038/intc-20210925.htm" TargetMode="External"/><Relationship Id="rId5" Type="http://schemas.openxmlformats.org/officeDocument/2006/relationships/endnotes" Target="endnotes.xml"/><Relationship Id="rId90" Type="http://schemas.openxmlformats.org/officeDocument/2006/relationships/hyperlink" Target="https://www.sec.gov/ix?doc=/Archives/edgar/data/0000050863/000005086321000038/intc-20210925.htm" TargetMode="External"/><Relationship Id="rId95" Type="http://schemas.openxmlformats.org/officeDocument/2006/relationships/hyperlink" Target="https://www.sec.gov/ix?doc=/Archives/edgar/data/0000050863/000005086321000038/intc-20210925.htm" TargetMode="External"/><Relationship Id="rId22" Type="http://schemas.openxmlformats.org/officeDocument/2006/relationships/hyperlink" Target="https://www.sec.gov/ix?doc=/Archives/edgar/data/0000050863/000005086321000038/intc-20210925.htm" TargetMode="External"/><Relationship Id="rId27" Type="http://schemas.openxmlformats.org/officeDocument/2006/relationships/hyperlink" Target="https://www.sec.gov/ix?doc=/Archives/edgar/data/0000050863/000005086321000038/intc-20210925.htm" TargetMode="External"/><Relationship Id="rId43" Type="http://schemas.openxmlformats.org/officeDocument/2006/relationships/hyperlink" Target="https://www.sec.gov/ix?doc=/Archives/edgar/data/0000050863/000005086321000038/intc-20210925.htm" TargetMode="External"/><Relationship Id="rId48" Type="http://schemas.openxmlformats.org/officeDocument/2006/relationships/hyperlink" Target="https://www.sec.gov/ix?doc=/Archives/edgar/data/0000050863/000005086321000038/intc-20210925.htm" TargetMode="External"/><Relationship Id="rId64" Type="http://schemas.openxmlformats.org/officeDocument/2006/relationships/hyperlink" Target="https://www.sec.gov/ix?doc=/Archives/edgar/data/0000050863/000005086321000038/intc-20210925.htm" TargetMode="External"/><Relationship Id="rId69" Type="http://schemas.openxmlformats.org/officeDocument/2006/relationships/hyperlink" Target="https://www.sec.gov/ix?doc=/Archives/edgar/data/0000050863/000005086321000038/intc-20210925.htm" TargetMode="External"/><Relationship Id="rId80" Type="http://schemas.openxmlformats.org/officeDocument/2006/relationships/hyperlink" Target="https://www.sec.gov/ix?doc=/Archives/edgar/data/0000050863/000005086321000038/intc-20210925.htm" TargetMode="External"/><Relationship Id="rId85" Type="http://schemas.openxmlformats.org/officeDocument/2006/relationships/hyperlink" Target="https://www.sec.gov/ix?doc=/Archives/edgar/data/0000050863/000005086321000038/intc-20210925.htm" TargetMode="External"/><Relationship Id="rId3" Type="http://schemas.openxmlformats.org/officeDocument/2006/relationships/webSettings" Target="webSettings.xml"/><Relationship Id="rId12" Type="http://schemas.openxmlformats.org/officeDocument/2006/relationships/hyperlink" Target="https://www.sec.gov/ix?doc=/Archives/edgar/data/0000050863/000005086321000038/intc-20210925.htm" TargetMode="External"/><Relationship Id="rId17" Type="http://schemas.openxmlformats.org/officeDocument/2006/relationships/hyperlink" Target="https://www.sec.gov/ix?doc=/Archives/edgar/data/0000050863/000005086321000038/intc-20210925.htm" TargetMode="External"/><Relationship Id="rId25" Type="http://schemas.openxmlformats.org/officeDocument/2006/relationships/hyperlink" Target="https://www.sec.gov/ix?doc=/Archives/edgar/data/0000050863/000005086321000038/intc-20210925.htm" TargetMode="External"/><Relationship Id="rId33" Type="http://schemas.openxmlformats.org/officeDocument/2006/relationships/hyperlink" Target="https://www.sec.gov/ix?doc=/Archives/edgar/data/0000050863/000005086321000038/intc-20210925.htm" TargetMode="External"/><Relationship Id="rId38" Type="http://schemas.openxmlformats.org/officeDocument/2006/relationships/hyperlink" Target="https://www.sec.gov/ix?doc=/Archives/edgar/data/0000050863/000005086321000038/intc-20210925.htm" TargetMode="External"/><Relationship Id="rId46" Type="http://schemas.openxmlformats.org/officeDocument/2006/relationships/hyperlink" Target="https://www.sec.gov/ix?doc=/Archives/edgar/data/0000050863/000005086321000038/intc-20210925.htm" TargetMode="External"/><Relationship Id="rId59" Type="http://schemas.openxmlformats.org/officeDocument/2006/relationships/hyperlink" Target="https://www.sec.gov/ix?doc=/Archives/edgar/data/0000050863/000005086321000038/intc-20210925.htm" TargetMode="External"/><Relationship Id="rId67" Type="http://schemas.openxmlformats.org/officeDocument/2006/relationships/hyperlink" Target="https://www.sec.gov/ix?doc=/Archives/edgar/data/0000050863/000005086321000038/intc-20210925.htm" TargetMode="External"/><Relationship Id="rId20" Type="http://schemas.openxmlformats.org/officeDocument/2006/relationships/hyperlink" Target="https://www.sec.gov/ix?doc=/Archives/edgar/data/0000050863/000005086321000038/intc-20210925.htm" TargetMode="External"/><Relationship Id="rId41" Type="http://schemas.openxmlformats.org/officeDocument/2006/relationships/hyperlink" Target="https://www.sec.gov/ix?doc=/Archives/edgar/data/0000050863/000005086321000038/intc-20210925.htm" TargetMode="External"/><Relationship Id="rId54" Type="http://schemas.openxmlformats.org/officeDocument/2006/relationships/hyperlink" Target="https://www.sec.gov/ix?doc=/Archives/edgar/data/0000050863/000005086321000038/intc-20210925.htm" TargetMode="External"/><Relationship Id="rId62" Type="http://schemas.openxmlformats.org/officeDocument/2006/relationships/hyperlink" Target="https://www.sec.gov/ix?doc=/Archives/edgar/data/0000050863/000005086321000038/intc-20210925.htm" TargetMode="External"/><Relationship Id="rId70" Type="http://schemas.openxmlformats.org/officeDocument/2006/relationships/hyperlink" Target="http://www.sec.gov/Archives/edgar/data/50863/000005086306000102/edgar8kex3.txt" TargetMode="External"/><Relationship Id="rId75" Type="http://schemas.openxmlformats.org/officeDocument/2006/relationships/hyperlink" Target="https://www.sec.gov/Archives/edgar/data/0000050863/000005086321000038/a9252021ex312.htm" TargetMode="External"/><Relationship Id="rId83" Type="http://schemas.openxmlformats.org/officeDocument/2006/relationships/hyperlink" Target="https://www.sec.gov/ix?doc=/Archives/edgar/data/0000050863/000005086321000038/intc-20210925.htm" TargetMode="External"/><Relationship Id="rId88" Type="http://schemas.openxmlformats.org/officeDocument/2006/relationships/hyperlink" Target="https://www.sec.gov/ix?doc=/Archives/edgar/data/0000050863/000005086321000038/intc-20210925.htm" TargetMode="External"/><Relationship Id="rId91" Type="http://schemas.openxmlformats.org/officeDocument/2006/relationships/hyperlink" Target="https://www.sec.gov/ix?doc=/Archives/edgar/data/0000050863/000005086321000038/intc-20210925.htm" TargetMode="External"/><Relationship Id="rId96" Type="http://schemas.openxmlformats.org/officeDocument/2006/relationships/hyperlink" Target="https://www.sec.gov/ix?doc=/Archives/edgar/data/0000050863/000005086321000038/intc-20210925.htm" TargetMode="External"/><Relationship Id="rId1" Type="http://schemas.openxmlformats.org/officeDocument/2006/relationships/styles" Target="styles.xml"/><Relationship Id="rId15" Type="http://schemas.openxmlformats.org/officeDocument/2006/relationships/hyperlink" Target="https://www.sec.gov/ix?doc=/Archives/edgar/data/0000050863/000005086321000038/intc-20210925.htm" TargetMode="External"/><Relationship Id="rId23" Type="http://schemas.openxmlformats.org/officeDocument/2006/relationships/hyperlink" Target="https://www.sec.gov/ix?doc=/Archives/edgar/data/0000050863/000005086321000038/intc-20210925.htm" TargetMode="External"/><Relationship Id="rId28" Type="http://schemas.openxmlformats.org/officeDocument/2006/relationships/hyperlink" Target="https://www.sec.gov/ix?doc=/Archives/edgar/data/0000050863/000005086321000038/intc-20210925.htm" TargetMode="External"/><Relationship Id="rId36" Type="http://schemas.openxmlformats.org/officeDocument/2006/relationships/hyperlink" Target="https://www.sec.gov/ix?doc=/Archives/edgar/data/0000050863/000005086321000038/intc-20210925.htm" TargetMode="External"/><Relationship Id="rId49" Type="http://schemas.openxmlformats.org/officeDocument/2006/relationships/hyperlink" Target="https://www.sec.gov/ix?doc=/Archives/edgar/data/0000050863/000005086321000038/intc-20210925.htm" TargetMode="External"/><Relationship Id="rId57" Type="http://schemas.openxmlformats.org/officeDocument/2006/relationships/hyperlink" Target="https://www.sec.gov/ix?doc=/Archives/edgar/data/0000050863/000005086321000038/intc-20210925.htm" TargetMode="External"/><Relationship Id="rId10" Type="http://schemas.openxmlformats.org/officeDocument/2006/relationships/hyperlink" Target="https://www.sec.gov/ix?doc=/Archives/edgar/data/0000050863/000005086321000038/intc-20210925.htm" TargetMode="External"/><Relationship Id="rId31" Type="http://schemas.openxmlformats.org/officeDocument/2006/relationships/hyperlink" Target="https://www.sec.gov/ix?doc=/Archives/edgar/data/0000050863/000005086321000038/intc-20210925.htm" TargetMode="External"/><Relationship Id="rId44" Type="http://schemas.openxmlformats.org/officeDocument/2006/relationships/hyperlink" Target="https://www.sec.gov/ix?doc=/Archives/edgar/data/0000050863/000005086321000038/intc-20210925.htm" TargetMode="External"/><Relationship Id="rId52" Type="http://schemas.openxmlformats.org/officeDocument/2006/relationships/hyperlink" Target="https://www.sec.gov/ix?doc=/Archives/edgar/data/0000050863/000005086321000038/intc-20210925.htm" TargetMode="External"/><Relationship Id="rId60" Type="http://schemas.openxmlformats.org/officeDocument/2006/relationships/hyperlink" Target="https://www.sec.gov/ix?doc=/Archives/edgar/data/0000050863/000005086321000038/intc-20210925.htm" TargetMode="External"/><Relationship Id="rId65" Type="http://schemas.openxmlformats.org/officeDocument/2006/relationships/hyperlink" Target="https://www.sec.gov/ix?doc=/Archives/edgar/data/0000050863/000005086321000038/intc-20210925.htm" TargetMode="External"/><Relationship Id="rId73" Type="http://schemas.openxmlformats.org/officeDocument/2006/relationships/hyperlink" Target="https://www.sec.gov/Archives/edgar/data/50863/000119312521214206/d193436dex101.htm" TargetMode="External"/><Relationship Id="rId78" Type="http://schemas.openxmlformats.org/officeDocument/2006/relationships/hyperlink" Target="https://www.sec.gov/ix?doc=/Archives/edgar/data/0000050863/000005086321000038/intc-20210925.htm" TargetMode="External"/><Relationship Id="rId81" Type="http://schemas.openxmlformats.org/officeDocument/2006/relationships/hyperlink" Target="https://www.sec.gov/ix?doc=/Archives/edgar/data/0000050863/000005086321000038/intc-20210925.htm" TargetMode="External"/><Relationship Id="rId86" Type="http://schemas.openxmlformats.org/officeDocument/2006/relationships/hyperlink" Target="https://www.sec.gov/ix?doc=/Archives/edgar/data/0000050863/000005086321000038/intc-20210925.htm" TargetMode="External"/><Relationship Id="rId94" Type="http://schemas.openxmlformats.org/officeDocument/2006/relationships/hyperlink" Target="https://www.sec.gov/ix?doc=/Archives/edgar/data/0000050863/000005086321000038/intc-20210925.htm" TargetMode="External"/><Relationship Id="rId4" Type="http://schemas.openxmlformats.org/officeDocument/2006/relationships/footnotes" Target="footnotes.xml"/><Relationship Id="rId9" Type="http://schemas.openxmlformats.org/officeDocument/2006/relationships/hyperlink" Target="https://www.sec.gov/ix?doc=/Archives/edgar/data/0000050863/000005086321000038/intc-20210925.htm" TargetMode="External"/><Relationship Id="rId13" Type="http://schemas.openxmlformats.org/officeDocument/2006/relationships/hyperlink" Target="https://www.sec.gov/ix?doc=/Archives/edgar/data/0000050863/000005086321000038/intc-20210925.htm" TargetMode="External"/><Relationship Id="rId18" Type="http://schemas.openxmlformats.org/officeDocument/2006/relationships/hyperlink" Target="https://www.sec.gov/ix?doc=/Archives/edgar/data/0000050863/000005086321000038/intc-20210925.htm" TargetMode="External"/><Relationship Id="rId39" Type="http://schemas.openxmlformats.org/officeDocument/2006/relationships/hyperlink" Target="https://www.sec.gov/ix?doc=/Archives/edgar/data/0000050863/000005086321000038/intc-20210925.htm" TargetMode="External"/><Relationship Id="rId34" Type="http://schemas.openxmlformats.org/officeDocument/2006/relationships/hyperlink" Target="https://www.sec.gov/ix?doc=/Archives/edgar/data/0000050863/000005086321000038/intc-20210925.htm" TargetMode="External"/><Relationship Id="rId50" Type="http://schemas.openxmlformats.org/officeDocument/2006/relationships/hyperlink" Target="https://www.sec.gov/ix?doc=/Archives/edgar/data/0000050863/000005086321000038/intc-20210925.htm" TargetMode="External"/><Relationship Id="rId55" Type="http://schemas.openxmlformats.org/officeDocument/2006/relationships/hyperlink" Target="https://www.sec.gov/ix?doc=/Archives/edgar/data/0000050863/000005086321000038/intc-20210925.htm" TargetMode="External"/><Relationship Id="rId76" Type="http://schemas.openxmlformats.org/officeDocument/2006/relationships/hyperlink" Target="https://www.sec.gov/Archives/edgar/data/0000050863/000005086321000038/a9252021ex321.htm" TargetMode="External"/><Relationship Id="rId97" Type="http://schemas.openxmlformats.org/officeDocument/2006/relationships/fontTable" Target="fontTable.xml"/><Relationship Id="rId7" Type="http://schemas.openxmlformats.org/officeDocument/2006/relationships/hyperlink" Target="https://www.sec.gov/ix?doc=/Archives/edgar/data/0000050863/000005086321000038/intc-20210925.htm" TargetMode="External"/><Relationship Id="rId71" Type="http://schemas.openxmlformats.org/officeDocument/2006/relationships/hyperlink" Target="https://www.sec.gov/Archives/edgar/data/50863/000119312521082782/d148850dex32.htm" TargetMode="External"/><Relationship Id="rId92" Type="http://schemas.openxmlformats.org/officeDocument/2006/relationships/hyperlink" Target="https://www.sec.gov/ix?doc=/Archives/edgar/data/0000050863/000005086321000038/intc-20210925.htm" TargetMode="External"/><Relationship Id="rId2" Type="http://schemas.openxmlformats.org/officeDocument/2006/relationships/settings" Target="settings.xml"/><Relationship Id="rId29" Type="http://schemas.openxmlformats.org/officeDocument/2006/relationships/hyperlink" Target="https://www.sec.gov/ix?doc=/Archives/edgar/data/0000050863/000005086321000038/intc-20210925.htm" TargetMode="External"/><Relationship Id="rId24" Type="http://schemas.openxmlformats.org/officeDocument/2006/relationships/hyperlink" Target="https://www.sec.gov/ix?doc=/Archives/edgar/data/0000050863/000005086321000038/intc-20210925.htm" TargetMode="External"/><Relationship Id="rId40" Type="http://schemas.openxmlformats.org/officeDocument/2006/relationships/hyperlink" Target="https://www.sec.gov/ix?doc=/Archives/edgar/data/0000050863/000005086321000038/intc-20210925.htm" TargetMode="External"/><Relationship Id="rId45" Type="http://schemas.openxmlformats.org/officeDocument/2006/relationships/hyperlink" Target="https://www.sec.gov/ix?doc=/Archives/edgar/data/0000050863/000005086321000038/intc-20210925.htm" TargetMode="External"/><Relationship Id="rId66" Type="http://schemas.openxmlformats.org/officeDocument/2006/relationships/hyperlink" Target="https://www.sec.gov/ix?doc=/Archives/edgar/data/0000050863/000005086321000038/intc-20210925.htm" TargetMode="External"/><Relationship Id="rId87" Type="http://schemas.openxmlformats.org/officeDocument/2006/relationships/hyperlink" Target="https://www.sec.gov/ix?doc=/Archives/edgar/data/0000050863/000005086321000038/intc-20210925.htm" TargetMode="External"/><Relationship Id="rId61" Type="http://schemas.openxmlformats.org/officeDocument/2006/relationships/hyperlink" Target="https://www.sec.gov/ix?doc=/Archives/edgar/data/0000050863/000005086321000038/intc-20210925.htm" TargetMode="External"/><Relationship Id="rId82" Type="http://schemas.openxmlformats.org/officeDocument/2006/relationships/hyperlink" Target="https://www.sec.gov/ix?doc=/Archives/edgar/data/0000050863/000005086321000038/intc-20210925.htm" TargetMode="External"/><Relationship Id="rId19" Type="http://schemas.openxmlformats.org/officeDocument/2006/relationships/hyperlink" Target="https://www.sec.gov/ix?doc=/Archives/edgar/data/0000050863/000005086321000038/intc-20210925.htm" TargetMode="External"/><Relationship Id="rId14" Type="http://schemas.openxmlformats.org/officeDocument/2006/relationships/hyperlink" Target="https://www.sec.gov/ix?doc=/Archives/edgar/data/0000050863/000005086321000038/intc-20210925.htm" TargetMode="External"/><Relationship Id="rId30" Type="http://schemas.openxmlformats.org/officeDocument/2006/relationships/hyperlink" Target="https://www.sec.gov/ix?doc=/Archives/edgar/data/0000050863/000005086321000038/intc-20210925.htm" TargetMode="External"/><Relationship Id="rId35" Type="http://schemas.openxmlformats.org/officeDocument/2006/relationships/hyperlink" Target="https://www.sec.gov/ix?doc=/Archives/edgar/data/0000050863/000005086321000038/intc-20210925.htm" TargetMode="External"/><Relationship Id="rId56" Type="http://schemas.openxmlformats.org/officeDocument/2006/relationships/hyperlink" Target="https://www.sec.gov/ix?doc=/Archives/edgar/data/0000050863/000005086321000038/intc-20210925.htm" TargetMode="External"/><Relationship Id="rId77" Type="http://schemas.openxmlformats.org/officeDocument/2006/relationships/hyperlink" Target="https://www.sec.gov/ix?doc=/Archives/edgar/data/0000050863/000005086321000038/intc-20210925.htm" TargetMode="External"/><Relationship Id="rId8" Type="http://schemas.openxmlformats.org/officeDocument/2006/relationships/hyperlink" Target="https://www.sec.gov/ix?doc=/Archives/edgar/data/0000050863/000005086321000038/intc-20210925.htm" TargetMode="External"/><Relationship Id="rId51" Type="http://schemas.openxmlformats.org/officeDocument/2006/relationships/hyperlink" Target="https://www.sec.gov/ix?doc=/Archives/edgar/data/0000050863/000005086321000038/intc-20210925.htm" TargetMode="External"/><Relationship Id="rId72" Type="http://schemas.openxmlformats.org/officeDocument/2006/relationships/hyperlink" Target="https://www.sec.gov/Archives/edgar/data/50863/000119312521244840/d136354dex41.htm" TargetMode="External"/><Relationship Id="rId93" Type="http://schemas.openxmlformats.org/officeDocument/2006/relationships/hyperlink" Target="https://www.sec.gov/ix?doc=/Archives/edgar/data/0000050863/000005086321000038/intc-20210925.htm" TargetMode="External"/><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31685</Words>
  <Characters>180605</Characters>
  <Application>Microsoft Office Word</Application>
  <DocSecurity>0</DocSecurity>
  <Lines>1505</Lines>
  <Paragraphs>423</Paragraphs>
  <ScaleCrop>false</ScaleCrop>
  <Company/>
  <LinksUpToDate>false</LinksUpToDate>
  <CharactersWithSpaces>211867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2023-02-11T20:00:00Z</dcterms:created>
  <dcterms:modified xsi:type="dcterms:W3CDTF">2023-02-13T11:18:00Z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9DF45B8212EF1E8B7183E7638EA9E1A3</vt:lpwstr>
  </property>
</Properties>
</file>